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DCFBE" w14:textId="77777777" w:rsidR="000463C0" w:rsidRDefault="000463C0" w:rsidP="000463C0">
      <w:pPr>
        <w:rPr>
          <w:rFonts w:ascii="Garamond" w:hAnsi="Garamond"/>
          <w:b/>
          <w:sz w:val="28"/>
          <w:szCs w:val="28"/>
        </w:rPr>
      </w:pPr>
    </w:p>
    <w:p w14:paraId="0507B153" w14:textId="77777777" w:rsidR="000463C0" w:rsidRDefault="000463C0" w:rsidP="000463C0">
      <w:pPr>
        <w:jc w:val="center"/>
        <w:rPr>
          <w:rFonts w:ascii="Garamond" w:hAnsi="Garamond"/>
          <w:b/>
          <w:sz w:val="28"/>
          <w:szCs w:val="28"/>
        </w:rPr>
      </w:pPr>
    </w:p>
    <w:p w14:paraId="132A7607" w14:textId="77777777" w:rsidR="000463C0" w:rsidRPr="001A6FF6" w:rsidRDefault="000463C0" w:rsidP="000463C0">
      <w:pPr>
        <w:jc w:val="center"/>
        <w:rPr>
          <w:rFonts w:ascii="Garamond" w:hAnsi="Garamond"/>
          <w:b/>
          <w:sz w:val="32"/>
          <w:szCs w:val="32"/>
        </w:rPr>
      </w:pPr>
      <w:r w:rsidRPr="001A6FF6">
        <w:rPr>
          <w:rFonts w:ascii="Garamond" w:hAnsi="Garamond"/>
          <w:b/>
          <w:sz w:val="32"/>
          <w:szCs w:val="32"/>
        </w:rPr>
        <w:t>The Income-Health Relationship “Beyond the Mean”: New Evidence from Biomarkers</w:t>
      </w:r>
    </w:p>
    <w:p w14:paraId="5EFE98D9" w14:textId="77777777" w:rsidR="000463C0" w:rsidRPr="0011540C" w:rsidRDefault="000463C0" w:rsidP="000463C0">
      <w:pPr>
        <w:jc w:val="center"/>
        <w:rPr>
          <w:rFonts w:ascii="Garamond" w:hAnsi="Garamond"/>
          <w:b/>
          <w:sz w:val="28"/>
          <w:szCs w:val="28"/>
        </w:rPr>
      </w:pPr>
    </w:p>
    <w:p w14:paraId="683AA069" w14:textId="77777777" w:rsidR="000463C0" w:rsidRPr="00B5285B" w:rsidRDefault="000463C0" w:rsidP="000463C0">
      <w:pPr>
        <w:jc w:val="center"/>
        <w:rPr>
          <w:rFonts w:ascii="Garamond" w:hAnsi="Garamond"/>
          <w:b/>
          <w:sz w:val="20"/>
          <w:szCs w:val="20"/>
        </w:rPr>
      </w:pPr>
    </w:p>
    <w:p w14:paraId="2C28C558" w14:textId="77777777" w:rsidR="00FD2B92" w:rsidRDefault="00A00E08" w:rsidP="000463C0">
      <w:pPr>
        <w:jc w:val="center"/>
        <w:rPr>
          <w:rFonts w:ascii="Garamond" w:hAnsi="Garamond"/>
          <w:b/>
        </w:rPr>
      </w:pPr>
      <w:r>
        <w:rPr>
          <w:rFonts w:ascii="Garamond" w:hAnsi="Garamond"/>
          <w:b/>
        </w:rPr>
        <w:t>Abstract</w:t>
      </w:r>
    </w:p>
    <w:p w14:paraId="33279BB5" w14:textId="61B279A7" w:rsidR="00010AC5" w:rsidRPr="007A108E" w:rsidRDefault="009A19A3" w:rsidP="007A108E">
      <w:pPr>
        <w:spacing w:line="240" w:lineRule="auto"/>
        <w:jc w:val="both"/>
        <w:rPr>
          <w:rFonts w:ascii="Garamond" w:hAnsi="Garamond"/>
        </w:rPr>
      </w:pPr>
      <w:r>
        <w:rPr>
          <w:rFonts w:ascii="Garamond" w:hAnsi="Garamond"/>
        </w:rPr>
        <w:t>The relationship between income and health is one of the most explored topics in health economics</w:t>
      </w:r>
      <w:r w:rsidR="000169C1">
        <w:rPr>
          <w:rFonts w:ascii="Garamond" w:hAnsi="Garamond"/>
        </w:rPr>
        <w:t xml:space="preserve"> but </w:t>
      </w:r>
      <w:r>
        <w:rPr>
          <w:rFonts w:ascii="Garamond" w:hAnsi="Garamond"/>
        </w:rPr>
        <w:t>less is known about th</w:t>
      </w:r>
      <w:r w:rsidR="000169C1">
        <w:rPr>
          <w:rFonts w:ascii="Garamond" w:hAnsi="Garamond"/>
        </w:rPr>
        <w:t>is</w:t>
      </w:r>
      <w:r>
        <w:rPr>
          <w:rFonts w:ascii="Garamond" w:hAnsi="Garamond"/>
        </w:rPr>
        <w:t xml:space="preserve"> relationship at different points of the health distribution. A</w:t>
      </w:r>
      <w:r w:rsidR="00010AC5">
        <w:rPr>
          <w:rFonts w:ascii="Garamond" w:hAnsi="Garamond"/>
        </w:rPr>
        <w:t xml:space="preserve">nalysis based solely on </w:t>
      </w:r>
      <w:r w:rsidR="00010AC5" w:rsidRPr="00BF7756">
        <w:rPr>
          <w:rFonts w:ascii="Garamond" w:hAnsi="Garamond"/>
        </w:rPr>
        <w:t xml:space="preserve">the mean </w:t>
      </w:r>
      <w:r w:rsidR="00D67072">
        <w:rPr>
          <w:rFonts w:ascii="Garamond" w:hAnsi="Garamond"/>
        </w:rPr>
        <w:t>may miss</w:t>
      </w:r>
      <w:r w:rsidR="00010AC5" w:rsidRPr="00BF7756">
        <w:rPr>
          <w:rFonts w:ascii="Garamond" w:hAnsi="Garamond"/>
        </w:rPr>
        <w:t xml:space="preserve"> important information in other parts of the dis</w:t>
      </w:r>
      <w:r w:rsidR="00010AC5">
        <w:rPr>
          <w:rFonts w:ascii="Garamond" w:hAnsi="Garamond"/>
        </w:rPr>
        <w:t xml:space="preserve">tribution. This is especially relevant </w:t>
      </w:r>
      <w:r w:rsidR="007A108E">
        <w:rPr>
          <w:rFonts w:ascii="Garamond" w:hAnsi="Garamond"/>
        </w:rPr>
        <w:t>when</w:t>
      </w:r>
      <w:r w:rsidR="00010AC5">
        <w:rPr>
          <w:rFonts w:ascii="Garamond" w:hAnsi="Garamond"/>
        </w:rPr>
        <w:t xml:space="preserve"> clinical concern is focused on the tai</w:t>
      </w:r>
      <w:r w:rsidR="007A108E">
        <w:rPr>
          <w:rFonts w:ascii="Garamond" w:hAnsi="Garamond"/>
        </w:rPr>
        <w:t>l of the dist</w:t>
      </w:r>
      <w:r w:rsidR="00D67072">
        <w:rPr>
          <w:rFonts w:ascii="Garamond" w:hAnsi="Garamond"/>
        </w:rPr>
        <w:t>ribution</w:t>
      </w:r>
      <w:r w:rsidR="007A108E">
        <w:rPr>
          <w:rFonts w:ascii="Garamond" w:hAnsi="Garamond"/>
        </w:rPr>
        <w:t xml:space="preserve"> and when</w:t>
      </w:r>
      <w:r w:rsidR="00010AC5">
        <w:rPr>
          <w:rFonts w:ascii="Garamond" w:hAnsi="Garamond"/>
        </w:rPr>
        <w:t xml:space="preserve"> evaluating the income gradient at different points of the distribution  and decomposing income-rela</w:t>
      </w:r>
      <w:r w:rsidR="007A108E">
        <w:rPr>
          <w:rFonts w:ascii="Garamond" w:hAnsi="Garamond"/>
        </w:rPr>
        <w:t>ted inequalities in health is of interest</w:t>
      </w:r>
      <w:r w:rsidR="00010AC5">
        <w:rPr>
          <w:rFonts w:ascii="Garamond" w:hAnsi="Garamond"/>
        </w:rPr>
        <w:t xml:space="preserve">. </w:t>
      </w:r>
      <w:r w:rsidR="007A108E">
        <w:rPr>
          <w:rFonts w:ascii="Garamond" w:hAnsi="Garamond"/>
        </w:rPr>
        <w:t>W</w:t>
      </w:r>
      <w:r w:rsidR="00010AC5" w:rsidRPr="005C6112">
        <w:rPr>
          <w:rFonts w:ascii="Garamond" w:hAnsi="Garamond"/>
        </w:rPr>
        <w:t xml:space="preserve">e use the unconditional quantile regression approach to </w:t>
      </w:r>
      <w:r w:rsidR="00341BE3">
        <w:rPr>
          <w:rFonts w:ascii="Garamond" w:hAnsi="Garamond"/>
        </w:rPr>
        <w:t>analys</w:t>
      </w:r>
      <w:r w:rsidR="00010AC5">
        <w:rPr>
          <w:rFonts w:ascii="Garamond" w:hAnsi="Garamond"/>
        </w:rPr>
        <w:t>e</w:t>
      </w:r>
      <w:r w:rsidR="00010AC5" w:rsidRPr="005C6112">
        <w:rPr>
          <w:rFonts w:ascii="Garamond" w:hAnsi="Garamond"/>
        </w:rPr>
        <w:t xml:space="preserve"> the </w:t>
      </w:r>
      <w:r w:rsidR="00010AC5">
        <w:rPr>
          <w:rFonts w:ascii="Garamond" w:hAnsi="Garamond"/>
        </w:rPr>
        <w:t>income gradient across the entire</w:t>
      </w:r>
      <w:r w:rsidR="00010AC5" w:rsidRPr="005C6112">
        <w:rPr>
          <w:rFonts w:ascii="Garamond" w:hAnsi="Garamond"/>
        </w:rPr>
        <w:t xml:space="preserve"> distribution of </w:t>
      </w:r>
      <w:r w:rsidR="007A108E">
        <w:rPr>
          <w:rFonts w:ascii="Garamond" w:hAnsi="Garamond"/>
        </w:rPr>
        <w:t xml:space="preserve">objectively measured blood-based </w:t>
      </w:r>
      <w:r w:rsidR="00010AC5" w:rsidRPr="005C6112">
        <w:rPr>
          <w:rFonts w:ascii="Garamond" w:hAnsi="Garamond"/>
        </w:rPr>
        <w:t>biomarkers.</w:t>
      </w:r>
      <w:r w:rsidR="00010AC5">
        <w:rPr>
          <w:rFonts w:ascii="Garamond" w:hAnsi="Garamond"/>
        </w:rPr>
        <w:t xml:space="preserve"> </w:t>
      </w:r>
      <w:r w:rsidR="007A108E">
        <w:rPr>
          <w:rFonts w:ascii="Garamond" w:hAnsi="Garamond"/>
        </w:rPr>
        <w:t>W</w:t>
      </w:r>
      <w:r w:rsidR="00010AC5" w:rsidRPr="005C6112">
        <w:rPr>
          <w:rFonts w:ascii="Garamond" w:hAnsi="Garamond"/>
        </w:rPr>
        <w:t xml:space="preserve">e apply </w:t>
      </w:r>
      <w:r w:rsidR="00010AC5">
        <w:rPr>
          <w:rFonts w:ascii="Garamond" w:hAnsi="Garamond"/>
        </w:rPr>
        <w:t xml:space="preserve">an </w:t>
      </w:r>
      <w:r w:rsidR="00010AC5" w:rsidRPr="005C6112">
        <w:rPr>
          <w:rFonts w:ascii="Garamond" w:hAnsi="Garamond"/>
        </w:rPr>
        <w:t xml:space="preserve">Oaxaca-Blinder decomposition at various quantiles of </w:t>
      </w:r>
      <w:r w:rsidR="00010AC5">
        <w:rPr>
          <w:rFonts w:ascii="Garamond" w:hAnsi="Garamond"/>
        </w:rPr>
        <w:t xml:space="preserve">the </w:t>
      </w:r>
      <w:r w:rsidR="00010AC5" w:rsidRPr="005C6112">
        <w:rPr>
          <w:rFonts w:ascii="Garamond" w:hAnsi="Garamond"/>
        </w:rPr>
        <w:t>biomarker distribution</w:t>
      </w:r>
      <w:r w:rsidR="00010AC5">
        <w:rPr>
          <w:rFonts w:ascii="Garamond" w:hAnsi="Garamond"/>
        </w:rPr>
        <w:t>s</w:t>
      </w:r>
      <w:r w:rsidR="00010AC5" w:rsidRPr="005C6112">
        <w:rPr>
          <w:rFonts w:ascii="Garamond" w:hAnsi="Garamond"/>
        </w:rPr>
        <w:t xml:space="preserve"> to analy</w:t>
      </w:r>
      <w:r w:rsidR="00341BE3">
        <w:rPr>
          <w:rFonts w:ascii="Garamond" w:hAnsi="Garamond"/>
        </w:rPr>
        <w:t>s</w:t>
      </w:r>
      <w:r w:rsidR="00010AC5" w:rsidRPr="005C6112">
        <w:rPr>
          <w:rFonts w:ascii="Garamond" w:hAnsi="Garamond"/>
        </w:rPr>
        <w:t xml:space="preserve">e gender differentials in </w:t>
      </w:r>
      <w:r w:rsidR="00010AC5">
        <w:rPr>
          <w:rFonts w:ascii="Garamond" w:hAnsi="Garamond"/>
        </w:rPr>
        <w:t>biomarkers</w:t>
      </w:r>
      <w:r w:rsidR="00010AC5" w:rsidRPr="005C6112">
        <w:rPr>
          <w:rFonts w:ascii="Garamond" w:hAnsi="Garamond"/>
        </w:rPr>
        <w:t xml:space="preserve"> and to measure the contribution of income (and other covariates) to these </w:t>
      </w:r>
      <w:r w:rsidR="00010AC5">
        <w:rPr>
          <w:rFonts w:ascii="Garamond" w:hAnsi="Garamond"/>
        </w:rPr>
        <w:t>differentials</w:t>
      </w:r>
      <w:r w:rsidR="00010AC5" w:rsidRPr="005C6112">
        <w:rPr>
          <w:rFonts w:ascii="Garamond" w:hAnsi="Garamond"/>
        </w:rPr>
        <w:t>.</w:t>
      </w:r>
      <w:r w:rsidR="00010AC5">
        <w:rPr>
          <w:rFonts w:ascii="Garamond" w:hAnsi="Garamond"/>
        </w:rPr>
        <w:t xml:space="preserve"> </w:t>
      </w:r>
      <w:r w:rsidR="007A108E">
        <w:rPr>
          <w:rFonts w:ascii="Garamond" w:hAnsi="Garamond"/>
        </w:rPr>
        <w:t>Using data from the Health Survey for England we</w:t>
      </w:r>
      <w:r w:rsidR="00010AC5" w:rsidRPr="0014441C">
        <w:rPr>
          <w:rFonts w:ascii="Garamond" w:hAnsi="Garamond"/>
        </w:rPr>
        <w:t xml:space="preserve"> f</w:t>
      </w:r>
      <w:r w:rsidR="00010AC5">
        <w:rPr>
          <w:rFonts w:ascii="Garamond" w:hAnsi="Garamond"/>
        </w:rPr>
        <w:t>i</w:t>
      </w:r>
      <w:r w:rsidR="00010AC5" w:rsidRPr="0014441C">
        <w:rPr>
          <w:rFonts w:ascii="Garamond" w:hAnsi="Garamond"/>
        </w:rPr>
        <w:t xml:space="preserve">nd </w:t>
      </w:r>
      <w:r w:rsidR="00010AC5">
        <w:rPr>
          <w:rFonts w:ascii="Garamond" w:hAnsi="Garamond"/>
        </w:rPr>
        <w:t xml:space="preserve">a non-linear relationship between income and health and a strong gradient with respect to </w:t>
      </w:r>
      <w:r w:rsidR="00010AC5" w:rsidRPr="0014441C">
        <w:rPr>
          <w:rFonts w:ascii="Garamond" w:hAnsi="Garamond"/>
        </w:rPr>
        <w:t xml:space="preserve">income </w:t>
      </w:r>
      <w:r w:rsidR="00010AC5" w:rsidRPr="0085646F">
        <w:rPr>
          <w:rFonts w:ascii="Garamond" w:hAnsi="Garamond"/>
        </w:rPr>
        <w:t xml:space="preserve">at </w:t>
      </w:r>
      <w:r w:rsidR="00010AC5">
        <w:rPr>
          <w:rFonts w:ascii="Garamond" w:hAnsi="Garamond"/>
        </w:rPr>
        <w:t>the highest</w:t>
      </w:r>
      <w:r w:rsidR="00010AC5" w:rsidRPr="0085646F">
        <w:rPr>
          <w:rFonts w:ascii="Garamond" w:hAnsi="Garamond"/>
        </w:rPr>
        <w:t xml:space="preserve"> quantiles</w:t>
      </w:r>
      <w:r w:rsidR="00010AC5" w:rsidRPr="0014441C">
        <w:rPr>
          <w:rFonts w:ascii="Garamond" w:hAnsi="Garamond"/>
        </w:rPr>
        <w:t xml:space="preserve"> of </w:t>
      </w:r>
      <w:r w:rsidR="00010AC5">
        <w:rPr>
          <w:rFonts w:ascii="Garamond" w:hAnsi="Garamond"/>
        </w:rPr>
        <w:t xml:space="preserve">the </w:t>
      </w:r>
      <w:r w:rsidR="00010AC5" w:rsidRPr="0014441C">
        <w:rPr>
          <w:rFonts w:ascii="Garamond" w:hAnsi="Garamond"/>
        </w:rPr>
        <w:t>biomarker distribution</w:t>
      </w:r>
      <w:r w:rsidR="00010AC5">
        <w:rPr>
          <w:rFonts w:ascii="Garamond" w:hAnsi="Garamond"/>
        </w:rPr>
        <w:t>s</w:t>
      </w:r>
      <w:r w:rsidR="00010AC5" w:rsidRPr="0014441C">
        <w:rPr>
          <w:rFonts w:ascii="Garamond" w:hAnsi="Garamond"/>
        </w:rPr>
        <w:t xml:space="preserve">. </w:t>
      </w:r>
      <w:r w:rsidR="007A108E">
        <w:rPr>
          <w:rFonts w:ascii="Garamond" w:hAnsi="Garamond"/>
        </w:rPr>
        <w:t>We find that there is</w:t>
      </w:r>
      <w:r w:rsidR="00010AC5" w:rsidRPr="002B71F2">
        <w:rPr>
          <w:rFonts w:ascii="Garamond" w:hAnsi="Garamond"/>
        </w:rPr>
        <w:t xml:space="preserve"> heterogeneity in the association of health to income across genders which </w:t>
      </w:r>
      <w:r w:rsidR="00010AC5" w:rsidRPr="002B71F2">
        <w:rPr>
          <w:rFonts w:ascii="Garamond" w:hAnsi="Garamond" w:cs="AdvP7B6C"/>
        </w:rPr>
        <w:t>accounts for a substantial percentage of the gender differentials in observed health.</w:t>
      </w:r>
    </w:p>
    <w:p w14:paraId="118D4753" w14:textId="77777777" w:rsidR="00010AC5" w:rsidRDefault="00010AC5" w:rsidP="00010AC5">
      <w:pPr>
        <w:autoSpaceDE w:val="0"/>
        <w:autoSpaceDN w:val="0"/>
        <w:adjustRightInd w:val="0"/>
        <w:spacing w:after="0"/>
        <w:jc w:val="both"/>
        <w:rPr>
          <w:rFonts w:ascii="Garamond" w:hAnsi="Garamond"/>
        </w:rPr>
      </w:pPr>
    </w:p>
    <w:p w14:paraId="73F5E316" w14:textId="77777777" w:rsidR="002B71F2" w:rsidRPr="002B71F2" w:rsidRDefault="002B71F2" w:rsidP="002B71F2">
      <w:pPr>
        <w:autoSpaceDE w:val="0"/>
        <w:autoSpaceDN w:val="0"/>
        <w:adjustRightInd w:val="0"/>
        <w:spacing w:after="0"/>
        <w:jc w:val="both"/>
        <w:rPr>
          <w:rFonts w:ascii="Garamond" w:hAnsi="Garamond" w:cs="AdvP7B6C"/>
        </w:rPr>
      </w:pPr>
    </w:p>
    <w:p w14:paraId="3B15BC14" w14:textId="77777777" w:rsidR="002B71F2" w:rsidRPr="002B71F2" w:rsidRDefault="002B71F2" w:rsidP="000463C0">
      <w:pPr>
        <w:jc w:val="both"/>
        <w:rPr>
          <w:rFonts w:ascii="Garamond" w:hAnsi="Garamond"/>
        </w:rPr>
      </w:pPr>
    </w:p>
    <w:p w14:paraId="4BDD131F" w14:textId="77777777" w:rsidR="000463C0" w:rsidRDefault="000463C0" w:rsidP="000463C0">
      <w:pPr>
        <w:jc w:val="both"/>
        <w:rPr>
          <w:rFonts w:ascii="Garamond" w:hAnsi="Garamond"/>
        </w:rPr>
      </w:pPr>
      <w:r w:rsidRPr="002B71F2">
        <w:rPr>
          <w:rFonts w:ascii="Garamond" w:hAnsi="Garamond"/>
          <w:b/>
        </w:rPr>
        <w:t>Keywords</w:t>
      </w:r>
      <w:r w:rsidRPr="002B71F2">
        <w:rPr>
          <w:rFonts w:ascii="Garamond" w:hAnsi="Garamond"/>
        </w:rPr>
        <w:t xml:space="preserve">: biomarkers; unconditional quantile regression; </w:t>
      </w:r>
      <w:r w:rsidR="00C208DD" w:rsidRPr="002B71F2">
        <w:rPr>
          <w:rFonts w:ascii="Garamond" w:hAnsi="Garamond"/>
        </w:rPr>
        <w:t xml:space="preserve">decomposition analysis; </w:t>
      </w:r>
      <w:r w:rsidRPr="002B71F2">
        <w:rPr>
          <w:rFonts w:ascii="Garamond" w:hAnsi="Garamond"/>
        </w:rPr>
        <w:t>health inequalities.</w:t>
      </w:r>
    </w:p>
    <w:p w14:paraId="7B336D84" w14:textId="77777777" w:rsidR="00811F94" w:rsidRPr="002B71F2" w:rsidRDefault="00811F94" w:rsidP="00811F94">
      <w:pPr>
        <w:jc w:val="both"/>
        <w:rPr>
          <w:rFonts w:ascii="Garamond" w:hAnsi="Garamond"/>
        </w:rPr>
      </w:pPr>
      <w:r>
        <w:rPr>
          <w:rFonts w:ascii="Garamond" w:hAnsi="Garamond"/>
          <w:b/>
        </w:rPr>
        <w:t>JEL codes:</w:t>
      </w:r>
      <w:r w:rsidR="007D3FCF">
        <w:rPr>
          <w:rFonts w:ascii="Garamond" w:hAnsi="Garamond"/>
          <w:b/>
        </w:rPr>
        <w:t xml:space="preserve"> </w:t>
      </w:r>
      <w:r w:rsidR="007D3FCF" w:rsidRPr="007D3FCF">
        <w:rPr>
          <w:rFonts w:ascii="Garamond" w:hAnsi="Garamond"/>
        </w:rPr>
        <w:t>C1, C5,</w:t>
      </w:r>
      <w:r w:rsidR="007D3FCF">
        <w:rPr>
          <w:rFonts w:ascii="Garamond" w:hAnsi="Garamond"/>
        </w:rPr>
        <w:t xml:space="preserve"> </w:t>
      </w:r>
      <w:r w:rsidR="007D3FCF" w:rsidRPr="007D3FCF">
        <w:rPr>
          <w:rFonts w:ascii="Garamond" w:hAnsi="Garamond"/>
        </w:rPr>
        <w:t>I14</w:t>
      </w:r>
      <w:r w:rsidR="007D3FCF">
        <w:rPr>
          <w:rFonts w:ascii="Garamond" w:hAnsi="Garamond"/>
        </w:rPr>
        <w:t>.</w:t>
      </w:r>
    </w:p>
    <w:p w14:paraId="7EFD584F" w14:textId="77777777" w:rsidR="000463C0" w:rsidRPr="0011540C" w:rsidRDefault="000463C0" w:rsidP="000463C0">
      <w:pPr>
        <w:jc w:val="center"/>
        <w:rPr>
          <w:rFonts w:ascii="Garamond" w:hAnsi="Garamond"/>
        </w:rPr>
      </w:pPr>
    </w:p>
    <w:p w14:paraId="5831DC8A" w14:textId="77777777" w:rsidR="000463C0" w:rsidRPr="0011540C" w:rsidRDefault="000463C0" w:rsidP="000463C0">
      <w:pPr>
        <w:jc w:val="center"/>
        <w:rPr>
          <w:rFonts w:ascii="Garamond" w:hAnsi="Garamond"/>
        </w:rPr>
      </w:pPr>
    </w:p>
    <w:p w14:paraId="0BE66E22" w14:textId="77777777" w:rsidR="000463C0" w:rsidRDefault="000463C0" w:rsidP="000463C0">
      <w:pPr>
        <w:rPr>
          <w:rFonts w:ascii="Garamond" w:hAnsi="Garamond"/>
          <w:b/>
        </w:rPr>
      </w:pPr>
      <w:r>
        <w:rPr>
          <w:rFonts w:ascii="Garamond" w:hAnsi="Garamond"/>
          <w:b/>
        </w:rPr>
        <w:br w:type="page"/>
      </w:r>
    </w:p>
    <w:p w14:paraId="221BB338" w14:textId="77777777" w:rsidR="000463C0" w:rsidRPr="00A164EC" w:rsidRDefault="000463C0" w:rsidP="000463C0">
      <w:pPr>
        <w:jc w:val="both"/>
        <w:rPr>
          <w:rFonts w:ascii="Garamond" w:hAnsi="Garamond"/>
          <w:b/>
          <w:sz w:val="28"/>
          <w:szCs w:val="28"/>
        </w:rPr>
      </w:pPr>
      <w:r w:rsidRPr="00A164EC">
        <w:rPr>
          <w:rFonts w:ascii="Garamond" w:hAnsi="Garamond"/>
          <w:b/>
          <w:sz w:val="28"/>
          <w:szCs w:val="28"/>
        </w:rPr>
        <w:lastRenderedPageBreak/>
        <w:t>Introduction</w:t>
      </w:r>
    </w:p>
    <w:p w14:paraId="1BB72CE9" w14:textId="238F5C59" w:rsidR="000463C0" w:rsidRDefault="00F36350" w:rsidP="000463C0">
      <w:pPr>
        <w:jc w:val="both"/>
        <w:rPr>
          <w:rFonts w:ascii="Garamond" w:hAnsi="Garamond"/>
        </w:rPr>
      </w:pPr>
      <w:r>
        <w:rPr>
          <w:rFonts w:ascii="Garamond" w:hAnsi="Garamond"/>
        </w:rPr>
        <w:t>The</w:t>
      </w:r>
      <w:r w:rsidR="000463C0" w:rsidRPr="0011540C">
        <w:rPr>
          <w:rFonts w:ascii="Garamond" w:hAnsi="Garamond"/>
        </w:rPr>
        <w:t xml:space="preserve"> positive </w:t>
      </w:r>
      <w:r>
        <w:rPr>
          <w:rFonts w:ascii="Garamond" w:hAnsi="Garamond"/>
        </w:rPr>
        <w:t>association</w:t>
      </w:r>
      <w:r w:rsidR="000463C0" w:rsidRPr="0011540C">
        <w:rPr>
          <w:rFonts w:ascii="Garamond" w:hAnsi="Garamond"/>
        </w:rPr>
        <w:t xml:space="preserve"> between income and health is </w:t>
      </w:r>
      <w:r w:rsidR="000463C0">
        <w:rPr>
          <w:rFonts w:ascii="Garamond" w:hAnsi="Garamond"/>
        </w:rPr>
        <w:t xml:space="preserve">a </w:t>
      </w:r>
      <w:r w:rsidR="000463C0" w:rsidRPr="0011540C">
        <w:rPr>
          <w:rFonts w:ascii="Garamond" w:hAnsi="Garamond"/>
        </w:rPr>
        <w:t xml:space="preserve">well-established finding </w:t>
      </w:r>
      <w:r w:rsidR="000463C0">
        <w:rPr>
          <w:rFonts w:ascii="Garamond" w:hAnsi="Garamond"/>
        </w:rPr>
        <w:t>in</w:t>
      </w:r>
      <w:r w:rsidR="000463C0" w:rsidRPr="0011540C">
        <w:rPr>
          <w:rFonts w:ascii="Garamond" w:hAnsi="Garamond"/>
        </w:rPr>
        <w:t xml:space="preserve"> </w:t>
      </w:r>
      <w:r w:rsidR="000463C0">
        <w:rPr>
          <w:rFonts w:ascii="Garamond" w:hAnsi="Garamond"/>
        </w:rPr>
        <w:t xml:space="preserve">the </w:t>
      </w:r>
      <w:r w:rsidR="000463C0" w:rsidRPr="0011540C">
        <w:rPr>
          <w:rFonts w:ascii="Garamond" w:hAnsi="Garamond"/>
        </w:rPr>
        <w:t xml:space="preserve">health economics literature. </w:t>
      </w:r>
      <w:r w:rsidR="000463C0">
        <w:rPr>
          <w:rFonts w:ascii="Garamond" w:hAnsi="Garamond"/>
        </w:rPr>
        <w:t>This relationship</w:t>
      </w:r>
      <w:r w:rsidR="000463C0" w:rsidRPr="0011540C">
        <w:rPr>
          <w:rFonts w:ascii="Garamond" w:hAnsi="Garamond"/>
        </w:rPr>
        <w:t xml:space="preserve"> has been found across age groups, in </w:t>
      </w:r>
      <w:r w:rsidR="000463C0">
        <w:rPr>
          <w:rFonts w:ascii="Garamond" w:hAnsi="Garamond"/>
        </w:rPr>
        <w:t>many</w:t>
      </w:r>
      <w:r w:rsidR="000463C0" w:rsidRPr="0011540C">
        <w:rPr>
          <w:rFonts w:ascii="Garamond" w:hAnsi="Garamond"/>
        </w:rPr>
        <w:t xml:space="preserve"> countries analy</w:t>
      </w:r>
      <w:r w:rsidR="00341BE3">
        <w:rPr>
          <w:rFonts w:ascii="Garamond" w:hAnsi="Garamond"/>
        </w:rPr>
        <w:t>s</w:t>
      </w:r>
      <w:r w:rsidR="000463C0" w:rsidRPr="0011540C">
        <w:rPr>
          <w:rFonts w:ascii="Garamond" w:hAnsi="Garamond"/>
        </w:rPr>
        <w:t>ed and for a variety of health measures, including self-rated health</w:t>
      </w:r>
      <w:r w:rsidR="00811F94">
        <w:rPr>
          <w:rFonts w:ascii="Garamond" w:hAnsi="Garamond"/>
        </w:rPr>
        <w:t xml:space="preserve"> (Mackenbach et al., 2005; Ettner, </w:t>
      </w:r>
      <w:r w:rsidR="000463C0">
        <w:rPr>
          <w:rFonts w:ascii="Garamond" w:hAnsi="Garamond"/>
        </w:rPr>
        <w:t>1996</w:t>
      </w:r>
      <w:r w:rsidR="000463C0" w:rsidRPr="0011540C">
        <w:rPr>
          <w:rFonts w:ascii="Garamond" w:hAnsi="Garamond"/>
        </w:rPr>
        <w:t>), functional limitations (</w:t>
      </w:r>
      <w:r w:rsidR="000463C0">
        <w:rPr>
          <w:rFonts w:ascii="Garamond" w:hAnsi="Garamond"/>
        </w:rPr>
        <w:t>Ettner, 1996</w:t>
      </w:r>
      <w:r w:rsidR="000463C0" w:rsidRPr="0011540C">
        <w:rPr>
          <w:rFonts w:ascii="Garamond" w:hAnsi="Garamond"/>
        </w:rPr>
        <w:t>), anthropometric measures (</w:t>
      </w:r>
      <w:r w:rsidR="00811F94">
        <w:rPr>
          <w:rFonts w:ascii="Garamond" w:hAnsi="Garamond"/>
        </w:rPr>
        <w:t>Wagstaff, V</w:t>
      </w:r>
      <w:r w:rsidR="000463C0">
        <w:rPr>
          <w:rFonts w:ascii="Garamond" w:hAnsi="Garamond"/>
        </w:rPr>
        <w:t>an Doorslaer and Watanabe, 2001</w:t>
      </w:r>
      <w:r w:rsidR="000463C0" w:rsidRPr="0011540C">
        <w:rPr>
          <w:rFonts w:ascii="Garamond" w:hAnsi="Garamond"/>
        </w:rPr>
        <w:t>) and mortality (</w:t>
      </w:r>
      <w:r w:rsidR="000463C0">
        <w:rPr>
          <w:rFonts w:ascii="Garamond" w:hAnsi="Garamond"/>
        </w:rPr>
        <w:t>Cutler, Deaton and Lleras-Muney, 2006</w:t>
      </w:r>
      <w:r w:rsidR="000463C0" w:rsidRPr="0011540C">
        <w:rPr>
          <w:rFonts w:ascii="Garamond" w:hAnsi="Garamond"/>
        </w:rPr>
        <w:t xml:space="preserve">). The </w:t>
      </w:r>
      <w:r w:rsidR="00A00E08">
        <w:rPr>
          <w:rFonts w:ascii="Garamond" w:hAnsi="Garamond"/>
        </w:rPr>
        <w:t>association between</w:t>
      </w:r>
      <w:r w:rsidR="000463C0" w:rsidRPr="0011540C">
        <w:rPr>
          <w:rFonts w:ascii="Garamond" w:hAnsi="Garamond"/>
        </w:rPr>
        <w:t xml:space="preserve"> economic conditions </w:t>
      </w:r>
      <w:r w:rsidR="00A00E08">
        <w:rPr>
          <w:rFonts w:ascii="Garamond" w:hAnsi="Garamond"/>
        </w:rPr>
        <w:t>and</w:t>
      </w:r>
      <w:r w:rsidR="000463C0" w:rsidRPr="0011540C">
        <w:rPr>
          <w:rFonts w:ascii="Garamond" w:hAnsi="Garamond"/>
        </w:rPr>
        <w:t xml:space="preserve"> health is </w:t>
      </w:r>
      <w:r w:rsidR="000463C0">
        <w:rPr>
          <w:rFonts w:ascii="Garamond" w:hAnsi="Garamond"/>
        </w:rPr>
        <w:t xml:space="preserve">also the basis of </w:t>
      </w:r>
      <w:r w:rsidR="00A00E08">
        <w:rPr>
          <w:rFonts w:ascii="Garamond" w:hAnsi="Garamond"/>
        </w:rPr>
        <w:t xml:space="preserve">empirical </w:t>
      </w:r>
      <w:r w:rsidR="000463C0">
        <w:rPr>
          <w:rFonts w:ascii="Garamond" w:hAnsi="Garamond"/>
        </w:rPr>
        <w:t>research on “</w:t>
      </w:r>
      <w:r w:rsidR="000463C0" w:rsidRPr="0011540C">
        <w:rPr>
          <w:rFonts w:ascii="Garamond" w:hAnsi="Garamond"/>
        </w:rPr>
        <w:t>income-related health inequalities</w:t>
      </w:r>
      <w:r w:rsidR="000463C0">
        <w:rPr>
          <w:rFonts w:ascii="Garamond" w:hAnsi="Garamond"/>
        </w:rPr>
        <w:t>”, one of the most prominent fields in the health economics literature (</w:t>
      </w:r>
      <w:r w:rsidR="000463C0" w:rsidRPr="007F5F25">
        <w:rPr>
          <w:rFonts w:ascii="Garamond" w:hAnsi="Garamond"/>
        </w:rPr>
        <w:t>see</w:t>
      </w:r>
      <w:r w:rsidR="000463C0">
        <w:rPr>
          <w:rFonts w:ascii="Garamond" w:hAnsi="Garamond"/>
        </w:rPr>
        <w:t xml:space="preserve"> e.g.,</w:t>
      </w:r>
      <w:r w:rsidR="000463C0" w:rsidRPr="007F5F25">
        <w:rPr>
          <w:rFonts w:ascii="Garamond" w:hAnsi="Garamond"/>
        </w:rPr>
        <w:t xml:space="preserve"> Kakwani, Wagstaff and </w:t>
      </w:r>
      <w:r w:rsidR="000463C0">
        <w:rPr>
          <w:rFonts w:ascii="Garamond" w:hAnsi="Garamond"/>
        </w:rPr>
        <w:t>v</w:t>
      </w:r>
      <w:r w:rsidR="000463C0" w:rsidRPr="007F5F25">
        <w:rPr>
          <w:rFonts w:ascii="Garamond" w:hAnsi="Garamond"/>
        </w:rPr>
        <w:t>an Doorslaer, 1997</w:t>
      </w:r>
      <w:r w:rsidR="000463C0">
        <w:rPr>
          <w:rFonts w:ascii="Garamond" w:hAnsi="Garamond"/>
        </w:rPr>
        <w:t>; van Doorslaer and Jones, 2003</w:t>
      </w:r>
      <w:r w:rsidR="00A00E08">
        <w:rPr>
          <w:rFonts w:ascii="Garamond" w:hAnsi="Garamond"/>
        </w:rPr>
        <w:t>; van Doorslaer and Koolman, 2004</w:t>
      </w:r>
      <w:r w:rsidR="000463C0">
        <w:rPr>
          <w:rFonts w:ascii="Garamond" w:hAnsi="Garamond"/>
        </w:rPr>
        <w:t xml:space="preserve">). Studies of the influence of economic conditions on health typically </w:t>
      </w:r>
      <w:r w:rsidR="00A00E08">
        <w:rPr>
          <w:rFonts w:ascii="Garamond" w:hAnsi="Garamond"/>
        </w:rPr>
        <w:t>use regression models of</w:t>
      </w:r>
      <w:r w:rsidR="000463C0">
        <w:rPr>
          <w:rFonts w:ascii="Garamond" w:hAnsi="Garamond"/>
        </w:rPr>
        <w:t xml:space="preserve"> the conditional mean of the health status variable. Unfortunately, analysis based solely on </w:t>
      </w:r>
      <w:r w:rsidR="000463C0" w:rsidRPr="00BF7756">
        <w:rPr>
          <w:rFonts w:ascii="Garamond" w:hAnsi="Garamond"/>
        </w:rPr>
        <w:t>the mean misses potentially important information in other parts of the dis</w:t>
      </w:r>
      <w:r w:rsidR="000463C0">
        <w:rPr>
          <w:rFonts w:ascii="Garamond" w:hAnsi="Garamond"/>
        </w:rPr>
        <w:t xml:space="preserve">tribution </w:t>
      </w:r>
      <w:r w:rsidR="000463C0" w:rsidRPr="00BF7756">
        <w:rPr>
          <w:rFonts w:ascii="Garamond" w:hAnsi="Garamond"/>
        </w:rPr>
        <w:t>(Bitler et al., 2006)</w:t>
      </w:r>
      <w:r w:rsidR="000463C0">
        <w:rPr>
          <w:rFonts w:ascii="Garamond" w:hAnsi="Garamond"/>
        </w:rPr>
        <w:t>. This is especially relevant to the income-health re</w:t>
      </w:r>
      <w:r w:rsidR="00DC34D0">
        <w:rPr>
          <w:rFonts w:ascii="Garamond" w:hAnsi="Garamond"/>
        </w:rPr>
        <w:t>lationship</w:t>
      </w:r>
      <w:r w:rsidR="00FD2B92">
        <w:rPr>
          <w:rFonts w:ascii="Garamond" w:hAnsi="Garamond"/>
        </w:rPr>
        <w:t>,</w:t>
      </w:r>
      <w:r w:rsidR="00DC34D0">
        <w:rPr>
          <w:rFonts w:ascii="Garamond" w:hAnsi="Garamond"/>
        </w:rPr>
        <w:t xml:space="preserve"> whe</w:t>
      </w:r>
      <w:r w:rsidR="00265136">
        <w:rPr>
          <w:rFonts w:ascii="Garamond" w:hAnsi="Garamond"/>
        </w:rPr>
        <w:t>n</w:t>
      </w:r>
      <w:r w:rsidR="00DC34D0">
        <w:rPr>
          <w:rFonts w:ascii="Garamond" w:hAnsi="Garamond"/>
        </w:rPr>
        <w:t xml:space="preserve"> </w:t>
      </w:r>
      <w:r w:rsidR="00FD2B92">
        <w:rPr>
          <w:rFonts w:ascii="Garamond" w:hAnsi="Garamond"/>
        </w:rPr>
        <w:t>clinical concern is focused on the tail of the distributions and whe</w:t>
      </w:r>
      <w:r w:rsidR="00265136">
        <w:rPr>
          <w:rFonts w:ascii="Garamond" w:hAnsi="Garamond"/>
        </w:rPr>
        <w:t>n</w:t>
      </w:r>
      <w:r w:rsidR="00FD2B92">
        <w:rPr>
          <w:rFonts w:ascii="Garamond" w:hAnsi="Garamond"/>
        </w:rPr>
        <w:t xml:space="preserve"> </w:t>
      </w:r>
      <w:r w:rsidR="00DC34D0">
        <w:rPr>
          <w:rFonts w:ascii="Garamond" w:hAnsi="Garamond"/>
        </w:rPr>
        <w:t>evaluating the</w:t>
      </w:r>
      <w:r w:rsidR="000463C0">
        <w:rPr>
          <w:rFonts w:ascii="Garamond" w:hAnsi="Garamond"/>
        </w:rPr>
        <w:t xml:space="preserve"> income gradient at different</w:t>
      </w:r>
      <w:r w:rsidR="00A51BEE">
        <w:rPr>
          <w:rFonts w:ascii="Garamond" w:hAnsi="Garamond"/>
        </w:rPr>
        <w:t xml:space="preserve"> points of the distribution of </w:t>
      </w:r>
      <w:r w:rsidR="000463C0">
        <w:rPr>
          <w:rFonts w:ascii="Garamond" w:hAnsi="Garamond"/>
        </w:rPr>
        <w:t xml:space="preserve">health status </w:t>
      </w:r>
      <w:r w:rsidR="00C208DD">
        <w:rPr>
          <w:rFonts w:ascii="Garamond" w:hAnsi="Garamond"/>
        </w:rPr>
        <w:t xml:space="preserve">and decomposing income-related inequalities in health </w:t>
      </w:r>
      <w:r w:rsidR="000463C0">
        <w:rPr>
          <w:rFonts w:ascii="Garamond" w:hAnsi="Garamond"/>
        </w:rPr>
        <w:t>could be beneficial</w:t>
      </w:r>
      <w:r w:rsidR="00C208DD">
        <w:rPr>
          <w:rFonts w:ascii="Garamond" w:hAnsi="Garamond"/>
        </w:rPr>
        <w:t xml:space="preserve"> (Jones and Lopez, 2006)</w:t>
      </w:r>
      <w:r w:rsidR="000463C0">
        <w:rPr>
          <w:rFonts w:ascii="Garamond" w:hAnsi="Garamond"/>
        </w:rPr>
        <w:t xml:space="preserve">. </w:t>
      </w:r>
    </w:p>
    <w:p w14:paraId="5D4297A5" w14:textId="33FA4B87" w:rsidR="000463C0" w:rsidRPr="00F12B02" w:rsidRDefault="000463C0" w:rsidP="000463C0">
      <w:pPr>
        <w:jc w:val="both"/>
        <w:rPr>
          <w:rFonts w:ascii="Garamond" w:hAnsi="Garamond"/>
        </w:rPr>
      </w:pPr>
      <w:r>
        <w:rPr>
          <w:rFonts w:ascii="Garamond" w:hAnsi="Garamond"/>
        </w:rPr>
        <w:t xml:space="preserve">This lack of evidence is likely due to two factors. On one hand, </w:t>
      </w:r>
      <w:r w:rsidRPr="00405814">
        <w:rPr>
          <w:rFonts w:ascii="Garamond" w:hAnsi="Garamond"/>
        </w:rPr>
        <w:t xml:space="preserve">health </w:t>
      </w:r>
      <w:r>
        <w:rPr>
          <w:rFonts w:ascii="Garamond" w:hAnsi="Garamond"/>
        </w:rPr>
        <w:t>information is</w:t>
      </w:r>
      <w:r w:rsidRPr="00405814">
        <w:rPr>
          <w:rFonts w:ascii="Garamond" w:hAnsi="Garamond"/>
        </w:rPr>
        <w:t xml:space="preserve"> </w:t>
      </w:r>
      <w:r>
        <w:rPr>
          <w:rFonts w:ascii="Garamond" w:hAnsi="Garamond"/>
        </w:rPr>
        <w:t>often</w:t>
      </w:r>
      <w:r w:rsidRPr="00405814">
        <w:rPr>
          <w:rFonts w:ascii="Garamond" w:hAnsi="Garamond"/>
        </w:rPr>
        <w:t xml:space="preserve"> </w:t>
      </w:r>
      <w:r>
        <w:rPr>
          <w:rFonts w:ascii="Garamond" w:hAnsi="Garamond"/>
        </w:rPr>
        <w:t>un</w:t>
      </w:r>
      <w:r w:rsidRPr="00405814">
        <w:rPr>
          <w:rFonts w:ascii="Garamond" w:hAnsi="Garamond"/>
        </w:rPr>
        <w:t xml:space="preserve">available </w:t>
      </w:r>
      <w:r>
        <w:rPr>
          <w:rFonts w:ascii="Garamond" w:hAnsi="Garamond"/>
        </w:rPr>
        <w:t xml:space="preserve">on a continuous scale in standard health or </w:t>
      </w:r>
      <w:r w:rsidR="00FD2B92">
        <w:rPr>
          <w:rFonts w:ascii="Garamond" w:hAnsi="Garamond"/>
        </w:rPr>
        <w:t>social</w:t>
      </w:r>
      <w:r>
        <w:rPr>
          <w:rFonts w:ascii="Garamond" w:hAnsi="Garamond"/>
        </w:rPr>
        <w:t xml:space="preserve"> surveys. For instance, self-assessed health and functional limitations are collected on an ordinal scale while mortality is a dichotomous indicator (by nature). “Beyond the mean analysis” is obviously less attractive in these cases. On the other hand,</w:t>
      </w:r>
      <w:r w:rsidRPr="00E61AEE">
        <w:rPr>
          <w:rFonts w:ascii="Garamond" w:hAnsi="Garamond"/>
        </w:rPr>
        <w:t xml:space="preserve"> </w:t>
      </w:r>
      <w:r w:rsidR="00FD2B92">
        <w:rPr>
          <w:rFonts w:ascii="Garamond" w:hAnsi="Garamond"/>
        </w:rPr>
        <w:t xml:space="preserve">the </w:t>
      </w:r>
      <w:r w:rsidRPr="00E61AEE">
        <w:rPr>
          <w:rFonts w:ascii="Garamond" w:hAnsi="Garamond"/>
        </w:rPr>
        <w:t>literature in econometrics has developed</w:t>
      </w:r>
      <w:r>
        <w:rPr>
          <w:rFonts w:ascii="Garamond" w:hAnsi="Garamond"/>
        </w:rPr>
        <w:t xml:space="preserve"> </w:t>
      </w:r>
      <w:r w:rsidRPr="00E61AEE">
        <w:rPr>
          <w:rFonts w:ascii="Garamond" w:hAnsi="Garamond"/>
        </w:rPr>
        <w:t xml:space="preserve">techniques going </w:t>
      </w:r>
      <w:r w:rsidR="00811F94">
        <w:rPr>
          <w:rFonts w:ascii="Garamond" w:hAnsi="Garamond"/>
        </w:rPr>
        <w:t>“beyond the mean” only recently</w:t>
      </w:r>
      <w:r>
        <w:rPr>
          <w:rFonts w:ascii="Garamond" w:hAnsi="Garamond"/>
        </w:rPr>
        <w:t xml:space="preserve"> (see Fortin </w:t>
      </w:r>
      <w:r w:rsidRPr="00E61AEE">
        <w:rPr>
          <w:rFonts w:ascii="Garamond" w:hAnsi="Garamond"/>
        </w:rPr>
        <w:t>et al., 2011</w:t>
      </w:r>
      <w:r>
        <w:rPr>
          <w:rFonts w:ascii="Garamond" w:hAnsi="Garamond"/>
        </w:rPr>
        <w:t xml:space="preserve"> for a review</w:t>
      </w:r>
      <w:r w:rsidRPr="00E61AEE">
        <w:rPr>
          <w:rFonts w:ascii="Garamond" w:hAnsi="Garamond"/>
        </w:rPr>
        <w:t>)</w:t>
      </w:r>
      <w:r>
        <w:rPr>
          <w:rFonts w:ascii="Garamond" w:hAnsi="Garamond"/>
        </w:rPr>
        <w:t xml:space="preserve">. This is because, unlike </w:t>
      </w:r>
      <w:r w:rsidR="00391EDE">
        <w:rPr>
          <w:rFonts w:ascii="Garamond" w:hAnsi="Garamond"/>
        </w:rPr>
        <w:t xml:space="preserve">the </w:t>
      </w:r>
      <w:r w:rsidR="00A00E08">
        <w:rPr>
          <w:rFonts w:ascii="Garamond" w:hAnsi="Garamond"/>
        </w:rPr>
        <w:t>mean-based</w:t>
      </w:r>
      <w:r>
        <w:rPr>
          <w:rFonts w:ascii="Garamond" w:hAnsi="Garamond"/>
        </w:rPr>
        <w:t xml:space="preserve"> estimation framework, estimates on the entire distribution of the dependent variables, i.e. quantile regression</w:t>
      </w:r>
      <w:r w:rsidR="00391EDE">
        <w:rPr>
          <w:rFonts w:ascii="Garamond" w:hAnsi="Garamond"/>
        </w:rPr>
        <w:t>s</w:t>
      </w:r>
      <w:r>
        <w:rPr>
          <w:rFonts w:ascii="Garamond" w:hAnsi="Garamond"/>
        </w:rPr>
        <w:t>, cannot be easily used to estimate the impact of a covariate on the corresponding unconditional qua</w:t>
      </w:r>
      <w:r w:rsidR="00811F94">
        <w:rPr>
          <w:rFonts w:ascii="Garamond" w:hAnsi="Garamond"/>
        </w:rPr>
        <w:t>ntile of the dependent variable</w:t>
      </w:r>
      <w:r>
        <w:rPr>
          <w:rFonts w:ascii="Garamond" w:hAnsi="Garamond"/>
        </w:rPr>
        <w:t xml:space="preserve"> (Firpo, Fortin and </w:t>
      </w:r>
      <w:r w:rsidRPr="007F5F25">
        <w:rPr>
          <w:rFonts w:ascii="Garamond" w:hAnsi="Garamond"/>
        </w:rPr>
        <w:t>Lemieux</w:t>
      </w:r>
      <w:r>
        <w:rPr>
          <w:rFonts w:ascii="Garamond" w:hAnsi="Garamond"/>
        </w:rPr>
        <w:t xml:space="preserve">, 2009). </w:t>
      </w:r>
      <w:r w:rsidRPr="007D143F">
        <w:rPr>
          <w:rFonts w:ascii="Garamond" w:hAnsi="Garamond"/>
        </w:rPr>
        <w:t>OLS regressions provide consistent estimates of the</w:t>
      </w:r>
      <w:r w:rsidR="00A00E08">
        <w:rPr>
          <w:rFonts w:ascii="Garamond" w:hAnsi="Garamond"/>
        </w:rPr>
        <w:t xml:space="preserve"> coefficient</w:t>
      </w:r>
      <w:r w:rsidRPr="007D143F">
        <w:rPr>
          <w:rFonts w:ascii="Garamond" w:hAnsi="Garamond"/>
        </w:rPr>
        <w:t xml:space="preserve"> </w:t>
      </w:r>
      <m:oMath>
        <m:r>
          <w:rPr>
            <w:rFonts w:ascii="Cambria Math" w:hAnsi="Cambria Math"/>
          </w:rPr>
          <m:t>β</m:t>
        </m:r>
      </m:oMath>
      <w:r w:rsidR="00A00E08" w:rsidRPr="007D143F">
        <w:rPr>
          <w:rFonts w:ascii="Garamond" w:hAnsi="Garamond"/>
        </w:rPr>
        <w:t xml:space="preserve"> </w:t>
      </w:r>
      <w:r w:rsidRPr="007D143F">
        <w:rPr>
          <w:rFonts w:ascii="Garamond" w:hAnsi="Garamond"/>
        </w:rPr>
        <w:t xml:space="preserve">of an explanatory variable, X, </w:t>
      </w:r>
      <w:r w:rsidR="00A00E08">
        <w:rPr>
          <w:rFonts w:ascii="Garamond" w:hAnsi="Garamond"/>
        </w:rPr>
        <w:t>for</w:t>
      </w:r>
      <w:r w:rsidRPr="007D143F">
        <w:rPr>
          <w:rFonts w:ascii="Garamond" w:hAnsi="Garamond"/>
        </w:rPr>
        <w:t xml:space="preserve"> the population</w:t>
      </w:r>
      <w:r>
        <w:rPr>
          <w:rFonts w:ascii="Garamond" w:hAnsi="Garamond"/>
        </w:rPr>
        <w:t xml:space="preserve"> </w:t>
      </w:r>
      <w:r w:rsidRPr="007D143F">
        <w:rPr>
          <w:rFonts w:ascii="Garamond" w:hAnsi="Garamond"/>
        </w:rPr>
        <w:t>unconditional mean of an outcome variable, Y</w:t>
      </w:r>
      <w:r>
        <w:rPr>
          <w:rFonts w:ascii="Garamond" w:hAnsi="Garamond"/>
        </w:rPr>
        <w:t xml:space="preserve">, because the conditional mean, </w:t>
      </w:r>
      <m:oMath>
        <m:r>
          <w:rPr>
            <w:rFonts w:ascii="Cambria Math" w:hAnsi="Cambria Math"/>
          </w:rPr>
          <m:t>E[Y|X]</m:t>
        </m:r>
      </m:oMath>
      <w:r w:rsidRPr="007D143F">
        <w:rPr>
          <w:rFonts w:ascii="Garamond" w:hAnsi="Garamond"/>
        </w:rPr>
        <w:t>, averages up to the unconditional mean,</w:t>
      </w:r>
      <w:r>
        <w:rPr>
          <w:rFonts w:ascii="Garamond" w:hAnsi="Garamond"/>
        </w:rPr>
        <w:t xml:space="preserve"> </w:t>
      </w:r>
      <m:oMath>
        <m:r>
          <w:rPr>
            <w:rFonts w:ascii="Cambria Math" w:hAnsi="Cambria Math"/>
          </w:rPr>
          <m:t>E[Y]</m:t>
        </m:r>
      </m:oMath>
      <w:r w:rsidR="00DC34D0">
        <w:rPr>
          <w:rFonts w:ascii="Garamond" w:hAnsi="Garamond"/>
        </w:rPr>
        <w:t xml:space="preserve">, </w:t>
      </w:r>
      <w:r w:rsidRPr="007D143F">
        <w:rPr>
          <w:rFonts w:ascii="Garamond" w:hAnsi="Garamond"/>
        </w:rPr>
        <w:t>due to the law of iterated expectations</w:t>
      </w:r>
      <w:r>
        <w:rPr>
          <w:rFonts w:ascii="Garamond" w:hAnsi="Garamond"/>
        </w:rPr>
        <w:t xml:space="preserve">. As a consequence, a linear model for conditional means </w:t>
      </w:r>
      <m:oMath>
        <m:r>
          <w:rPr>
            <w:rFonts w:ascii="Cambria Math" w:hAnsi="Cambria Math"/>
          </w:rPr>
          <m:t>E</m:t>
        </m:r>
        <m:d>
          <m:dPr>
            <m:begChr m:val="["/>
            <m:endChr m:val="]"/>
            <m:ctrlPr>
              <w:rPr>
                <w:rFonts w:ascii="Cambria Math" w:hAnsi="Cambria Math"/>
                <w:i/>
              </w:rPr>
            </m:ctrlPr>
          </m:dPr>
          <m:e>
            <m:r>
              <w:rPr>
                <w:rFonts w:ascii="Cambria Math" w:hAnsi="Cambria Math"/>
              </w:rPr>
              <m:t>Y</m:t>
            </m:r>
          </m:e>
          <m:e>
            <m:r>
              <w:rPr>
                <w:rFonts w:ascii="Cambria Math" w:hAnsi="Cambria Math"/>
              </w:rPr>
              <m:t>X</m:t>
            </m:r>
          </m:e>
        </m:d>
        <m:r>
          <w:rPr>
            <w:rFonts w:ascii="Cambria Math" w:hAnsi="Cambria Math"/>
          </w:rPr>
          <m:t>=Xβ</m:t>
        </m:r>
      </m:oMath>
      <w:r>
        <w:rPr>
          <w:rFonts w:ascii="Garamond" w:hAnsi="Garamond"/>
        </w:rPr>
        <w:t xml:space="preserve"> implies that </w:t>
      </w:r>
      <m:oMath>
        <m:r>
          <w:rPr>
            <w:rFonts w:ascii="Cambria Math" w:hAnsi="Cambria Math"/>
          </w:rPr>
          <m:t>E[Y]=E[X]β</m:t>
        </m:r>
      </m:oMath>
      <w:r w:rsidR="00DC34D0">
        <w:rPr>
          <w:rFonts w:ascii="Garamond" w:hAnsi="Garamond"/>
        </w:rPr>
        <w:t xml:space="preserve"> </w:t>
      </w:r>
      <w:r>
        <w:rPr>
          <w:rFonts w:ascii="Garamond" w:hAnsi="Garamond"/>
        </w:rPr>
        <w:t xml:space="preserve">and </w:t>
      </w:r>
      <w:r w:rsidRPr="007D143F">
        <w:rPr>
          <w:rFonts w:ascii="Garamond" w:hAnsi="Garamond"/>
        </w:rPr>
        <w:t xml:space="preserve">OLS estimates of </w:t>
      </w:r>
      <m:oMath>
        <m:r>
          <w:rPr>
            <w:rFonts w:ascii="Cambria Math" w:hAnsi="Cambria Math"/>
          </w:rPr>
          <m:t>β</m:t>
        </m:r>
      </m:oMath>
      <w:r>
        <w:rPr>
          <w:rFonts w:ascii="Garamond" w:hAnsi="Garamond"/>
        </w:rPr>
        <w:t xml:space="preserve"> </w:t>
      </w:r>
      <w:r w:rsidRPr="007D143F">
        <w:rPr>
          <w:rFonts w:ascii="Garamond" w:hAnsi="Garamond"/>
        </w:rPr>
        <w:t>also indicate what</w:t>
      </w:r>
      <w:r>
        <w:rPr>
          <w:rFonts w:ascii="Garamond" w:hAnsi="Garamond"/>
        </w:rPr>
        <w:t xml:space="preserve"> i</w:t>
      </w:r>
      <w:r w:rsidRPr="007D143F">
        <w:rPr>
          <w:rFonts w:ascii="Garamond" w:hAnsi="Garamond"/>
        </w:rPr>
        <w:t xml:space="preserve">s the impact of </w:t>
      </w:r>
      <m:oMath>
        <m:r>
          <w:rPr>
            <w:rFonts w:ascii="Cambria Math" w:hAnsi="Cambria Math"/>
          </w:rPr>
          <m:t>X</m:t>
        </m:r>
      </m:oMath>
      <w:r>
        <w:rPr>
          <w:rFonts w:ascii="Garamond" w:hAnsi="Garamond"/>
        </w:rPr>
        <w:t xml:space="preserve"> on the population average of </w:t>
      </w:r>
      <m:oMath>
        <m:r>
          <w:rPr>
            <w:rFonts w:ascii="Cambria Math" w:hAnsi="Cambria Math"/>
          </w:rPr>
          <m:t>Y</m:t>
        </m:r>
      </m:oMath>
      <w:r>
        <w:rPr>
          <w:rFonts w:ascii="Garamond" w:hAnsi="Garamond"/>
        </w:rPr>
        <w:t xml:space="preserve"> (Firpo, Fortin and Lemiux</w:t>
      </w:r>
      <w:r w:rsidR="00811F94">
        <w:rPr>
          <w:rFonts w:ascii="Garamond" w:hAnsi="Garamond"/>
        </w:rPr>
        <w:t>,</w:t>
      </w:r>
      <w:r>
        <w:rPr>
          <w:rFonts w:ascii="Garamond" w:hAnsi="Garamond"/>
        </w:rPr>
        <w:t xml:space="preserve"> 2009). When the attention shifts towards the entire distribution, the situation is more complicated because </w:t>
      </w:r>
      <w:r w:rsidRPr="00F12B02">
        <w:rPr>
          <w:rFonts w:ascii="Garamond" w:hAnsi="Garamond"/>
        </w:rPr>
        <w:t>conditional quantiles do not average up to their</w:t>
      </w:r>
      <w:r>
        <w:rPr>
          <w:rFonts w:ascii="Garamond" w:hAnsi="Garamond"/>
        </w:rPr>
        <w:t xml:space="preserve"> </w:t>
      </w:r>
      <w:r w:rsidRPr="00F12B02">
        <w:rPr>
          <w:rFonts w:ascii="Garamond" w:hAnsi="Garamond"/>
        </w:rPr>
        <w:t>population counterparts</w:t>
      </w:r>
      <w:r>
        <w:rPr>
          <w:rFonts w:ascii="Garamond" w:hAnsi="Garamond"/>
        </w:rPr>
        <w:t xml:space="preserve">, ie: </w:t>
      </w:r>
      <m:oMath>
        <m:sSub>
          <m:sSubPr>
            <m:ctrlPr>
              <w:rPr>
                <w:rFonts w:ascii="Cambria Math" w:hAnsi="Cambria Math"/>
                <w:i/>
              </w:rPr>
            </m:ctrlPr>
          </m:sSubPr>
          <m:e>
            <m:r>
              <w:rPr>
                <w:rFonts w:ascii="Cambria Math" w:hAnsi="Cambria Math"/>
              </w:rPr>
              <m:t>q</m:t>
            </m:r>
          </m:e>
          <m:sub>
            <m:r>
              <w:rPr>
                <w:rFonts w:ascii="Cambria Math" w:hAnsi="Cambria Math"/>
              </w:rPr>
              <m:t>y</m:t>
            </m:r>
          </m:sub>
        </m:sSub>
        <m:d>
          <m:dPr>
            <m:ctrlPr>
              <w:rPr>
                <w:rFonts w:ascii="Cambria Math" w:hAnsi="Cambria Math"/>
                <w:i/>
              </w:rPr>
            </m:ctrlPr>
          </m:dPr>
          <m:e>
            <m:r>
              <w:rPr>
                <w:rFonts w:ascii="Cambria Math" w:hAnsi="Cambria Math"/>
              </w:rPr>
              <m:t>τ</m:t>
            </m:r>
          </m:e>
        </m:d>
        <m:r>
          <w:rPr>
            <w:rFonts w:ascii="Cambria Math" w:hAnsi="Cambria Math"/>
          </w:rPr>
          <m:t>≠E[</m:t>
        </m:r>
        <m:sSub>
          <m:sSubPr>
            <m:ctrlPr>
              <w:rPr>
                <w:rFonts w:ascii="Cambria Math" w:hAnsi="Cambria Math"/>
                <w:i/>
              </w:rPr>
            </m:ctrlPr>
          </m:sSubPr>
          <m:e>
            <m:r>
              <w:rPr>
                <w:rFonts w:ascii="Cambria Math" w:hAnsi="Cambria Math"/>
              </w:rPr>
              <m:t>q</m:t>
            </m:r>
          </m:e>
          <m:sub>
            <m:r>
              <w:rPr>
                <w:rFonts w:ascii="Cambria Math" w:hAnsi="Cambria Math"/>
              </w:rPr>
              <m:t>y|X</m:t>
            </m:r>
          </m:sub>
        </m:sSub>
        <m:r>
          <w:rPr>
            <w:rFonts w:ascii="Cambria Math" w:hAnsi="Cambria Math"/>
          </w:rPr>
          <m:t>(τ)]</m:t>
        </m:r>
      </m:oMath>
      <w:r>
        <w:rPr>
          <w:rFonts w:ascii="Garamond" w:hAnsi="Garamond"/>
        </w:rPr>
        <w:t>. The analysis “beyond the mean” of the unconditional distribution of the dependent variable is then more challenging.</w:t>
      </w:r>
    </w:p>
    <w:p w14:paraId="5EC08D33" w14:textId="296155B5" w:rsidR="000463C0" w:rsidRDefault="000463C0" w:rsidP="000463C0">
      <w:pPr>
        <w:jc w:val="both"/>
        <w:rPr>
          <w:rFonts w:ascii="Garamond" w:hAnsi="Garamond"/>
        </w:rPr>
      </w:pPr>
      <w:r>
        <w:rPr>
          <w:rFonts w:ascii="Garamond" w:hAnsi="Garamond"/>
        </w:rPr>
        <w:t xml:space="preserve">In this paper, we use </w:t>
      </w:r>
      <w:r w:rsidR="00C208DD">
        <w:rPr>
          <w:rFonts w:ascii="Garamond" w:hAnsi="Garamond"/>
        </w:rPr>
        <w:t>a</w:t>
      </w:r>
      <w:r>
        <w:rPr>
          <w:rFonts w:ascii="Garamond" w:hAnsi="Garamond"/>
        </w:rPr>
        <w:t xml:space="preserve"> distributional method proposed in the </w:t>
      </w:r>
      <w:r w:rsidR="00C208DD">
        <w:rPr>
          <w:rFonts w:ascii="Garamond" w:hAnsi="Garamond"/>
        </w:rPr>
        <w:t xml:space="preserve">recent </w:t>
      </w:r>
      <w:r>
        <w:rPr>
          <w:rFonts w:ascii="Garamond" w:hAnsi="Garamond"/>
        </w:rPr>
        <w:t xml:space="preserve">literature, the recentered influence function </w:t>
      </w:r>
      <w:r w:rsidR="00A00E08">
        <w:rPr>
          <w:rFonts w:ascii="Garamond" w:hAnsi="Garamond"/>
        </w:rPr>
        <w:t xml:space="preserve">(RIF) </w:t>
      </w:r>
      <w:r>
        <w:rPr>
          <w:rFonts w:ascii="Garamond" w:hAnsi="Garamond"/>
        </w:rPr>
        <w:t>approach of</w:t>
      </w:r>
      <w:r w:rsidRPr="007F5F25">
        <w:rPr>
          <w:rFonts w:ascii="Garamond" w:hAnsi="Garamond"/>
        </w:rPr>
        <w:t xml:space="preserve"> Firpo, Fortin and Lemieux (2009)</w:t>
      </w:r>
      <w:r>
        <w:rPr>
          <w:rFonts w:ascii="Garamond" w:hAnsi="Garamond"/>
        </w:rPr>
        <w:t xml:space="preserve"> to estimate the income gradient for a continuous measure of objective health status: blood-based biomarkers. </w:t>
      </w:r>
      <w:r w:rsidRPr="00B35C9B">
        <w:rPr>
          <w:rFonts w:ascii="Garamond" w:hAnsi="Garamond"/>
        </w:rPr>
        <w:t>Biomarkers</w:t>
      </w:r>
      <w:r>
        <w:rPr>
          <w:rFonts w:ascii="Garamond" w:hAnsi="Garamond"/>
        </w:rPr>
        <w:t xml:space="preserve"> are </w:t>
      </w:r>
      <w:r w:rsidRPr="00206127">
        <w:rPr>
          <w:rFonts w:ascii="Garamond" w:hAnsi="Garamond"/>
        </w:rPr>
        <w:t>characteristics that are ‘objectively measured and evaluated as indicator</w:t>
      </w:r>
      <w:r>
        <w:rPr>
          <w:rFonts w:ascii="Garamond" w:hAnsi="Garamond"/>
        </w:rPr>
        <w:t>s</w:t>
      </w:r>
      <w:r w:rsidRPr="00206127">
        <w:rPr>
          <w:rFonts w:ascii="Garamond" w:hAnsi="Garamond"/>
        </w:rPr>
        <w:t xml:space="preserve"> of normal biological processes, pathogenic processes, or pharmacologic responses </w:t>
      </w:r>
      <w:r w:rsidRPr="00206127">
        <w:rPr>
          <w:rFonts w:ascii="Garamond" w:hAnsi="Garamond"/>
        </w:rPr>
        <w:lastRenderedPageBreak/>
        <w:t>to a therapeutic intervention’</w:t>
      </w:r>
      <w:r>
        <w:rPr>
          <w:rStyle w:val="FootnoteReference"/>
          <w:rFonts w:ascii="Garamond" w:hAnsi="Garamond"/>
        </w:rPr>
        <w:footnoteReference w:id="1"/>
      </w:r>
      <w:r w:rsidRPr="00206127">
        <w:rPr>
          <w:rFonts w:ascii="Garamond" w:hAnsi="Garamond"/>
        </w:rPr>
        <w:t>. They</w:t>
      </w:r>
      <w:r>
        <w:rPr>
          <w:rFonts w:ascii="Garamond" w:hAnsi="Garamond"/>
        </w:rPr>
        <w:t xml:space="preserve"> are measured on a continuous scale associated with an increasing or decreasing risk (depending on the biomarker) of a disease state and they are </w:t>
      </w:r>
      <w:r w:rsidR="00FD2B92">
        <w:rPr>
          <w:rFonts w:ascii="Garamond" w:hAnsi="Garamond"/>
        </w:rPr>
        <w:t xml:space="preserve">often </w:t>
      </w:r>
      <w:r>
        <w:rPr>
          <w:rFonts w:ascii="Garamond" w:hAnsi="Garamond"/>
        </w:rPr>
        <w:t>highly correlated with mortality (</w:t>
      </w:r>
      <w:r w:rsidR="00CF75E2">
        <w:rPr>
          <w:rFonts w:ascii="Garamond" w:hAnsi="Garamond"/>
        </w:rPr>
        <w:t>Rosero-</w:t>
      </w:r>
      <w:r>
        <w:rPr>
          <w:rFonts w:ascii="Garamond" w:hAnsi="Garamond"/>
        </w:rPr>
        <w:t>Bixby and Dow, 2012; Sattar et al., 2009; Gruenewald et al., 2006</w:t>
      </w:r>
      <w:r w:rsidRPr="007B5586">
        <w:rPr>
          <w:rFonts w:ascii="Garamond" w:hAnsi="Garamond"/>
        </w:rPr>
        <w:t>).</w:t>
      </w:r>
      <w:r>
        <w:rPr>
          <w:rFonts w:ascii="Garamond" w:hAnsi="Garamond"/>
        </w:rPr>
        <w:t xml:space="preserve"> We consider four blood-based biomarkers available in ten waves of the Health Survey for England (2003-2012) associated with </w:t>
      </w:r>
      <w:r w:rsidR="00391EDE">
        <w:rPr>
          <w:rFonts w:ascii="Garamond" w:hAnsi="Garamond"/>
        </w:rPr>
        <w:t xml:space="preserve">some of </w:t>
      </w:r>
      <w:r>
        <w:rPr>
          <w:rFonts w:ascii="Garamond" w:hAnsi="Garamond"/>
        </w:rPr>
        <w:t xml:space="preserve">the most </w:t>
      </w:r>
      <w:r w:rsidR="00391EDE">
        <w:rPr>
          <w:rFonts w:ascii="Garamond" w:hAnsi="Garamond"/>
        </w:rPr>
        <w:t>prevalent</w:t>
      </w:r>
      <w:r>
        <w:rPr>
          <w:rFonts w:ascii="Garamond" w:hAnsi="Garamond"/>
        </w:rPr>
        <w:t xml:space="preserve"> diseases in all </w:t>
      </w:r>
      <w:r w:rsidR="00FD2B92">
        <w:rPr>
          <w:rFonts w:ascii="Garamond" w:hAnsi="Garamond"/>
        </w:rPr>
        <w:t>W</w:t>
      </w:r>
      <w:r>
        <w:rPr>
          <w:rFonts w:ascii="Garamond" w:hAnsi="Garamond"/>
        </w:rPr>
        <w:t xml:space="preserve">estern countries: </w:t>
      </w:r>
      <w:r w:rsidRPr="0018711D">
        <w:rPr>
          <w:rFonts w:ascii="Garamond" w:hAnsi="Garamond"/>
        </w:rPr>
        <w:t>c</w:t>
      </w:r>
      <w:r w:rsidRPr="00D80556">
        <w:rPr>
          <w:rFonts w:ascii="Garamond" w:hAnsi="Garamond"/>
        </w:rPr>
        <w:t xml:space="preserve">holesterol, </w:t>
      </w:r>
      <w:r w:rsidRPr="0018711D">
        <w:rPr>
          <w:rFonts w:ascii="Garamond" w:hAnsi="Garamond"/>
        </w:rPr>
        <w:t>g</w:t>
      </w:r>
      <w:r w:rsidRPr="00D80556">
        <w:rPr>
          <w:rFonts w:ascii="Garamond" w:hAnsi="Garamond"/>
        </w:rPr>
        <w:t xml:space="preserve">lycated </w:t>
      </w:r>
      <w:r w:rsidRPr="0018711D">
        <w:rPr>
          <w:rFonts w:ascii="Garamond" w:hAnsi="Garamond"/>
        </w:rPr>
        <w:t>h</w:t>
      </w:r>
      <w:r w:rsidRPr="00D80556">
        <w:rPr>
          <w:rFonts w:ascii="Garamond" w:hAnsi="Garamond"/>
        </w:rPr>
        <w:t xml:space="preserve">aemoglobin, </w:t>
      </w:r>
      <w:r w:rsidRPr="0018711D">
        <w:rPr>
          <w:rFonts w:ascii="Garamond" w:hAnsi="Garamond"/>
        </w:rPr>
        <w:t>f</w:t>
      </w:r>
      <w:r w:rsidRPr="00D80556">
        <w:rPr>
          <w:rFonts w:ascii="Garamond" w:hAnsi="Garamond"/>
        </w:rPr>
        <w:t xml:space="preserve">ibrinogen and </w:t>
      </w:r>
      <w:r w:rsidRPr="0018711D">
        <w:rPr>
          <w:rFonts w:ascii="Garamond" w:hAnsi="Garamond"/>
        </w:rPr>
        <w:t>f</w:t>
      </w:r>
      <w:r w:rsidRPr="00D80556">
        <w:rPr>
          <w:rFonts w:ascii="Garamond" w:hAnsi="Garamond"/>
        </w:rPr>
        <w:t>erritin. Cholesterol</w:t>
      </w:r>
      <w:r>
        <w:rPr>
          <w:rFonts w:ascii="Garamond" w:hAnsi="Garamond"/>
        </w:rPr>
        <w:t xml:space="preserve"> measures “fat in the blood” and it is associated with a higher risk of heart disease; glycated haemoglob</w:t>
      </w:r>
      <w:r w:rsidR="00D834AD">
        <w:rPr>
          <w:rFonts w:ascii="Garamond" w:hAnsi="Garamond"/>
        </w:rPr>
        <w:t xml:space="preserve">in is a biomarker for diabetes; </w:t>
      </w:r>
      <w:r w:rsidR="00010AC5">
        <w:rPr>
          <w:rFonts w:ascii="Garamond" w:hAnsi="Garamond"/>
        </w:rPr>
        <w:t xml:space="preserve">fibrinogen is a haemostatic marker associated with many inflammatory diseases including cardiovascular and liver diseases; </w:t>
      </w:r>
      <w:r>
        <w:rPr>
          <w:rFonts w:ascii="Garamond" w:hAnsi="Garamond"/>
        </w:rPr>
        <w:t>ferritin is a biomarker for poor nutrition and is associated with other important diseases such as liver diseases</w:t>
      </w:r>
      <w:r w:rsidR="00010AC5">
        <w:rPr>
          <w:rFonts w:ascii="Garamond" w:hAnsi="Garamond"/>
        </w:rPr>
        <w:t>.</w:t>
      </w:r>
      <w:r w:rsidR="00B35C9B">
        <w:rPr>
          <w:rFonts w:ascii="Garamond" w:hAnsi="Garamond"/>
        </w:rPr>
        <w:t xml:space="preserve"> </w:t>
      </w:r>
      <w:r w:rsidR="00B35C9B" w:rsidRPr="00B35C9B">
        <w:rPr>
          <w:rFonts w:ascii="Garamond" w:hAnsi="Garamond" w:cs="BookAntiqua"/>
          <w:lang w:val="en-GB"/>
        </w:rPr>
        <w:t>Our data are cross sectional and do not lend themselves to an instrumental variable analysis that might permit causal inference. In keeping with the normative literature on the measurement of health equity we focus on the association between the biomarkers and gender, income and other socioeconomic factors.</w:t>
      </w:r>
    </w:p>
    <w:p w14:paraId="1BF5CBD3" w14:textId="09EA9ED2" w:rsidR="000463C0" w:rsidRDefault="000463C0" w:rsidP="000463C0">
      <w:pPr>
        <w:jc w:val="both"/>
        <w:rPr>
          <w:rFonts w:ascii="Garamond" w:hAnsi="Garamond"/>
        </w:rPr>
      </w:pPr>
      <w:r w:rsidRPr="003A61BF">
        <w:rPr>
          <w:rFonts w:ascii="Garamond" w:hAnsi="Garamond"/>
        </w:rPr>
        <w:t>Biomarker data have also been recently used to analy</w:t>
      </w:r>
      <w:r w:rsidR="00E05B3A">
        <w:rPr>
          <w:rFonts w:ascii="Garamond" w:hAnsi="Garamond"/>
        </w:rPr>
        <w:t>s</w:t>
      </w:r>
      <w:r w:rsidRPr="003A61BF">
        <w:rPr>
          <w:rFonts w:ascii="Garamond" w:hAnsi="Garamond"/>
        </w:rPr>
        <w:t xml:space="preserve">e the effect of socioeconomic position on the conditional mean of the biomarker score. Using biomarker data for diabetes, hypertension and cardiovascular diseases, Banks et al. (2006) found that English residents have on average better health than US residents. Juerges, Kruk and Reinhold (2013) found a positive relationship between schooling and biomarkers of cardiovascular diseases (fibrinogen and C-reactive protein). Muennig, Sohler and Mahato (2007) look at differences between socioeconomic groups in C-reactive protein and cholesterol homocysteine, associated with cardiovascular diseases. They found a positive effect of income and education on “good cholesterol” and a slightly significant effect on fibrinogen. </w:t>
      </w:r>
      <w:r w:rsidRPr="003A61BF">
        <w:rPr>
          <w:rFonts w:ascii="Garamond" w:hAnsi="Garamond"/>
          <w:bCs/>
        </w:rPr>
        <w:t>Ploubidis</w:t>
      </w:r>
      <w:r w:rsidRPr="003A61BF">
        <w:rPr>
          <w:rFonts w:ascii="Garamond" w:hAnsi="Garamond"/>
        </w:rPr>
        <w:t xml:space="preserve"> et al. (2014) found a negative impact of early life socioeconomic position on </w:t>
      </w:r>
      <w:r w:rsidRPr="0018711D">
        <w:rPr>
          <w:rFonts w:ascii="Garamond" w:hAnsi="Garamond"/>
        </w:rPr>
        <w:t>f</w:t>
      </w:r>
      <w:r w:rsidRPr="003A61BF">
        <w:rPr>
          <w:rFonts w:ascii="Garamond" w:hAnsi="Garamond"/>
        </w:rPr>
        <w:t>ibrinogen levels later in life. Dowd and Goldman (2006) tested the influence of stress biomarkers on the relationship between socioeconomic status and health. They found that chronic stress is actually not very different across socioeconomic groups. A key advantage from using biomarker data in all these analyses is having a measure of health which is free of reporting bias. This is particularly important given the intense debate around the extent of socioeconomic-related reporting bias.</w:t>
      </w:r>
      <w:r w:rsidRPr="003A61BF">
        <w:rPr>
          <w:rStyle w:val="FootnoteReference"/>
          <w:rFonts w:ascii="Garamond" w:hAnsi="Garamond"/>
        </w:rPr>
        <w:footnoteReference w:id="2"/>
      </w:r>
      <w:r w:rsidRPr="00417640">
        <w:rPr>
          <w:rFonts w:ascii="Garamond" w:hAnsi="Garamond"/>
        </w:rPr>
        <w:t xml:space="preserve">  </w:t>
      </w:r>
    </w:p>
    <w:p w14:paraId="3F991F84" w14:textId="71DA01F0" w:rsidR="00FD2B92" w:rsidRDefault="000463C0" w:rsidP="005C6112">
      <w:pPr>
        <w:autoSpaceDE w:val="0"/>
        <w:autoSpaceDN w:val="0"/>
        <w:adjustRightInd w:val="0"/>
        <w:spacing w:after="0"/>
        <w:jc w:val="both"/>
        <w:rPr>
          <w:rFonts w:ascii="Garamond" w:hAnsi="Garamond"/>
        </w:rPr>
      </w:pPr>
      <w:r w:rsidRPr="005C6112">
        <w:rPr>
          <w:rFonts w:ascii="Garamond" w:hAnsi="Garamond"/>
        </w:rPr>
        <w:t>All these studies corroborate the idea that social position and economic conditions contribute to shape o</w:t>
      </w:r>
      <w:r w:rsidR="00391EDE">
        <w:rPr>
          <w:rFonts w:ascii="Garamond" w:hAnsi="Garamond"/>
        </w:rPr>
        <w:t>bjective health</w:t>
      </w:r>
      <w:r w:rsidRPr="005C6112">
        <w:rPr>
          <w:rFonts w:ascii="Garamond" w:hAnsi="Garamond"/>
        </w:rPr>
        <w:t xml:space="preserve">. Our paper goes beyond this literature in two ways. Firstly, we use the unconditional quantile regression approach developed by Firpo, Fortin and Lemieux (2009) to </w:t>
      </w:r>
      <w:r w:rsidR="00F46D98">
        <w:rPr>
          <w:rFonts w:ascii="Garamond" w:hAnsi="Garamond"/>
        </w:rPr>
        <w:t>analy</w:t>
      </w:r>
      <w:r w:rsidR="00E05B3A">
        <w:rPr>
          <w:rFonts w:ascii="Garamond" w:hAnsi="Garamond"/>
        </w:rPr>
        <w:t>s</w:t>
      </w:r>
      <w:r w:rsidR="00F46D98">
        <w:rPr>
          <w:rFonts w:ascii="Garamond" w:hAnsi="Garamond"/>
        </w:rPr>
        <w:t>e</w:t>
      </w:r>
      <w:r w:rsidRPr="005C6112">
        <w:rPr>
          <w:rFonts w:ascii="Garamond" w:hAnsi="Garamond"/>
        </w:rPr>
        <w:t xml:space="preserve"> the </w:t>
      </w:r>
      <w:r w:rsidR="00F46D98">
        <w:rPr>
          <w:rFonts w:ascii="Garamond" w:hAnsi="Garamond"/>
        </w:rPr>
        <w:t>income gradient across the entire</w:t>
      </w:r>
      <w:r w:rsidR="00F46D98" w:rsidRPr="005C6112">
        <w:rPr>
          <w:rFonts w:ascii="Garamond" w:hAnsi="Garamond"/>
        </w:rPr>
        <w:t xml:space="preserve"> </w:t>
      </w:r>
      <w:r w:rsidRPr="005C6112">
        <w:rPr>
          <w:rFonts w:ascii="Garamond" w:hAnsi="Garamond"/>
        </w:rPr>
        <w:t xml:space="preserve">distribution of biomarkers. </w:t>
      </w:r>
      <w:r w:rsidR="00551A67">
        <w:rPr>
          <w:rFonts w:ascii="Garamond" w:hAnsi="Garamond"/>
        </w:rPr>
        <w:t xml:space="preserve">For a given </w:t>
      </w:r>
      <w:r w:rsidRPr="005C6112">
        <w:rPr>
          <w:rFonts w:ascii="Garamond" w:hAnsi="Garamond"/>
        </w:rPr>
        <w:t>quantile</w:t>
      </w:r>
      <w:r w:rsidR="00551A67">
        <w:rPr>
          <w:rFonts w:ascii="Garamond" w:hAnsi="Garamond"/>
        </w:rPr>
        <w:t xml:space="preserve"> of the distribution, the</w:t>
      </w:r>
      <w:r w:rsidRPr="005C6112">
        <w:rPr>
          <w:rFonts w:ascii="Garamond" w:hAnsi="Garamond"/>
        </w:rPr>
        <w:t xml:space="preserve"> method consists </w:t>
      </w:r>
      <w:r w:rsidR="00551A67">
        <w:rPr>
          <w:rFonts w:ascii="Garamond" w:hAnsi="Garamond"/>
        </w:rPr>
        <w:t>of applying the (recentered) influence function transformation to convert the dependent variable into a binary variable and then</w:t>
      </w:r>
      <w:r w:rsidRPr="005C6112">
        <w:rPr>
          <w:rFonts w:ascii="Garamond" w:hAnsi="Garamond"/>
        </w:rPr>
        <w:t xml:space="preserve"> running a </w:t>
      </w:r>
      <w:r w:rsidR="00551A67">
        <w:rPr>
          <w:rFonts w:ascii="Garamond" w:hAnsi="Garamond"/>
        </w:rPr>
        <w:t xml:space="preserve">linear probability model </w:t>
      </w:r>
      <w:r w:rsidRPr="005C6112">
        <w:rPr>
          <w:rFonts w:ascii="Garamond" w:hAnsi="Garamond"/>
        </w:rPr>
        <w:t xml:space="preserve">regression of the </w:t>
      </w:r>
      <w:r w:rsidR="00551A67">
        <w:rPr>
          <w:rFonts w:ascii="Garamond" w:hAnsi="Garamond"/>
        </w:rPr>
        <w:t>transformed variable</w:t>
      </w:r>
      <w:r w:rsidRPr="005C6112">
        <w:rPr>
          <w:rFonts w:ascii="Garamond" w:hAnsi="Garamond"/>
        </w:rPr>
        <w:t xml:space="preserve"> on the explanatory variables. </w:t>
      </w:r>
      <w:r w:rsidRPr="005C6112">
        <w:rPr>
          <w:rFonts w:ascii="Garamond" w:hAnsi="Garamond" w:cs="cmr12"/>
        </w:rPr>
        <w:t xml:space="preserve">The method works by providing a linear approximation </w:t>
      </w:r>
      <w:r w:rsidRPr="005C6112">
        <w:rPr>
          <w:rFonts w:ascii="Garamond" w:hAnsi="Garamond" w:cs="cmr12"/>
        </w:rPr>
        <w:lastRenderedPageBreak/>
        <w:t xml:space="preserve">to a non-linear functional of the distribution. This allows the law of iterated expectations to </w:t>
      </w:r>
      <w:r w:rsidR="00136CD6">
        <w:rPr>
          <w:rFonts w:ascii="Garamond" w:hAnsi="Garamond" w:cs="cmr12"/>
        </w:rPr>
        <w:t xml:space="preserve">be applied to </w:t>
      </w:r>
      <w:r w:rsidRPr="005C6112">
        <w:rPr>
          <w:rFonts w:ascii="Garamond" w:hAnsi="Garamond" w:cs="cmr12"/>
        </w:rPr>
        <w:t xml:space="preserve">the distributional statistics of interest (i.e. the quantiles) and thus to compute approximate partial effects of </w:t>
      </w:r>
      <w:r w:rsidR="00551A67">
        <w:rPr>
          <w:rFonts w:ascii="Garamond" w:hAnsi="Garamond" w:cs="cmr12"/>
        </w:rPr>
        <w:t xml:space="preserve">the </w:t>
      </w:r>
      <w:r w:rsidRPr="005C6112">
        <w:rPr>
          <w:rFonts w:ascii="Garamond" w:hAnsi="Garamond" w:cs="cmr12"/>
        </w:rPr>
        <w:t>covariate</w:t>
      </w:r>
      <w:r w:rsidR="00551A67">
        <w:rPr>
          <w:rFonts w:ascii="Garamond" w:hAnsi="Garamond" w:cs="cmr12"/>
        </w:rPr>
        <w:t>s</w:t>
      </w:r>
      <w:r w:rsidRPr="005C6112">
        <w:rPr>
          <w:rFonts w:ascii="Garamond" w:hAnsi="Garamond" w:cs="cmr12"/>
        </w:rPr>
        <w:t>. In our setting, this method allows us</w:t>
      </w:r>
      <w:r w:rsidRPr="005C6112">
        <w:rPr>
          <w:rFonts w:ascii="Garamond" w:hAnsi="Garamond"/>
        </w:rPr>
        <w:t xml:space="preserve"> to properly assess the income</w:t>
      </w:r>
      <w:r w:rsidR="00F46D98">
        <w:rPr>
          <w:rFonts w:ascii="Garamond" w:hAnsi="Garamond"/>
        </w:rPr>
        <w:t xml:space="preserve"> gradient</w:t>
      </w:r>
      <w:r w:rsidRPr="005C6112">
        <w:rPr>
          <w:rFonts w:ascii="Garamond" w:hAnsi="Garamond"/>
        </w:rPr>
        <w:t xml:space="preserve"> at different points of the unconditional </w:t>
      </w:r>
      <w:r w:rsidR="00FD2B92">
        <w:rPr>
          <w:rFonts w:ascii="Garamond" w:hAnsi="Garamond"/>
        </w:rPr>
        <w:t>distribution</w:t>
      </w:r>
      <w:r w:rsidRPr="005C6112">
        <w:rPr>
          <w:rFonts w:ascii="Garamond" w:hAnsi="Garamond"/>
        </w:rPr>
        <w:t xml:space="preserve"> of </w:t>
      </w:r>
      <w:r w:rsidR="00551A67">
        <w:rPr>
          <w:rFonts w:ascii="Garamond" w:hAnsi="Garamond"/>
        </w:rPr>
        <w:t xml:space="preserve">the </w:t>
      </w:r>
      <w:r w:rsidRPr="005C6112">
        <w:rPr>
          <w:rFonts w:ascii="Garamond" w:hAnsi="Garamond"/>
        </w:rPr>
        <w:t>biomarkers. This is desirable in order to check for non</w:t>
      </w:r>
      <w:r w:rsidR="00FD2B92">
        <w:rPr>
          <w:rFonts w:ascii="Garamond" w:hAnsi="Garamond"/>
        </w:rPr>
        <w:t>-</w:t>
      </w:r>
      <w:r w:rsidRPr="005C6112">
        <w:rPr>
          <w:rFonts w:ascii="Garamond" w:hAnsi="Garamond"/>
        </w:rPr>
        <w:t xml:space="preserve">linearities in the relationship between income and health and to assess the role of income at extreme biomarker levels which often indicate the presence or the risk of severe diseases </w:t>
      </w:r>
      <w:r w:rsidR="00FD2B92">
        <w:rPr>
          <w:rFonts w:ascii="Garamond" w:hAnsi="Garamond"/>
        </w:rPr>
        <w:t xml:space="preserve">that are </w:t>
      </w:r>
      <w:r w:rsidRPr="005C6112">
        <w:rPr>
          <w:rFonts w:ascii="Garamond" w:hAnsi="Garamond"/>
        </w:rPr>
        <w:t xml:space="preserve">associated with high costs for the health system. </w:t>
      </w:r>
    </w:p>
    <w:p w14:paraId="705AD7D4" w14:textId="77777777" w:rsidR="00FD2B92" w:rsidRDefault="00FD2B92" w:rsidP="005C6112">
      <w:pPr>
        <w:autoSpaceDE w:val="0"/>
        <w:autoSpaceDN w:val="0"/>
        <w:adjustRightInd w:val="0"/>
        <w:spacing w:after="0"/>
        <w:jc w:val="both"/>
        <w:rPr>
          <w:rFonts w:ascii="Garamond" w:hAnsi="Garamond"/>
        </w:rPr>
      </w:pPr>
    </w:p>
    <w:p w14:paraId="6816C7CA" w14:textId="28BC6FD6" w:rsidR="00544EA4" w:rsidRDefault="000463C0" w:rsidP="000463C0">
      <w:pPr>
        <w:autoSpaceDE w:val="0"/>
        <w:autoSpaceDN w:val="0"/>
        <w:adjustRightInd w:val="0"/>
        <w:spacing w:after="0"/>
        <w:jc w:val="both"/>
        <w:rPr>
          <w:rFonts w:ascii="Garamond" w:hAnsi="Garamond" w:cs="AdvP7B6C"/>
        </w:rPr>
      </w:pPr>
      <w:r w:rsidRPr="005C6112">
        <w:rPr>
          <w:rFonts w:ascii="Garamond" w:hAnsi="Garamond"/>
        </w:rPr>
        <w:t xml:space="preserve">Secondly, we apply </w:t>
      </w:r>
      <w:r w:rsidR="00FD2B92">
        <w:rPr>
          <w:rFonts w:ascii="Garamond" w:hAnsi="Garamond"/>
        </w:rPr>
        <w:t xml:space="preserve">an </w:t>
      </w:r>
      <w:r w:rsidRPr="005C6112">
        <w:rPr>
          <w:rFonts w:ascii="Garamond" w:hAnsi="Garamond"/>
        </w:rPr>
        <w:t xml:space="preserve">Oaxaca-Blinder decomposition at various quantiles of </w:t>
      </w:r>
      <w:r w:rsidR="00FD2B92">
        <w:rPr>
          <w:rFonts w:ascii="Garamond" w:hAnsi="Garamond"/>
        </w:rPr>
        <w:t xml:space="preserve">the </w:t>
      </w:r>
      <w:r w:rsidRPr="005C6112">
        <w:rPr>
          <w:rFonts w:ascii="Garamond" w:hAnsi="Garamond"/>
        </w:rPr>
        <w:t>biomarker distribution</w:t>
      </w:r>
      <w:r w:rsidR="00FD2B92">
        <w:rPr>
          <w:rFonts w:ascii="Garamond" w:hAnsi="Garamond"/>
        </w:rPr>
        <w:t>s</w:t>
      </w:r>
      <w:r w:rsidRPr="005C6112">
        <w:rPr>
          <w:rFonts w:ascii="Garamond" w:hAnsi="Garamond"/>
        </w:rPr>
        <w:t xml:space="preserve"> to analy</w:t>
      </w:r>
      <w:r w:rsidR="00FD2B92">
        <w:rPr>
          <w:rFonts w:ascii="Garamond" w:hAnsi="Garamond"/>
        </w:rPr>
        <w:t>s</w:t>
      </w:r>
      <w:r w:rsidRPr="005C6112">
        <w:rPr>
          <w:rFonts w:ascii="Garamond" w:hAnsi="Garamond"/>
        </w:rPr>
        <w:t xml:space="preserve">e </w:t>
      </w:r>
      <w:r w:rsidR="00544EA4" w:rsidRPr="005C6112">
        <w:rPr>
          <w:rFonts w:ascii="Garamond" w:hAnsi="Garamond"/>
        </w:rPr>
        <w:t xml:space="preserve">gender differentials in </w:t>
      </w:r>
      <w:r w:rsidR="00065660">
        <w:rPr>
          <w:rFonts w:ascii="Garamond" w:hAnsi="Garamond"/>
        </w:rPr>
        <w:t>biomarkers</w:t>
      </w:r>
      <w:r w:rsidR="00065660" w:rsidRPr="005C6112">
        <w:rPr>
          <w:rFonts w:ascii="Garamond" w:hAnsi="Garamond"/>
        </w:rPr>
        <w:t xml:space="preserve"> </w:t>
      </w:r>
      <w:r w:rsidRPr="005C6112">
        <w:rPr>
          <w:rFonts w:ascii="Garamond" w:hAnsi="Garamond"/>
        </w:rPr>
        <w:t xml:space="preserve">and to measure the contribution of income (and other covariates) to these </w:t>
      </w:r>
      <w:r w:rsidR="00983B7B">
        <w:rPr>
          <w:rFonts w:ascii="Garamond" w:hAnsi="Garamond"/>
        </w:rPr>
        <w:t>differentials</w:t>
      </w:r>
      <w:r w:rsidRPr="005C6112">
        <w:rPr>
          <w:rFonts w:ascii="Garamond" w:hAnsi="Garamond"/>
        </w:rPr>
        <w:t>.</w:t>
      </w:r>
      <w:r w:rsidR="00D0398F" w:rsidRPr="005C6112">
        <w:rPr>
          <w:rFonts w:ascii="Garamond" w:hAnsi="Garamond"/>
        </w:rPr>
        <w:t xml:space="preserve"> </w:t>
      </w:r>
      <w:r w:rsidR="00065660">
        <w:rPr>
          <w:rFonts w:ascii="Garamond" w:hAnsi="Garamond"/>
        </w:rPr>
        <w:t>Oaxaca-Blinder d</w:t>
      </w:r>
      <w:r w:rsidR="00D0398F" w:rsidRPr="005C6112">
        <w:rPr>
          <w:rFonts w:ascii="Garamond" w:hAnsi="Garamond"/>
        </w:rPr>
        <w:t xml:space="preserve">ecomposition </w:t>
      </w:r>
      <w:r w:rsidR="00C06CE9" w:rsidRPr="005C6112">
        <w:rPr>
          <w:rFonts w:ascii="Garamond" w:hAnsi="Garamond"/>
        </w:rPr>
        <w:t>assess</w:t>
      </w:r>
      <w:r w:rsidR="00FD2B92">
        <w:rPr>
          <w:rFonts w:ascii="Garamond" w:hAnsi="Garamond"/>
        </w:rPr>
        <w:t>es</w:t>
      </w:r>
      <w:r w:rsidR="00C06CE9" w:rsidRPr="005C6112">
        <w:rPr>
          <w:rFonts w:ascii="Garamond" w:hAnsi="Garamond"/>
        </w:rPr>
        <w:t xml:space="preserve"> to </w:t>
      </w:r>
      <w:r w:rsidR="00D0398F" w:rsidRPr="005C6112">
        <w:rPr>
          <w:rFonts w:ascii="Garamond" w:hAnsi="Garamond"/>
        </w:rPr>
        <w:t xml:space="preserve">what extent </w:t>
      </w:r>
      <w:r w:rsidR="00676D94">
        <w:rPr>
          <w:rFonts w:ascii="Garamond" w:hAnsi="Garamond"/>
        </w:rPr>
        <w:t>gender differentials in biomarkers</w:t>
      </w:r>
      <w:r w:rsidR="00D0398F" w:rsidRPr="005C6112">
        <w:rPr>
          <w:rFonts w:ascii="Garamond" w:hAnsi="Garamond"/>
        </w:rPr>
        <w:t xml:space="preserve"> are explaine</w:t>
      </w:r>
      <w:r w:rsidR="00E47D89">
        <w:rPr>
          <w:rFonts w:ascii="Garamond" w:hAnsi="Garamond"/>
        </w:rPr>
        <w:t xml:space="preserve">d by compositional differences, </w:t>
      </w:r>
      <w:r w:rsidR="00010AC5">
        <w:rPr>
          <w:rFonts w:ascii="Garamond" w:hAnsi="Garamond"/>
        </w:rPr>
        <w:t xml:space="preserve">due to </w:t>
      </w:r>
      <w:r w:rsidR="00D0398F" w:rsidRPr="005C6112">
        <w:rPr>
          <w:rFonts w:ascii="Garamond" w:hAnsi="Garamond"/>
        </w:rPr>
        <w:t>dif</w:t>
      </w:r>
      <w:r w:rsidR="00E47D89">
        <w:rPr>
          <w:rFonts w:ascii="Garamond" w:hAnsi="Garamond"/>
        </w:rPr>
        <w:t>ferences in observed covariates,</w:t>
      </w:r>
      <w:r w:rsidR="00D0398F" w:rsidRPr="005C6112">
        <w:rPr>
          <w:rFonts w:ascii="Garamond" w:hAnsi="Garamond"/>
        </w:rPr>
        <w:t xml:space="preserve"> or by differences in </w:t>
      </w:r>
      <w:r w:rsidR="00010AC5">
        <w:rPr>
          <w:rFonts w:ascii="Garamond" w:hAnsi="Garamond"/>
        </w:rPr>
        <w:t xml:space="preserve">the </w:t>
      </w:r>
      <w:r w:rsidR="00D0398F" w:rsidRPr="005C6112">
        <w:rPr>
          <w:rFonts w:ascii="Garamond" w:hAnsi="Garamond"/>
        </w:rPr>
        <w:t xml:space="preserve">elasticity of health with respect to income and other factors. </w:t>
      </w:r>
      <w:r w:rsidR="000334F7">
        <w:rPr>
          <w:rFonts w:ascii="Garamond" w:hAnsi="Garamond"/>
        </w:rPr>
        <w:t xml:space="preserve">More generally, </w:t>
      </w:r>
      <w:r w:rsidR="000334F7">
        <w:rPr>
          <w:rFonts w:ascii="Garamond" w:hAnsi="Garamond" w:cs="AdvP7B6C"/>
          <w:color w:val="000000"/>
        </w:rPr>
        <w:t xml:space="preserve">decomposition analysis </w:t>
      </w:r>
      <w:r w:rsidR="00065660">
        <w:rPr>
          <w:rFonts w:ascii="Garamond" w:hAnsi="Garamond" w:cs="AdvP7B6C"/>
          <w:color w:val="000000"/>
        </w:rPr>
        <w:t xml:space="preserve">is </w:t>
      </w:r>
      <w:r w:rsidR="00010AC5">
        <w:rPr>
          <w:rFonts w:ascii="Garamond" w:hAnsi="Garamond" w:cs="AdvP7B6C"/>
          <w:color w:val="000000"/>
        </w:rPr>
        <w:t>useful</w:t>
      </w:r>
      <w:r w:rsidR="00065660">
        <w:rPr>
          <w:rFonts w:ascii="Garamond" w:hAnsi="Garamond" w:cs="AdvP7B6C"/>
          <w:color w:val="000000"/>
        </w:rPr>
        <w:t xml:space="preserve"> for</w:t>
      </w:r>
      <w:r w:rsidR="00E845C6" w:rsidRPr="005C6112">
        <w:rPr>
          <w:rFonts w:ascii="Garamond" w:hAnsi="Garamond" w:cs="AdvP7B6C"/>
          <w:color w:val="000000"/>
        </w:rPr>
        <w:t xml:space="preserve"> </w:t>
      </w:r>
      <w:r w:rsidR="00FD2B92">
        <w:rPr>
          <w:rFonts w:ascii="Garamond" w:hAnsi="Garamond" w:cs="AdvP7B6C"/>
          <w:color w:val="000000"/>
        </w:rPr>
        <w:t xml:space="preserve">drawing </w:t>
      </w:r>
      <w:r w:rsidR="00D0398F" w:rsidRPr="005C6112">
        <w:rPr>
          <w:rFonts w:ascii="Garamond" w:hAnsi="Garamond" w:cs="AdvP7B6C"/>
          <w:color w:val="000000"/>
        </w:rPr>
        <w:t xml:space="preserve">policy </w:t>
      </w:r>
      <w:r w:rsidR="00E845C6" w:rsidRPr="005C6112">
        <w:rPr>
          <w:rFonts w:ascii="Garamond" w:hAnsi="Garamond" w:cs="AdvP7B6C"/>
          <w:color w:val="000000"/>
        </w:rPr>
        <w:t xml:space="preserve">implications </w:t>
      </w:r>
      <w:r w:rsidR="00D0398F" w:rsidRPr="005C6112">
        <w:rPr>
          <w:rFonts w:ascii="Garamond" w:hAnsi="Garamond" w:cs="AdvP7B6C"/>
          <w:color w:val="000000"/>
        </w:rPr>
        <w:t xml:space="preserve">because </w:t>
      </w:r>
      <w:r w:rsidR="00E845C6" w:rsidRPr="005C6112">
        <w:rPr>
          <w:rFonts w:ascii="Garamond" w:hAnsi="Garamond" w:cs="AdvP7B6C"/>
          <w:color w:val="000000"/>
        </w:rPr>
        <w:t xml:space="preserve">it helps to </w:t>
      </w:r>
      <w:r w:rsidR="009D503F" w:rsidRPr="00391EDE">
        <w:rPr>
          <w:rFonts w:ascii="Garamond" w:hAnsi="Garamond" w:cs="AdvP7B6C"/>
          <w:color w:val="000000"/>
          <w:lang w:val="en-GB"/>
        </w:rPr>
        <w:t>deli</w:t>
      </w:r>
      <w:r w:rsidR="00FD2B92" w:rsidRPr="00391EDE">
        <w:rPr>
          <w:rFonts w:ascii="Garamond" w:hAnsi="Garamond" w:cs="AdvP7B6C"/>
          <w:color w:val="000000"/>
          <w:lang w:val="en-GB"/>
        </w:rPr>
        <w:t>n</w:t>
      </w:r>
      <w:r w:rsidR="00010AC5">
        <w:rPr>
          <w:rFonts w:ascii="Garamond" w:hAnsi="Garamond" w:cs="AdvP7B6C"/>
          <w:color w:val="000000"/>
          <w:lang w:val="en-GB"/>
        </w:rPr>
        <w:t>e</w:t>
      </w:r>
      <w:r w:rsidR="009D503F" w:rsidRPr="00391EDE">
        <w:rPr>
          <w:rFonts w:ascii="Garamond" w:hAnsi="Garamond" w:cs="AdvP7B6C"/>
          <w:color w:val="000000"/>
          <w:lang w:val="en-GB"/>
        </w:rPr>
        <w:t>ate</w:t>
      </w:r>
      <w:r w:rsidR="009D503F" w:rsidRPr="005C6112">
        <w:rPr>
          <w:rFonts w:ascii="Garamond" w:hAnsi="Garamond" w:cs="AdvP7B6C"/>
          <w:color w:val="000000"/>
        </w:rPr>
        <w:t xml:space="preserve"> </w:t>
      </w:r>
      <w:r w:rsidR="00E845C6" w:rsidRPr="005C6112">
        <w:rPr>
          <w:rFonts w:ascii="Garamond" w:hAnsi="Garamond" w:cs="AdvP7B6C"/>
          <w:color w:val="000000"/>
        </w:rPr>
        <w:t>the role of health policies</w:t>
      </w:r>
      <w:r w:rsidR="00D0398F" w:rsidRPr="005C6112">
        <w:rPr>
          <w:rFonts w:ascii="Garamond" w:hAnsi="Garamond" w:cs="AdvP7B6C"/>
          <w:color w:val="000000"/>
        </w:rPr>
        <w:t>, that operate on the health-gradient,</w:t>
      </w:r>
      <w:r w:rsidR="00E845C6" w:rsidRPr="005C6112">
        <w:rPr>
          <w:rFonts w:ascii="Garamond" w:hAnsi="Garamond" w:cs="AdvP7B6C"/>
          <w:color w:val="000000"/>
        </w:rPr>
        <w:t xml:space="preserve"> from the </w:t>
      </w:r>
      <w:r w:rsidR="00207870">
        <w:rPr>
          <w:rFonts w:ascii="Garamond" w:hAnsi="Garamond" w:cs="AdvP7B6C"/>
          <w:color w:val="000000"/>
        </w:rPr>
        <w:t xml:space="preserve">role of </w:t>
      </w:r>
      <w:r w:rsidR="00D0398F" w:rsidRPr="005C6112">
        <w:rPr>
          <w:rFonts w:ascii="Garamond" w:hAnsi="Garamond" w:cs="AdvP7B6C"/>
          <w:color w:val="000000"/>
        </w:rPr>
        <w:t>fiscal policy, that operates on</w:t>
      </w:r>
      <w:r w:rsidR="00E845C6" w:rsidRPr="005C6112">
        <w:rPr>
          <w:rFonts w:ascii="Garamond" w:hAnsi="Garamond" w:cs="AdvP7B6C"/>
          <w:color w:val="000000"/>
        </w:rPr>
        <w:t xml:space="preserve"> compositional differences</w:t>
      </w:r>
      <w:r w:rsidR="00065660">
        <w:rPr>
          <w:rFonts w:ascii="Garamond" w:hAnsi="Garamond" w:cs="AdvP7B6C"/>
          <w:color w:val="000000"/>
        </w:rPr>
        <w:t xml:space="preserve"> (see Van Doorslaer and Koolman</w:t>
      </w:r>
      <w:r w:rsidR="00010AC5">
        <w:rPr>
          <w:rFonts w:ascii="Garamond" w:hAnsi="Garamond" w:cs="AdvP7B6C"/>
          <w:color w:val="000000"/>
        </w:rPr>
        <w:t xml:space="preserve"> (</w:t>
      </w:r>
      <w:r w:rsidR="00065660">
        <w:rPr>
          <w:rFonts w:ascii="Garamond" w:hAnsi="Garamond" w:cs="AdvP7B6C"/>
          <w:color w:val="000000"/>
        </w:rPr>
        <w:t>2004</w:t>
      </w:r>
      <w:r w:rsidR="00010AC5">
        <w:rPr>
          <w:rFonts w:ascii="Garamond" w:hAnsi="Garamond" w:cs="AdvP7B6C"/>
          <w:color w:val="000000"/>
        </w:rPr>
        <w:t>)</w:t>
      </w:r>
      <w:r w:rsidR="00065660">
        <w:rPr>
          <w:rFonts w:ascii="Garamond" w:hAnsi="Garamond" w:cs="AdvP7B6C"/>
          <w:color w:val="000000"/>
        </w:rPr>
        <w:t xml:space="preserve"> for a discussion o</w:t>
      </w:r>
      <w:r w:rsidR="00207870">
        <w:rPr>
          <w:rFonts w:ascii="Garamond" w:hAnsi="Garamond" w:cs="AdvP7B6C"/>
          <w:color w:val="000000"/>
        </w:rPr>
        <w:t>f</w:t>
      </w:r>
      <w:r w:rsidR="00065660">
        <w:rPr>
          <w:rFonts w:ascii="Garamond" w:hAnsi="Garamond" w:cs="AdvP7B6C"/>
          <w:color w:val="000000"/>
        </w:rPr>
        <w:t xml:space="preserve"> the policy implications of decomposition analysis)</w:t>
      </w:r>
      <w:r w:rsidR="00D0398F" w:rsidRPr="005C6112">
        <w:rPr>
          <w:rFonts w:ascii="Garamond" w:hAnsi="Garamond" w:cs="AdvP7B6C"/>
          <w:color w:val="000000"/>
        </w:rPr>
        <w:t>.</w:t>
      </w:r>
      <w:r w:rsidR="00544EA4" w:rsidRPr="005C6112">
        <w:rPr>
          <w:rFonts w:ascii="Garamond" w:hAnsi="Garamond"/>
        </w:rPr>
        <w:t xml:space="preserve"> </w:t>
      </w:r>
      <w:r w:rsidR="000334F7">
        <w:rPr>
          <w:rFonts w:ascii="Garamond" w:hAnsi="Garamond"/>
        </w:rPr>
        <w:t>Jones and Lopez</w:t>
      </w:r>
      <w:r w:rsidR="00544EA4" w:rsidRPr="005C6112">
        <w:rPr>
          <w:rFonts w:ascii="Garamond" w:hAnsi="Garamond"/>
        </w:rPr>
        <w:t xml:space="preserve"> </w:t>
      </w:r>
      <w:r w:rsidR="000334F7">
        <w:rPr>
          <w:rFonts w:ascii="Garamond" w:hAnsi="Garamond"/>
        </w:rPr>
        <w:t>(</w:t>
      </w:r>
      <w:r w:rsidR="00544EA4" w:rsidRPr="005C6112">
        <w:rPr>
          <w:rFonts w:ascii="Garamond" w:hAnsi="Garamond"/>
        </w:rPr>
        <w:t xml:space="preserve">2006) found that there is </w:t>
      </w:r>
      <w:r w:rsidR="00010AC5">
        <w:rPr>
          <w:rFonts w:ascii="Garamond" w:hAnsi="Garamond"/>
        </w:rPr>
        <w:t>considerable</w:t>
      </w:r>
      <w:r w:rsidR="00D0398F" w:rsidRPr="005C6112">
        <w:rPr>
          <w:rFonts w:ascii="Garamond" w:hAnsi="Garamond"/>
        </w:rPr>
        <w:t xml:space="preserve"> heterogeneity </w:t>
      </w:r>
      <w:r w:rsidR="00544EA4" w:rsidRPr="005C6112">
        <w:rPr>
          <w:rFonts w:ascii="Garamond" w:hAnsi="Garamond"/>
        </w:rPr>
        <w:t xml:space="preserve"> </w:t>
      </w:r>
      <w:r w:rsidR="00544EA4" w:rsidRPr="005C6112">
        <w:rPr>
          <w:rFonts w:ascii="Garamond" w:hAnsi="Garamond" w:cs="AdvP7B6C"/>
        </w:rPr>
        <w:t xml:space="preserve">in the association of health </w:t>
      </w:r>
      <w:r w:rsidR="00207870">
        <w:rPr>
          <w:rFonts w:ascii="Garamond" w:hAnsi="Garamond" w:cs="AdvP7B6C"/>
        </w:rPr>
        <w:t>with</w:t>
      </w:r>
      <w:r w:rsidR="00544EA4" w:rsidRPr="005C6112">
        <w:rPr>
          <w:rFonts w:ascii="Garamond" w:hAnsi="Garamond" w:cs="AdvP7B6C"/>
        </w:rPr>
        <w:t xml:space="preserve"> explanatory variables across gender</w:t>
      </w:r>
      <w:r w:rsidR="000E5DD0">
        <w:rPr>
          <w:rFonts w:ascii="Garamond" w:hAnsi="Garamond" w:cs="AdvP7B6C"/>
        </w:rPr>
        <w:t>s</w:t>
      </w:r>
      <w:r w:rsidR="00D0398F" w:rsidRPr="005C6112">
        <w:rPr>
          <w:rFonts w:ascii="Garamond" w:hAnsi="Garamond" w:cs="AdvP7B6C"/>
        </w:rPr>
        <w:t xml:space="preserve"> and</w:t>
      </w:r>
      <w:r w:rsidR="009D503F" w:rsidRPr="005C6112">
        <w:rPr>
          <w:rFonts w:ascii="Garamond" w:hAnsi="Garamond" w:cs="AdvP7B6C"/>
        </w:rPr>
        <w:t xml:space="preserve"> </w:t>
      </w:r>
      <w:r w:rsidR="00D0398F" w:rsidRPr="005C6112">
        <w:rPr>
          <w:rFonts w:ascii="Garamond" w:hAnsi="Garamond" w:cs="AdvP7B6C"/>
        </w:rPr>
        <w:t xml:space="preserve">they have shown that </w:t>
      </w:r>
      <w:r w:rsidR="009D503F" w:rsidRPr="005C6112">
        <w:rPr>
          <w:rFonts w:ascii="Garamond" w:hAnsi="Garamond" w:cs="AdvP7B6C"/>
        </w:rPr>
        <w:t>this ha</w:t>
      </w:r>
      <w:r w:rsidR="001C1001" w:rsidRPr="005C6112">
        <w:rPr>
          <w:rFonts w:ascii="Garamond" w:hAnsi="Garamond" w:cs="AdvP7B6C"/>
        </w:rPr>
        <w:t xml:space="preserve">s important consequences on the </w:t>
      </w:r>
      <w:r w:rsidR="009D503F" w:rsidRPr="005C6112">
        <w:rPr>
          <w:rFonts w:ascii="Garamond" w:hAnsi="Garamond" w:cs="AdvP7B6C"/>
        </w:rPr>
        <w:t>measurement</w:t>
      </w:r>
      <w:r w:rsidR="00D0398F" w:rsidRPr="005C6112">
        <w:rPr>
          <w:rFonts w:ascii="Garamond" w:hAnsi="Garamond" w:cs="AdvP7B6C"/>
        </w:rPr>
        <w:t xml:space="preserve"> </w:t>
      </w:r>
      <w:r w:rsidR="009D503F" w:rsidRPr="005C6112">
        <w:rPr>
          <w:rFonts w:ascii="Garamond" w:hAnsi="Garamond" w:cs="AdvP7B6C"/>
        </w:rPr>
        <w:t xml:space="preserve">of </w:t>
      </w:r>
      <w:r w:rsidR="00D0398F" w:rsidRPr="005C6112">
        <w:rPr>
          <w:rFonts w:ascii="Garamond" w:hAnsi="Garamond" w:cs="AdvP7B6C"/>
        </w:rPr>
        <w:t xml:space="preserve">income-related inequalities in health. </w:t>
      </w:r>
      <w:r w:rsidR="00C06CE9" w:rsidRPr="005C6112">
        <w:rPr>
          <w:rFonts w:ascii="Garamond" w:hAnsi="Garamond" w:cs="AdvP7B6C"/>
        </w:rPr>
        <w:t xml:space="preserve">Our paper contributes to this literature by </w:t>
      </w:r>
      <w:r w:rsidR="002A3E5C" w:rsidRPr="005C6112">
        <w:rPr>
          <w:rFonts w:ascii="Garamond" w:hAnsi="Garamond" w:cs="AdvP7B6C"/>
        </w:rPr>
        <w:t>performing the decomposition analysis</w:t>
      </w:r>
      <w:r w:rsidR="005C6112" w:rsidRPr="005C6112">
        <w:rPr>
          <w:rFonts w:ascii="Garamond" w:hAnsi="Garamond" w:cs="AdvP7B6C"/>
        </w:rPr>
        <w:t xml:space="preserve"> of gender differentials in health</w:t>
      </w:r>
      <w:r w:rsidR="00C06CE9" w:rsidRPr="005C6112">
        <w:rPr>
          <w:rFonts w:ascii="Garamond" w:hAnsi="Garamond" w:cs="AdvP7B6C"/>
        </w:rPr>
        <w:t xml:space="preserve"> along the entire distribution of </w:t>
      </w:r>
      <w:r w:rsidR="00065660">
        <w:rPr>
          <w:rFonts w:ascii="Garamond" w:hAnsi="Garamond" w:cs="AdvP7B6C"/>
        </w:rPr>
        <w:t>health status</w:t>
      </w:r>
      <w:r w:rsidR="00391EDE">
        <w:rPr>
          <w:rFonts w:ascii="Garamond" w:hAnsi="Garamond" w:cs="AdvP7B6C"/>
        </w:rPr>
        <w:t>.</w:t>
      </w:r>
      <w:r w:rsidR="005C6112" w:rsidRPr="005C6112">
        <w:rPr>
          <w:rFonts w:ascii="Garamond" w:hAnsi="Garamond" w:cs="AdvP7B6C"/>
        </w:rPr>
        <w:t xml:space="preserve"> </w:t>
      </w:r>
    </w:p>
    <w:p w14:paraId="4CFB8040" w14:textId="77777777" w:rsidR="00391EDE" w:rsidRPr="00391EDE" w:rsidRDefault="00391EDE" w:rsidP="000463C0">
      <w:pPr>
        <w:autoSpaceDE w:val="0"/>
        <w:autoSpaceDN w:val="0"/>
        <w:adjustRightInd w:val="0"/>
        <w:spacing w:after="0"/>
        <w:jc w:val="both"/>
        <w:rPr>
          <w:rFonts w:ascii="Garamond" w:hAnsi="Garamond" w:cs="AdvP7B6C"/>
        </w:rPr>
      </w:pPr>
    </w:p>
    <w:p w14:paraId="6773F85B" w14:textId="2930E8E5" w:rsidR="000463C0" w:rsidRDefault="000463C0" w:rsidP="00E47D89">
      <w:pPr>
        <w:autoSpaceDE w:val="0"/>
        <w:autoSpaceDN w:val="0"/>
        <w:adjustRightInd w:val="0"/>
        <w:spacing w:after="0"/>
        <w:jc w:val="both"/>
        <w:rPr>
          <w:rFonts w:ascii="Garamond" w:hAnsi="Garamond" w:cs="AdvP7B6C"/>
        </w:rPr>
      </w:pPr>
      <w:r w:rsidRPr="0014441C">
        <w:rPr>
          <w:rFonts w:ascii="Garamond" w:hAnsi="Garamond"/>
        </w:rPr>
        <w:t>We f</w:t>
      </w:r>
      <w:r>
        <w:rPr>
          <w:rFonts w:ascii="Garamond" w:hAnsi="Garamond"/>
        </w:rPr>
        <w:t>i</w:t>
      </w:r>
      <w:r w:rsidRPr="0014441C">
        <w:rPr>
          <w:rFonts w:ascii="Garamond" w:hAnsi="Garamond"/>
        </w:rPr>
        <w:t xml:space="preserve">nd </w:t>
      </w:r>
      <w:r>
        <w:rPr>
          <w:rFonts w:ascii="Garamond" w:hAnsi="Garamond"/>
        </w:rPr>
        <w:t xml:space="preserve">a non-linear relationship between income and health and a strong gradient with respect to </w:t>
      </w:r>
      <w:r w:rsidRPr="0014441C">
        <w:rPr>
          <w:rFonts w:ascii="Garamond" w:hAnsi="Garamond"/>
        </w:rPr>
        <w:t xml:space="preserve">income </w:t>
      </w:r>
      <w:r w:rsidRPr="0085646F">
        <w:rPr>
          <w:rFonts w:ascii="Garamond" w:hAnsi="Garamond"/>
        </w:rPr>
        <w:t xml:space="preserve">at </w:t>
      </w:r>
      <w:r>
        <w:rPr>
          <w:rFonts w:ascii="Garamond" w:hAnsi="Garamond"/>
        </w:rPr>
        <w:t>the highest</w:t>
      </w:r>
      <w:r w:rsidRPr="0085646F">
        <w:rPr>
          <w:rFonts w:ascii="Garamond" w:hAnsi="Garamond"/>
        </w:rPr>
        <w:t xml:space="preserve"> quantiles</w:t>
      </w:r>
      <w:r w:rsidRPr="0014441C">
        <w:rPr>
          <w:rFonts w:ascii="Garamond" w:hAnsi="Garamond"/>
        </w:rPr>
        <w:t xml:space="preserve"> of </w:t>
      </w:r>
      <w:r>
        <w:rPr>
          <w:rFonts w:ascii="Garamond" w:hAnsi="Garamond"/>
        </w:rPr>
        <w:t xml:space="preserve">the </w:t>
      </w:r>
      <w:r w:rsidRPr="0014441C">
        <w:rPr>
          <w:rFonts w:ascii="Garamond" w:hAnsi="Garamond"/>
        </w:rPr>
        <w:t>biomarker distribution</w:t>
      </w:r>
      <w:r w:rsidR="00207870">
        <w:rPr>
          <w:rFonts w:ascii="Garamond" w:hAnsi="Garamond"/>
        </w:rPr>
        <w:t>s</w:t>
      </w:r>
      <w:r w:rsidRPr="0014441C">
        <w:rPr>
          <w:rFonts w:ascii="Garamond" w:hAnsi="Garamond"/>
        </w:rPr>
        <w:t xml:space="preserve">. </w:t>
      </w:r>
      <w:r w:rsidRPr="00413A3D">
        <w:rPr>
          <w:rFonts w:ascii="Garamond" w:hAnsi="Garamond"/>
        </w:rPr>
        <w:t xml:space="preserve">In some cases, i.e. cholesterol, the income gradient is </w:t>
      </w:r>
      <w:r w:rsidR="00413A3D" w:rsidRPr="00413A3D">
        <w:rPr>
          <w:rFonts w:ascii="Garamond" w:hAnsi="Garamond"/>
        </w:rPr>
        <w:t>found</w:t>
      </w:r>
      <w:r w:rsidRPr="00413A3D">
        <w:rPr>
          <w:rFonts w:ascii="Garamond" w:hAnsi="Garamond"/>
        </w:rPr>
        <w:t xml:space="preserve"> only at high quantiles</w:t>
      </w:r>
      <w:r w:rsidR="00207870">
        <w:rPr>
          <w:rFonts w:ascii="Garamond" w:hAnsi="Garamond"/>
        </w:rPr>
        <w:t>,</w:t>
      </w:r>
      <w:r w:rsidRPr="00413A3D">
        <w:rPr>
          <w:rFonts w:ascii="Garamond" w:hAnsi="Garamond"/>
        </w:rPr>
        <w:t xml:space="preserve"> while analysis “at the mean” </w:t>
      </w:r>
      <w:r w:rsidR="00413A3D" w:rsidRPr="00413A3D">
        <w:rPr>
          <w:rFonts w:ascii="Garamond" w:hAnsi="Garamond"/>
        </w:rPr>
        <w:t xml:space="preserve">leads to misleading </w:t>
      </w:r>
      <w:r w:rsidR="00483FA5">
        <w:rPr>
          <w:rFonts w:ascii="Garamond" w:hAnsi="Garamond"/>
        </w:rPr>
        <w:t>conclusions</w:t>
      </w:r>
      <w:r w:rsidR="00413A3D" w:rsidRPr="00413A3D">
        <w:rPr>
          <w:rFonts w:ascii="Garamond" w:hAnsi="Garamond"/>
        </w:rPr>
        <w:t xml:space="preserve"> (i</w:t>
      </w:r>
      <w:r w:rsidR="00D834AD">
        <w:rPr>
          <w:rFonts w:ascii="Garamond" w:hAnsi="Garamond"/>
        </w:rPr>
        <w:t>.</w:t>
      </w:r>
      <w:r w:rsidR="00413A3D" w:rsidRPr="00413A3D">
        <w:rPr>
          <w:rFonts w:ascii="Garamond" w:hAnsi="Garamond"/>
        </w:rPr>
        <w:t>e.</w:t>
      </w:r>
      <w:r w:rsidR="00413A3D">
        <w:rPr>
          <w:rFonts w:ascii="Garamond" w:hAnsi="Garamond"/>
        </w:rPr>
        <w:t xml:space="preserve"> </w:t>
      </w:r>
      <w:r w:rsidR="00413A3D" w:rsidRPr="00413A3D">
        <w:rPr>
          <w:rFonts w:ascii="Garamond" w:hAnsi="Garamond"/>
        </w:rPr>
        <w:t>a positive relationship between income and cholesterol )</w:t>
      </w:r>
      <w:r w:rsidRPr="00413A3D">
        <w:rPr>
          <w:rFonts w:ascii="Garamond" w:hAnsi="Garamond"/>
        </w:rPr>
        <w:t>. This makes the analysis on the entire distribution especially relevant in such cases.</w:t>
      </w:r>
      <w:r>
        <w:rPr>
          <w:rFonts w:ascii="Garamond" w:hAnsi="Garamond"/>
        </w:rPr>
        <w:t xml:space="preserve"> </w:t>
      </w:r>
      <w:r w:rsidRPr="0014441C">
        <w:rPr>
          <w:rFonts w:ascii="Garamond" w:hAnsi="Garamond"/>
        </w:rPr>
        <w:t xml:space="preserve">Secondly, </w:t>
      </w:r>
      <w:r w:rsidR="00E53C47" w:rsidRPr="002B71F2">
        <w:rPr>
          <w:rFonts w:ascii="Garamond" w:hAnsi="Garamond"/>
        </w:rPr>
        <w:t xml:space="preserve">we find that there is important heterogeneity in the association of health to income across genders which varies significantly along the biomarker distribution </w:t>
      </w:r>
      <w:r w:rsidR="00E53C47">
        <w:rPr>
          <w:rFonts w:ascii="Garamond" w:hAnsi="Garamond"/>
        </w:rPr>
        <w:t xml:space="preserve">and </w:t>
      </w:r>
      <w:r w:rsidR="00E53C47" w:rsidRPr="002B71F2">
        <w:rPr>
          <w:rFonts w:ascii="Garamond" w:hAnsi="Garamond" w:cs="AdvP7B6C"/>
        </w:rPr>
        <w:t>accounts for a substantial percentage of the gender differentials in observed health.</w:t>
      </w:r>
    </w:p>
    <w:p w14:paraId="670BA47B" w14:textId="77777777" w:rsidR="00E47D89" w:rsidRPr="00E47D89" w:rsidRDefault="00E47D89" w:rsidP="00E47D89">
      <w:pPr>
        <w:autoSpaceDE w:val="0"/>
        <w:autoSpaceDN w:val="0"/>
        <w:adjustRightInd w:val="0"/>
        <w:spacing w:after="0"/>
        <w:jc w:val="both"/>
        <w:rPr>
          <w:rFonts w:ascii="Garamond" w:hAnsi="Garamond" w:cs="AdvP7B6C"/>
        </w:rPr>
      </w:pPr>
    </w:p>
    <w:p w14:paraId="44B1F254" w14:textId="75A8BE51" w:rsidR="005D59ED" w:rsidRDefault="000463C0" w:rsidP="000463C0">
      <w:pPr>
        <w:jc w:val="both"/>
        <w:rPr>
          <w:rFonts w:ascii="Garamond" w:hAnsi="Garamond"/>
        </w:rPr>
      </w:pPr>
      <w:r>
        <w:rPr>
          <w:rFonts w:ascii="Garamond" w:hAnsi="Garamond"/>
        </w:rPr>
        <w:t xml:space="preserve">The rest of the paper is organized as follows. The next section presents </w:t>
      </w:r>
      <w:r w:rsidR="00564421">
        <w:rPr>
          <w:rFonts w:ascii="Garamond" w:hAnsi="Garamond"/>
        </w:rPr>
        <w:t xml:space="preserve">the </w:t>
      </w:r>
      <w:r>
        <w:rPr>
          <w:rFonts w:ascii="Garamond" w:hAnsi="Garamond"/>
        </w:rPr>
        <w:t xml:space="preserve">data and descriptive statistics. Section </w:t>
      </w:r>
      <w:r w:rsidR="00207870">
        <w:rPr>
          <w:rFonts w:ascii="Garamond" w:hAnsi="Garamond"/>
        </w:rPr>
        <w:t>3</w:t>
      </w:r>
      <w:r>
        <w:rPr>
          <w:rFonts w:ascii="Garamond" w:hAnsi="Garamond"/>
        </w:rPr>
        <w:t xml:space="preserve"> discusses the empirical methodology. Section 4 presents the results. The </w:t>
      </w:r>
      <w:r w:rsidR="00207870">
        <w:rPr>
          <w:rFonts w:ascii="Garamond" w:hAnsi="Garamond"/>
        </w:rPr>
        <w:t>final</w:t>
      </w:r>
      <w:r>
        <w:rPr>
          <w:rFonts w:ascii="Garamond" w:hAnsi="Garamond"/>
        </w:rPr>
        <w:t xml:space="preserve"> section summarizes and concludes.</w:t>
      </w:r>
    </w:p>
    <w:p w14:paraId="79AA4CB7" w14:textId="77777777" w:rsidR="00207870" w:rsidRDefault="00207870" w:rsidP="000463C0">
      <w:pPr>
        <w:jc w:val="both"/>
        <w:rPr>
          <w:rFonts w:ascii="Garamond" w:hAnsi="Garamond"/>
        </w:rPr>
      </w:pPr>
    </w:p>
    <w:p w14:paraId="154DFE45" w14:textId="77777777" w:rsidR="000463C0" w:rsidRPr="00A164EC" w:rsidRDefault="000463C0" w:rsidP="000463C0">
      <w:pPr>
        <w:jc w:val="both"/>
        <w:rPr>
          <w:rFonts w:ascii="Garamond" w:hAnsi="Garamond"/>
          <w:b/>
          <w:sz w:val="28"/>
          <w:szCs w:val="28"/>
        </w:rPr>
      </w:pPr>
      <w:r w:rsidRPr="00A164EC">
        <w:rPr>
          <w:rFonts w:ascii="Garamond" w:hAnsi="Garamond"/>
          <w:b/>
          <w:sz w:val="28"/>
          <w:szCs w:val="28"/>
        </w:rPr>
        <w:t>2. Data</w:t>
      </w:r>
    </w:p>
    <w:p w14:paraId="6C206538" w14:textId="0F739506" w:rsidR="000463C0" w:rsidRDefault="000463C0" w:rsidP="000463C0">
      <w:pPr>
        <w:autoSpaceDE w:val="0"/>
        <w:autoSpaceDN w:val="0"/>
        <w:adjustRightInd w:val="0"/>
        <w:spacing w:after="0"/>
        <w:jc w:val="both"/>
        <w:rPr>
          <w:rFonts w:ascii="BookAntiqua" w:hAnsi="BookAntiqua" w:cs="BookAntiqua"/>
        </w:rPr>
      </w:pPr>
      <w:r>
        <w:rPr>
          <w:rFonts w:ascii="Garamond" w:hAnsi="Garamond"/>
        </w:rPr>
        <w:t>Our data come</w:t>
      </w:r>
      <w:r w:rsidRPr="00E42475">
        <w:rPr>
          <w:rFonts w:ascii="Garamond" w:hAnsi="Garamond"/>
        </w:rPr>
        <w:t xml:space="preserve"> from the Health Survey for England (HSE)</w:t>
      </w:r>
      <w:r>
        <w:rPr>
          <w:rFonts w:ascii="Garamond" w:hAnsi="Garamond"/>
        </w:rPr>
        <w:t>.</w:t>
      </w:r>
      <w:r w:rsidRPr="005378EF">
        <w:rPr>
          <w:rFonts w:ascii="Garamond" w:hAnsi="Garamond"/>
        </w:rPr>
        <w:t xml:space="preserve"> HSE is a</w:t>
      </w:r>
      <w:r w:rsidR="008E64EC">
        <w:rPr>
          <w:rFonts w:ascii="Garamond" w:hAnsi="Garamond"/>
        </w:rPr>
        <w:t xml:space="preserve"> cross-sectional</w:t>
      </w:r>
      <w:r w:rsidRPr="005378EF">
        <w:rPr>
          <w:rFonts w:ascii="Garamond" w:hAnsi="Garamond"/>
        </w:rPr>
        <w:t xml:space="preserve"> health interview survey of around 15,000 to 20,000 respondents in England conducted by the National Centre for Social Research (separate surveys are available for Scotland and Wales)</w:t>
      </w:r>
      <w:r>
        <w:rPr>
          <w:rFonts w:ascii="Garamond" w:hAnsi="Garamond"/>
        </w:rPr>
        <w:t xml:space="preserve">. </w:t>
      </w:r>
      <w:r w:rsidRPr="00E42475">
        <w:rPr>
          <w:rFonts w:ascii="Garamond" w:hAnsi="Garamond"/>
        </w:rPr>
        <w:lastRenderedPageBreak/>
        <w:t xml:space="preserve">The survey started in 1991 and has been carried out annually since then. HSE includes </w:t>
      </w:r>
      <w:r w:rsidR="00300241">
        <w:rPr>
          <w:rFonts w:ascii="Garamond" w:hAnsi="Garamond"/>
        </w:rPr>
        <w:t xml:space="preserve">a representative sample of </w:t>
      </w:r>
      <w:r w:rsidRPr="00E42475">
        <w:rPr>
          <w:rFonts w:ascii="Garamond" w:hAnsi="Garamond"/>
        </w:rPr>
        <w:t>adults aged 16 and over, and since 1995 has also included children aged 2-15</w:t>
      </w:r>
      <w:r w:rsidR="00135369">
        <w:rPr>
          <w:rFonts w:ascii="Garamond" w:hAnsi="Garamond"/>
        </w:rPr>
        <w:t>. From 2001</w:t>
      </w:r>
      <w:r w:rsidRPr="00E42475">
        <w:rPr>
          <w:rFonts w:ascii="Garamond" w:hAnsi="Garamond"/>
        </w:rPr>
        <w:t xml:space="preserve"> onwards, the survey covers all ages, but certain age groups are </w:t>
      </w:r>
      <w:r w:rsidR="00300241">
        <w:rPr>
          <w:rFonts w:ascii="Garamond" w:hAnsi="Garamond"/>
        </w:rPr>
        <w:t xml:space="preserve">only </w:t>
      </w:r>
      <w:r w:rsidRPr="00E42475">
        <w:rPr>
          <w:rFonts w:ascii="Garamond" w:hAnsi="Garamond"/>
        </w:rPr>
        <w:t xml:space="preserve">asked questions on </w:t>
      </w:r>
      <w:r w:rsidR="00AB1D5A">
        <w:rPr>
          <w:rFonts w:ascii="Garamond" w:hAnsi="Garamond"/>
        </w:rPr>
        <w:t>selected</w:t>
      </w:r>
      <w:r w:rsidRPr="00E42475">
        <w:rPr>
          <w:rFonts w:ascii="Garamond" w:hAnsi="Garamond"/>
        </w:rPr>
        <w:t xml:space="preserve"> topics.</w:t>
      </w:r>
      <w:r>
        <w:rPr>
          <w:rFonts w:ascii="Garamond" w:hAnsi="Garamond"/>
        </w:rPr>
        <w:t xml:space="preserve"> </w:t>
      </w:r>
      <w:r w:rsidRPr="00E42475">
        <w:rPr>
          <w:rFonts w:ascii="Garamond" w:hAnsi="Garamond"/>
        </w:rPr>
        <w:t>An interview with each eligible person in the household is followed by a nurse visit for those who agree to take part. The</w:t>
      </w:r>
      <w:r>
        <w:rPr>
          <w:rFonts w:ascii="Garamond" w:hAnsi="Garamond"/>
        </w:rPr>
        <w:t xml:space="preserve"> interview </w:t>
      </w:r>
      <w:r w:rsidRPr="00E42475">
        <w:rPr>
          <w:rFonts w:ascii="Garamond" w:hAnsi="Garamond"/>
        </w:rPr>
        <w:t>includes a set of core questions, asked each year</w:t>
      </w:r>
      <w:r w:rsidR="00323126">
        <w:rPr>
          <w:rFonts w:ascii="Garamond" w:hAnsi="Garamond"/>
        </w:rPr>
        <w:t>,</w:t>
      </w:r>
      <w:r w:rsidRPr="00E42475">
        <w:rPr>
          <w:rFonts w:ascii="Garamond" w:hAnsi="Garamond"/>
        </w:rPr>
        <w:t xml:space="preserve"> on general health and psycho-social indicators, smoking, alcohol, demographic and socio-economic indicators, questions about use of health services and prescribed medicines.</w:t>
      </w:r>
      <w:r>
        <w:rPr>
          <w:rFonts w:ascii="Garamond" w:hAnsi="Garamond"/>
        </w:rPr>
        <w:t xml:space="preserve"> </w:t>
      </w:r>
      <w:r w:rsidRPr="005378EF">
        <w:rPr>
          <w:rFonts w:ascii="Garamond" w:hAnsi="Garamond"/>
        </w:rPr>
        <w:t>Biomarkers are collected during nurse visits</w:t>
      </w:r>
      <w:r>
        <w:rPr>
          <w:rFonts w:ascii="Garamond" w:hAnsi="Garamond"/>
        </w:rPr>
        <w:t xml:space="preserve"> </w:t>
      </w:r>
      <w:r w:rsidRPr="005378EF">
        <w:rPr>
          <w:rFonts w:ascii="Garamond" w:hAnsi="Garamond"/>
        </w:rPr>
        <w:t>and include not only blood samples but also anthropometric measurements, blood pressure measurements, and saliva samples.</w:t>
      </w:r>
      <w:r>
        <w:rPr>
          <w:rFonts w:ascii="Garamond" w:hAnsi="Garamond"/>
        </w:rPr>
        <w:t xml:space="preserve"> During the nurse visits, the nurse </w:t>
      </w:r>
      <w:r w:rsidRPr="003407E0">
        <w:rPr>
          <w:rFonts w:ascii="Garamond" w:hAnsi="Garamond"/>
        </w:rPr>
        <w:t>ask</w:t>
      </w:r>
      <w:r>
        <w:rPr>
          <w:rFonts w:ascii="Garamond" w:hAnsi="Garamond"/>
        </w:rPr>
        <w:t>s</w:t>
      </w:r>
      <w:r w:rsidRPr="003407E0">
        <w:rPr>
          <w:rFonts w:ascii="Garamond" w:hAnsi="Garamond"/>
        </w:rPr>
        <w:t xml:space="preserve"> the respondent </w:t>
      </w:r>
      <w:r>
        <w:rPr>
          <w:rFonts w:ascii="Garamond" w:hAnsi="Garamond"/>
        </w:rPr>
        <w:t>for</w:t>
      </w:r>
      <w:r w:rsidR="00C00D41">
        <w:rPr>
          <w:rFonts w:ascii="Garamond" w:hAnsi="Garamond"/>
        </w:rPr>
        <w:t xml:space="preserve"> </w:t>
      </w:r>
      <w:r w:rsidRPr="003407E0">
        <w:rPr>
          <w:rFonts w:ascii="Garamond" w:hAnsi="Garamond"/>
        </w:rPr>
        <w:t xml:space="preserve">permission to carry out various types of measurement. Respondents are informed about the purpose and value of each test for the monitoring of various diseases. For instance, </w:t>
      </w:r>
      <w:r>
        <w:rPr>
          <w:rFonts w:ascii="Garamond" w:hAnsi="Garamond"/>
        </w:rPr>
        <w:t xml:space="preserve">for the </w:t>
      </w:r>
      <w:r w:rsidRPr="003407E0">
        <w:rPr>
          <w:rFonts w:ascii="Garamond" w:hAnsi="Garamond"/>
        </w:rPr>
        <w:t xml:space="preserve">cholesterol </w:t>
      </w:r>
      <w:r>
        <w:rPr>
          <w:rFonts w:ascii="Garamond" w:hAnsi="Garamond"/>
        </w:rPr>
        <w:t>test, the nurse informs participants that “h</w:t>
      </w:r>
      <w:r w:rsidRPr="003407E0">
        <w:rPr>
          <w:rFonts w:ascii="Garamond" w:hAnsi="Garamond"/>
        </w:rPr>
        <w:t>igh levels are associated with blood clots, heart attack and</w:t>
      </w:r>
      <w:r>
        <w:rPr>
          <w:rFonts w:ascii="Garamond" w:hAnsi="Garamond"/>
        </w:rPr>
        <w:t xml:space="preserve"> </w:t>
      </w:r>
      <w:r w:rsidRPr="003407E0">
        <w:rPr>
          <w:rFonts w:ascii="Garamond" w:hAnsi="Garamond"/>
        </w:rPr>
        <w:t>stroke”. The delivery of information is useful in order to increase compliance and establish a good working relationship.</w:t>
      </w:r>
      <w:r>
        <w:rPr>
          <w:rFonts w:ascii="BookAntiqua" w:hAnsi="BookAntiqua" w:cs="BookAntiqua"/>
        </w:rPr>
        <w:t xml:space="preserve"> </w:t>
      </w:r>
    </w:p>
    <w:p w14:paraId="31D8127A" w14:textId="77777777" w:rsidR="000463C0" w:rsidRDefault="000463C0" w:rsidP="000463C0">
      <w:pPr>
        <w:autoSpaceDE w:val="0"/>
        <w:autoSpaceDN w:val="0"/>
        <w:adjustRightInd w:val="0"/>
        <w:spacing w:after="0"/>
        <w:jc w:val="both"/>
        <w:rPr>
          <w:rFonts w:ascii="BookAntiqua" w:hAnsi="BookAntiqua" w:cs="BookAntiqua"/>
        </w:rPr>
      </w:pPr>
    </w:p>
    <w:p w14:paraId="494992FC" w14:textId="05BC9188" w:rsidR="000463C0" w:rsidRDefault="000463C0" w:rsidP="000463C0">
      <w:pPr>
        <w:autoSpaceDE w:val="0"/>
        <w:autoSpaceDN w:val="0"/>
        <w:adjustRightInd w:val="0"/>
        <w:spacing w:after="0"/>
        <w:jc w:val="both"/>
        <w:rPr>
          <w:rFonts w:ascii="Garamond" w:hAnsi="Garamond"/>
        </w:rPr>
      </w:pPr>
      <w:r>
        <w:rPr>
          <w:rFonts w:ascii="Garamond" w:hAnsi="Garamond"/>
        </w:rPr>
        <w:t>The most popular blood-based biomarkers, which are analy</w:t>
      </w:r>
      <w:r w:rsidR="00E05B3A">
        <w:rPr>
          <w:rFonts w:ascii="Garamond" w:hAnsi="Garamond"/>
        </w:rPr>
        <w:t>s</w:t>
      </w:r>
      <w:r>
        <w:rPr>
          <w:rFonts w:ascii="Garamond" w:hAnsi="Garamond"/>
        </w:rPr>
        <w:t xml:space="preserve">ed in </w:t>
      </w:r>
      <w:r w:rsidR="00D834AD">
        <w:rPr>
          <w:rFonts w:ascii="Garamond" w:hAnsi="Garamond"/>
        </w:rPr>
        <w:t>this paper, have been collected</w:t>
      </w:r>
      <w:r>
        <w:rPr>
          <w:rFonts w:ascii="Garamond" w:hAnsi="Garamond"/>
        </w:rPr>
        <w:t xml:space="preserve"> since 2002 in HSE. More precisely, </w:t>
      </w:r>
      <w:r w:rsidR="00074145">
        <w:rPr>
          <w:rFonts w:ascii="Garamond" w:hAnsi="Garamond"/>
        </w:rPr>
        <w:t>c</w:t>
      </w:r>
      <w:r>
        <w:rPr>
          <w:rFonts w:ascii="Garamond" w:hAnsi="Garamond"/>
        </w:rPr>
        <w:t xml:space="preserve">holesterol and glycated hemoglobin were collected </w:t>
      </w:r>
      <w:r w:rsidR="00300241">
        <w:rPr>
          <w:rFonts w:ascii="Garamond" w:hAnsi="Garamond"/>
        </w:rPr>
        <w:t>from</w:t>
      </w:r>
      <w:r>
        <w:rPr>
          <w:rFonts w:ascii="Garamond" w:hAnsi="Garamond"/>
        </w:rPr>
        <w:t xml:space="preserve"> 2003 to 2012 every year. Fibrinogen was collected </w:t>
      </w:r>
      <w:r w:rsidR="00300241">
        <w:rPr>
          <w:rFonts w:ascii="Garamond" w:hAnsi="Garamond"/>
        </w:rPr>
        <w:t>from</w:t>
      </w:r>
      <w:r>
        <w:rPr>
          <w:rFonts w:ascii="Garamond" w:hAnsi="Garamond"/>
        </w:rPr>
        <w:t xml:space="preserve"> 2003 to 2006 and in 2009. Ferritin was collected in 2002, from 2004 to 2006 and in 2009. Other potentially relevant biomarkers (ie. </w:t>
      </w:r>
      <w:r w:rsidRPr="00DF674B">
        <w:rPr>
          <w:rFonts w:ascii="Garamond" w:hAnsi="Garamond"/>
        </w:rPr>
        <w:t>tryglicerides, C-reactive protein</w:t>
      </w:r>
      <w:r>
        <w:rPr>
          <w:rFonts w:ascii="Garamond" w:hAnsi="Garamond"/>
        </w:rPr>
        <w:t xml:space="preserve">) are collected sporadically and they are not included in this analysis. We do not make any statistical transformation of the blood-based biomarkers sample and use the valid </w:t>
      </w:r>
      <w:r w:rsidR="00300241">
        <w:rPr>
          <w:rFonts w:ascii="Garamond" w:hAnsi="Garamond"/>
        </w:rPr>
        <w:t>measurements in each wave, where the</w:t>
      </w:r>
      <w:r>
        <w:rPr>
          <w:rFonts w:ascii="Garamond" w:hAnsi="Garamond"/>
        </w:rPr>
        <w:t xml:space="preserve"> blood sample collected and </w:t>
      </w:r>
      <w:r w:rsidR="00300241">
        <w:rPr>
          <w:rFonts w:ascii="Garamond" w:hAnsi="Garamond"/>
        </w:rPr>
        <w:t xml:space="preserve">processed </w:t>
      </w:r>
      <w:r>
        <w:rPr>
          <w:rFonts w:ascii="Garamond" w:hAnsi="Garamond"/>
        </w:rPr>
        <w:t xml:space="preserve">successfully. </w:t>
      </w:r>
      <w:r w:rsidR="00300241">
        <w:rPr>
          <w:rFonts w:ascii="Garamond" w:hAnsi="Garamond"/>
        </w:rPr>
        <w:t>W</w:t>
      </w:r>
      <w:r>
        <w:rPr>
          <w:rFonts w:ascii="Garamond" w:hAnsi="Garamond"/>
        </w:rPr>
        <w:t xml:space="preserve">e </w:t>
      </w:r>
      <w:r w:rsidR="00300241">
        <w:rPr>
          <w:rFonts w:ascii="Garamond" w:hAnsi="Garamond"/>
        </w:rPr>
        <w:t>have</w:t>
      </w:r>
      <w:r w:rsidR="00CD2729">
        <w:rPr>
          <w:rFonts w:ascii="Garamond" w:hAnsi="Garamond"/>
        </w:rPr>
        <w:t xml:space="preserve"> </w:t>
      </w:r>
      <w:r>
        <w:rPr>
          <w:rFonts w:ascii="Garamond" w:hAnsi="Garamond"/>
        </w:rPr>
        <w:t xml:space="preserve">30,770 non-missing observations for the analysis of cholesterol spanning over the period 2003-2012, </w:t>
      </w:r>
      <w:r w:rsidRPr="00B866D5">
        <w:rPr>
          <w:rFonts w:ascii="Garamond" w:hAnsi="Garamond"/>
        </w:rPr>
        <w:t>34</w:t>
      </w:r>
      <w:r>
        <w:rPr>
          <w:rFonts w:ascii="Garamond" w:hAnsi="Garamond"/>
        </w:rPr>
        <w:t>,</w:t>
      </w:r>
      <w:r w:rsidRPr="00B866D5">
        <w:rPr>
          <w:rFonts w:ascii="Garamond" w:hAnsi="Garamond"/>
        </w:rPr>
        <w:t>831</w:t>
      </w:r>
      <w:r>
        <w:rPr>
          <w:rFonts w:ascii="Garamond" w:hAnsi="Garamond"/>
        </w:rPr>
        <w:t xml:space="preserve"> for the analysis of glycated haemoglobin over the period 2003-2012, 15,530 for the analysis of fibrinogen from 2003 to 2006 and in 2009 and </w:t>
      </w:r>
      <w:r w:rsidR="00242462">
        <w:rPr>
          <w:rFonts w:ascii="Garamond" w:hAnsi="Garamond"/>
        </w:rPr>
        <w:t xml:space="preserve">13,849 </w:t>
      </w:r>
      <w:r>
        <w:rPr>
          <w:rFonts w:ascii="Garamond" w:hAnsi="Garamond"/>
        </w:rPr>
        <w:t>observations for ferritin available in 2002, 2004, 2005, 2006 and 2009. An implicit age stratification comes from the age restriction used by HSE for the blood sample collection. For almost all the waves, blood samples are collected from individuals aged 16+. In a few waves a different age restriction is employed. In the</w:t>
      </w:r>
      <w:r w:rsidR="00977B54">
        <w:rPr>
          <w:rFonts w:ascii="Garamond" w:hAnsi="Garamond"/>
        </w:rPr>
        <w:t xml:space="preserve"> 2002 only individuals aged 24 or less are included; in the 2004</w:t>
      </w:r>
      <w:r>
        <w:rPr>
          <w:rFonts w:ascii="Garamond" w:hAnsi="Garamond"/>
        </w:rPr>
        <w:t xml:space="preserve"> individuals aged 11+ are included, while in 2005 only individuals aged 65+ are analy</w:t>
      </w:r>
      <w:r w:rsidR="00E05B3A">
        <w:rPr>
          <w:rFonts w:ascii="Garamond" w:hAnsi="Garamond"/>
        </w:rPr>
        <w:t>s</w:t>
      </w:r>
      <w:r>
        <w:rPr>
          <w:rFonts w:ascii="Garamond" w:hAnsi="Garamond"/>
        </w:rPr>
        <w:t>ed. A careful control for demographics is employed in all our analysis and sample weights are used in all regressions to take account of th</w:t>
      </w:r>
      <w:r w:rsidR="00AB1D5A">
        <w:rPr>
          <w:rFonts w:ascii="Garamond" w:hAnsi="Garamond"/>
        </w:rPr>
        <w:t>e survey design</w:t>
      </w:r>
      <w:r w:rsidR="00300241">
        <w:rPr>
          <w:rFonts w:ascii="Garamond" w:hAnsi="Garamond"/>
        </w:rPr>
        <w:t xml:space="preserve"> and age structure of the different waves</w:t>
      </w:r>
      <w:r w:rsidR="00135369">
        <w:rPr>
          <w:rStyle w:val="FootnoteReference"/>
          <w:rFonts w:ascii="Garamond" w:hAnsi="Garamond"/>
        </w:rPr>
        <w:footnoteReference w:id="3"/>
      </w:r>
      <w:r>
        <w:rPr>
          <w:rFonts w:ascii="Garamond" w:hAnsi="Garamond"/>
        </w:rPr>
        <w:t xml:space="preserve">. </w:t>
      </w:r>
    </w:p>
    <w:p w14:paraId="26989E06" w14:textId="77777777" w:rsidR="00E53C47" w:rsidRDefault="00E53C47" w:rsidP="000463C0">
      <w:pPr>
        <w:jc w:val="both"/>
        <w:rPr>
          <w:rFonts w:ascii="Garamond" w:hAnsi="Garamond"/>
        </w:rPr>
      </w:pPr>
    </w:p>
    <w:p w14:paraId="47F302CD" w14:textId="77777777" w:rsidR="000463C0" w:rsidRPr="00CD2729" w:rsidRDefault="000204DF" w:rsidP="000463C0">
      <w:pPr>
        <w:jc w:val="both"/>
        <w:rPr>
          <w:rFonts w:ascii="Garamond" w:hAnsi="Garamond"/>
          <w:b/>
        </w:rPr>
      </w:pPr>
      <w:r w:rsidRPr="000204DF">
        <w:rPr>
          <w:rFonts w:ascii="Garamond" w:hAnsi="Garamond"/>
          <w:b/>
        </w:rPr>
        <w:t>2.1 Variables and descriptive statistics</w:t>
      </w:r>
    </w:p>
    <w:p w14:paraId="50BF5C45" w14:textId="1EBE41F8" w:rsidR="000463C0" w:rsidRDefault="000463C0" w:rsidP="000463C0">
      <w:pPr>
        <w:autoSpaceDE w:val="0"/>
        <w:autoSpaceDN w:val="0"/>
        <w:adjustRightInd w:val="0"/>
        <w:spacing w:after="0"/>
        <w:jc w:val="both"/>
        <w:rPr>
          <w:rFonts w:ascii="Garamond" w:hAnsi="Garamond"/>
        </w:rPr>
      </w:pPr>
      <w:r>
        <w:rPr>
          <w:rFonts w:ascii="Garamond" w:hAnsi="Garamond"/>
        </w:rPr>
        <w:t xml:space="preserve">In what follows, we provide a description of the variables </w:t>
      </w:r>
      <w:r w:rsidR="00CD2729">
        <w:rPr>
          <w:rFonts w:ascii="Garamond" w:hAnsi="Garamond"/>
        </w:rPr>
        <w:t>us</w:t>
      </w:r>
      <w:r>
        <w:rPr>
          <w:rFonts w:ascii="Garamond" w:hAnsi="Garamond"/>
        </w:rPr>
        <w:t xml:space="preserve">ed in our analysis. Firstly, we describe </w:t>
      </w:r>
      <w:r w:rsidR="00CD2729">
        <w:rPr>
          <w:rFonts w:ascii="Garamond" w:hAnsi="Garamond"/>
        </w:rPr>
        <w:t xml:space="preserve">the </w:t>
      </w:r>
      <w:r>
        <w:rPr>
          <w:rFonts w:ascii="Garamond" w:hAnsi="Garamond"/>
        </w:rPr>
        <w:t>blood-</w:t>
      </w:r>
      <w:r w:rsidR="00300241">
        <w:rPr>
          <w:rFonts w:ascii="Garamond" w:hAnsi="Garamond"/>
        </w:rPr>
        <w:t xml:space="preserve">based </w:t>
      </w:r>
      <w:r>
        <w:rPr>
          <w:rFonts w:ascii="Garamond" w:hAnsi="Garamond"/>
        </w:rPr>
        <w:t xml:space="preserve">biomarker variables giving some detail on their unit of measurement, the clinical cutpoints (when available) and the use of biomarker values for </w:t>
      </w:r>
      <w:r>
        <w:rPr>
          <w:rFonts w:ascii="Garamond" w:hAnsi="Garamond"/>
        </w:rPr>
        <w:lastRenderedPageBreak/>
        <w:t xml:space="preserve">diagnosis of a disease state. Later, we describe </w:t>
      </w:r>
      <w:r w:rsidR="00CD2729">
        <w:rPr>
          <w:rFonts w:ascii="Garamond" w:hAnsi="Garamond"/>
        </w:rPr>
        <w:t xml:space="preserve">the </w:t>
      </w:r>
      <w:r>
        <w:rPr>
          <w:rFonts w:ascii="Garamond" w:hAnsi="Garamond"/>
        </w:rPr>
        <w:t xml:space="preserve">income variable and </w:t>
      </w:r>
      <w:r w:rsidR="00CD2729">
        <w:rPr>
          <w:rFonts w:ascii="Garamond" w:hAnsi="Garamond"/>
        </w:rPr>
        <w:t>other</w:t>
      </w:r>
      <w:r>
        <w:rPr>
          <w:rFonts w:ascii="Garamond" w:hAnsi="Garamond"/>
        </w:rPr>
        <w:t xml:space="preserve"> controls employed in the regression</w:t>
      </w:r>
      <w:r w:rsidR="00074145">
        <w:rPr>
          <w:rFonts w:ascii="Garamond" w:hAnsi="Garamond"/>
        </w:rPr>
        <w:t>s</w:t>
      </w:r>
      <w:r>
        <w:rPr>
          <w:rFonts w:ascii="Garamond" w:hAnsi="Garamond"/>
        </w:rPr>
        <w:t>. A complete list of the variables</w:t>
      </w:r>
      <w:r w:rsidR="00074145">
        <w:rPr>
          <w:rFonts w:ascii="Garamond" w:hAnsi="Garamond"/>
        </w:rPr>
        <w:t>,</w:t>
      </w:r>
      <w:r>
        <w:rPr>
          <w:rFonts w:ascii="Garamond" w:hAnsi="Garamond"/>
        </w:rPr>
        <w:t xml:space="preserve"> along with descriptive statistics</w:t>
      </w:r>
      <w:r w:rsidR="00074145">
        <w:rPr>
          <w:rFonts w:ascii="Garamond" w:hAnsi="Garamond"/>
        </w:rPr>
        <w:t>,</w:t>
      </w:r>
      <w:r>
        <w:rPr>
          <w:rFonts w:ascii="Garamond" w:hAnsi="Garamond"/>
        </w:rPr>
        <w:t xml:space="preserve"> </w:t>
      </w:r>
      <w:r w:rsidR="00074145">
        <w:rPr>
          <w:rFonts w:ascii="Garamond" w:hAnsi="Garamond"/>
        </w:rPr>
        <w:t>is</w:t>
      </w:r>
      <w:r>
        <w:rPr>
          <w:rFonts w:ascii="Garamond" w:hAnsi="Garamond"/>
        </w:rPr>
        <w:t xml:space="preserve"> presented in </w:t>
      </w:r>
      <w:r w:rsidR="00CD2729">
        <w:rPr>
          <w:rFonts w:ascii="Garamond" w:hAnsi="Garamond"/>
        </w:rPr>
        <w:t>T</w:t>
      </w:r>
      <w:r>
        <w:rPr>
          <w:rFonts w:ascii="Garamond" w:hAnsi="Garamond"/>
        </w:rPr>
        <w:t xml:space="preserve">ables 1 and 2. </w:t>
      </w:r>
    </w:p>
    <w:p w14:paraId="5843AF30" w14:textId="77777777" w:rsidR="000463C0" w:rsidRDefault="000463C0" w:rsidP="000463C0">
      <w:pPr>
        <w:autoSpaceDE w:val="0"/>
        <w:autoSpaceDN w:val="0"/>
        <w:adjustRightInd w:val="0"/>
        <w:spacing w:after="0"/>
        <w:jc w:val="both"/>
        <w:rPr>
          <w:rFonts w:ascii="Garamond" w:hAnsi="Garamond"/>
        </w:rPr>
      </w:pPr>
    </w:p>
    <w:p w14:paraId="37A4A266" w14:textId="447379DC" w:rsidR="000463C0" w:rsidRDefault="000463C0" w:rsidP="000463C0">
      <w:pPr>
        <w:autoSpaceDE w:val="0"/>
        <w:autoSpaceDN w:val="0"/>
        <w:adjustRightInd w:val="0"/>
        <w:spacing w:after="0"/>
        <w:jc w:val="both"/>
        <w:rPr>
          <w:rFonts w:ascii="Garamond" w:hAnsi="Garamond"/>
        </w:rPr>
      </w:pPr>
      <w:r w:rsidRPr="00064754">
        <w:rPr>
          <w:rFonts w:ascii="Garamond" w:hAnsi="Garamond"/>
        </w:rPr>
        <w:t>We examin</w:t>
      </w:r>
      <w:r w:rsidR="00323126">
        <w:rPr>
          <w:rFonts w:ascii="Garamond" w:hAnsi="Garamond"/>
        </w:rPr>
        <w:t xml:space="preserve">e </w:t>
      </w:r>
      <w:r w:rsidR="00D67072">
        <w:rPr>
          <w:rFonts w:ascii="Garamond" w:hAnsi="Garamond"/>
        </w:rPr>
        <w:t xml:space="preserve">the </w:t>
      </w:r>
      <w:r w:rsidR="00323126">
        <w:rPr>
          <w:rFonts w:ascii="Garamond" w:hAnsi="Garamond"/>
        </w:rPr>
        <w:t>four blood-based biomarkers</w:t>
      </w:r>
      <w:r w:rsidR="00D67072">
        <w:rPr>
          <w:rFonts w:ascii="Garamond" w:hAnsi="Garamond"/>
        </w:rPr>
        <w:t xml:space="preserve"> for which regularly collected data is available in the HSE</w:t>
      </w:r>
      <w:r w:rsidR="00323126">
        <w:rPr>
          <w:rFonts w:ascii="Garamond" w:hAnsi="Garamond"/>
        </w:rPr>
        <w:t xml:space="preserve">: total </w:t>
      </w:r>
      <w:r w:rsidR="00074145">
        <w:rPr>
          <w:rFonts w:ascii="Garamond" w:hAnsi="Garamond"/>
        </w:rPr>
        <w:t>c</w:t>
      </w:r>
      <w:r w:rsidR="00323126">
        <w:rPr>
          <w:rFonts w:ascii="Garamond" w:hAnsi="Garamond"/>
        </w:rPr>
        <w:t>holesterol, glycated haemoglobin, fibrinogen and f</w:t>
      </w:r>
      <w:r w:rsidRPr="00064754">
        <w:rPr>
          <w:rFonts w:ascii="Garamond" w:hAnsi="Garamond"/>
        </w:rPr>
        <w:t xml:space="preserve">erritin. As discussed in the introduction, these </w:t>
      </w:r>
      <w:r>
        <w:rPr>
          <w:rFonts w:ascii="Garamond" w:hAnsi="Garamond"/>
        </w:rPr>
        <w:t>markers</w:t>
      </w:r>
      <w:r w:rsidRPr="00064754">
        <w:rPr>
          <w:rFonts w:ascii="Garamond" w:hAnsi="Garamond"/>
        </w:rPr>
        <w:t xml:space="preserve"> are highly predictive of </w:t>
      </w:r>
      <w:r w:rsidR="00391EDE">
        <w:rPr>
          <w:rFonts w:ascii="Garamond" w:hAnsi="Garamond"/>
        </w:rPr>
        <w:t xml:space="preserve">some of </w:t>
      </w:r>
      <w:r w:rsidRPr="00064754">
        <w:rPr>
          <w:rFonts w:ascii="Garamond" w:hAnsi="Garamond"/>
        </w:rPr>
        <w:t xml:space="preserve">the most </w:t>
      </w:r>
      <w:r w:rsidR="00391EDE">
        <w:rPr>
          <w:rFonts w:ascii="Garamond" w:hAnsi="Garamond"/>
        </w:rPr>
        <w:t>prevalent</w:t>
      </w:r>
      <w:r w:rsidRPr="00064754">
        <w:rPr>
          <w:rFonts w:ascii="Garamond" w:hAnsi="Garamond"/>
        </w:rPr>
        <w:t xml:space="preserve"> </w:t>
      </w:r>
      <w:r w:rsidR="00074145">
        <w:rPr>
          <w:rFonts w:ascii="Garamond" w:hAnsi="Garamond"/>
        </w:rPr>
        <w:t xml:space="preserve">non-communicable </w:t>
      </w:r>
      <w:r w:rsidRPr="00064754">
        <w:rPr>
          <w:rFonts w:ascii="Garamond" w:hAnsi="Garamond"/>
        </w:rPr>
        <w:t>diseases. Total cholesterol (TC</w:t>
      </w:r>
      <w:r>
        <w:rPr>
          <w:rFonts w:ascii="Garamond" w:hAnsi="Garamond"/>
        </w:rPr>
        <w:t>)</w:t>
      </w:r>
      <w:r w:rsidRPr="00064754">
        <w:rPr>
          <w:rFonts w:ascii="Garamond" w:hAnsi="Garamond"/>
        </w:rPr>
        <w:t xml:space="preserve"> is measured in units called millimoles per litre of blood, (mmol/L).</w:t>
      </w:r>
      <w:r>
        <w:rPr>
          <w:rFonts w:ascii="Garamond" w:hAnsi="Garamond"/>
        </w:rPr>
        <w:t xml:space="preserve"> </w:t>
      </w:r>
      <w:r w:rsidRPr="00064754">
        <w:rPr>
          <w:rFonts w:ascii="Garamond" w:hAnsi="Garamond"/>
        </w:rPr>
        <w:t>The English go</w:t>
      </w:r>
      <w:r w:rsidR="00323126">
        <w:rPr>
          <w:rFonts w:ascii="Garamond" w:hAnsi="Garamond"/>
        </w:rPr>
        <w:t>vernment recommends that total c</w:t>
      </w:r>
      <w:r w:rsidRPr="00064754">
        <w:rPr>
          <w:rFonts w:ascii="Garamond" w:hAnsi="Garamond"/>
        </w:rPr>
        <w:t xml:space="preserve">holesterol should be equal or less than 4 mmol/L among individuals at high risk of cardiovascular disease </w:t>
      </w:r>
      <w:r>
        <w:rPr>
          <w:rFonts w:ascii="Garamond" w:hAnsi="Garamond"/>
        </w:rPr>
        <w:t>(</w:t>
      </w:r>
      <w:r w:rsidRPr="00064754">
        <w:rPr>
          <w:rFonts w:ascii="Garamond" w:hAnsi="Garamond"/>
        </w:rPr>
        <w:t>CVD</w:t>
      </w:r>
      <w:r>
        <w:rPr>
          <w:rFonts w:ascii="Garamond" w:hAnsi="Garamond"/>
        </w:rPr>
        <w:t>)</w:t>
      </w:r>
      <w:r w:rsidRPr="00064754">
        <w:rPr>
          <w:rFonts w:ascii="Garamond" w:hAnsi="Garamond"/>
        </w:rPr>
        <w:t xml:space="preserve"> (ie. obese, with an history of CVD, etc. ) and</w:t>
      </w:r>
      <w:r w:rsidRPr="00A920D3">
        <w:rPr>
          <w:rFonts w:ascii="Garamond" w:hAnsi="Garamond"/>
        </w:rPr>
        <w:t xml:space="preserve"> </w:t>
      </w:r>
      <w:r>
        <w:rPr>
          <w:rFonts w:ascii="Garamond" w:hAnsi="Garamond"/>
        </w:rPr>
        <w:t xml:space="preserve">equal or less than </w:t>
      </w:r>
      <w:r w:rsidRPr="00064754">
        <w:rPr>
          <w:rFonts w:ascii="Garamond" w:hAnsi="Garamond"/>
        </w:rPr>
        <w:t xml:space="preserve">5mmol/L or less for healthy individuals. </w:t>
      </w:r>
      <w:r>
        <w:rPr>
          <w:rFonts w:ascii="Garamond" w:hAnsi="Garamond"/>
        </w:rPr>
        <w:t>Values above these thresholds indicate a higher risk</w:t>
      </w:r>
      <w:r w:rsidRPr="00064754">
        <w:rPr>
          <w:rFonts w:ascii="Garamond" w:hAnsi="Garamond"/>
        </w:rPr>
        <w:t xml:space="preserve"> </w:t>
      </w:r>
      <w:r>
        <w:rPr>
          <w:rFonts w:ascii="Garamond" w:hAnsi="Garamond"/>
        </w:rPr>
        <w:t xml:space="preserve">of CVD. </w:t>
      </w:r>
    </w:p>
    <w:p w14:paraId="41F6F45A" w14:textId="77777777" w:rsidR="000463C0" w:rsidRDefault="000463C0" w:rsidP="000463C0">
      <w:pPr>
        <w:autoSpaceDE w:val="0"/>
        <w:autoSpaceDN w:val="0"/>
        <w:adjustRightInd w:val="0"/>
        <w:spacing w:after="0"/>
        <w:jc w:val="both"/>
        <w:rPr>
          <w:rFonts w:ascii="Garamond" w:hAnsi="Garamond"/>
        </w:rPr>
      </w:pPr>
    </w:p>
    <w:p w14:paraId="3A08FD9B" w14:textId="1D16B8AD" w:rsidR="000463C0" w:rsidRDefault="000463C0" w:rsidP="000463C0">
      <w:pPr>
        <w:autoSpaceDE w:val="0"/>
        <w:autoSpaceDN w:val="0"/>
        <w:adjustRightInd w:val="0"/>
        <w:spacing w:after="0"/>
        <w:jc w:val="both"/>
        <w:rPr>
          <w:rFonts w:ascii="Garamond" w:hAnsi="Garamond"/>
        </w:rPr>
      </w:pPr>
      <w:r w:rsidRPr="00A920D3">
        <w:rPr>
          <w:rFonts w:ascii="Garamond" w:hAnsi="Garamond"/>
        </w:rPr>
        <w:t>Glycated haemoglobin (HbA1c) is a measure of the level of sugar in the blood over the previous 8 t</w:t>
      </w:r>
      <w:r>
        <w:rPr>
          <w:rFonts w:ascii="Garamond" w:hAnsi="Garamond"/>
        </w:rPr>
        <w:t>o 12 weeks before measurement. I</w:t>
      </w:r>
      <w:r w:rsidRPr="00A920D3">
        <w:rPr>
          <w:rFonts w:ascii="Garamond" w:hAnsi="Garamond"/>
        </w:rPr>
        <w:t xml:space="preserve">t is the proportion of haemoglobin proteins that have been bound by glucose. </w:t>
      </w:r>
      <w:r w:rsidRPr="00064754">
        <w:rPr>
          <w:rFonts w:ascii="Garamond" w:hAnsi="Garamond"/>
        </w:rPr>
        <w:t xml:space="preserve"> </w:t>
      </w:r>
      <w:r w:rsidR="00DC34D0">
        <w:rPr>
          <w:rFonts w:ascii="Garamond" w:hAnsi="Garamond"/>
        </w:rPr>
        <w:t>HbA1c</w:t>
      </w:r>
      <w:r w:rsidRPr="00A920D3">
        <w:rPr>
          <w:rFonts w:ascii="Garamond" w:hAnsi="Garamond"/>
        </w:rPr>
        <w:t xml:space="preserve"> can be expressed as a percentage or as a value in mmol/mol. HbA1c is measured </w:t>
      </w:r>
      <w:r w:rsidR="00074145">
        <w:rPr>
          <w:rFonts w:ascii="Garamond" w:hAnsi="Garamond"/>
        </w:rPr>
        <w:t>as a</w:t>
      </w:r>
      <w:r w:rsidRPr="00A920D3">
        <w:rPr>
          <w:rFonts w:ascii="Garamond" w:hAnsi="Garamond"/>
        </w:rPr>
        <w:t xml:space="preserve"> percentage in all waves</w:t>
      </w:r>
      <w:r>
        <w:rPr>
          <w:rFonts w:ascii="Garamond" w:hAnsi="Garamond"/>
        </w:rPr>
        <w:t xml:space="preserve"> of the HSE</w:t>
      </w:r>
      <w:r w:rsidRPr="00A920D3">
        <w:rPr>
          <w:rFonts w:ascii="Garamond" w:hAnsi="Garamond"/>
        </w:rPr>
        <w:t>.</w:t>
      </w:r>
      <w:r w:rsidRPr="00064754">
        <w:rPr>
          <w:rFonts w:ascii="Garamond" w:hAnsi="Garamond"/>
        </w:rPr>
        <w:t xml:space="preserve"> </w:t>
      </w:r>
      <w:r w:rsidRPr="00A920D3">
        <w:rPr>
          <w:rFonts w:ascii="Garamond" w:hAnsi="Garamond"/>
        </w:rPr>
        <w:t>HbA1c values ≥ 6.5% indicates diagnosis of diabetes, while</w:t>
      </w:r>
      <w:r>
        <w:rPr>
          <w:rFonts w:ascii="Garamond" w:hAnsi="Garamond"/>
        </w:rPr>
        <w:t xml:space="preserve"> v</w:t>
      </w:r>
      <w:r w:rsidRPr="00A920D3">
        <w:rPr>
          <w:rFonts w:ascii="Garamond" w:hAnsi="Garamond"/>
        </w:rPr>
        <w:t>alues between 5.7% and 6.4% indicate pre-diabetes risk (ADA, 2010; WHO, 2011</w:t>
      </w:r>
      <w:r>
        <w:rPr>
          <w:rFonts w:ascii="Garamond" w:hAnsi="Garamond"/>
        </w:rPr>
        <w:t>a</w:t>
      </w:r>
      <w:r w:rsidRPr="00A920D3">
        <w:rPr>
          <w:rFonts w:ascii="Garamond" w:hAnsi="Garamond"/>
        </w:rPr>
        <w:t xml:space="preserve">). </w:t>
      </w:r>
    </w:p>
    <w:p w14:paraId="05F60625" w14:textId="77777777" w:rsidR="000463C0" w:rsidRDefault="000463C0" w:rsidP="000463C0">
      <w:pPr>
        <w:autoSpaceDE w:val="0"/>
        <w:autoSpaceDN w:val="0"/>
        <w:adjustRightInd w:val="0"/>
        <w:spacing w:after="0"/>
        <w:jc w:val="both"/>
        <w:rPr>
          <w:rFonts w:ascii="Garamond" w:hAnsi="Garamond"/>
        </w:rPr>
      </w:pPr>
    </w:p>
    <w:p w14:paraId="4A565CF5" w14:textId="77777777" w:rsidR="002D4ED9" w:rsidRDefault="000463C0">
      <w:pPr>
        <w:jc w:val="both"/>
        <w:rPr>
          <w:rFonts w:ascii="Garamond" w:hAnsi="Garamond"/>
        </w:rPr>
      </w:pPr>
      <w:r w:rsidRPr="00A920D3">
        <w:rPr>
          <w:rFonts w:ascii="Garamond" w:hAnsi="Garamond"/>
        </w:rPr>
        <w:t xml:space="preserve">Fibrinogen is a marker of inflammation and it </w:t>
      </w:r>
      <w:r w:rsidR="00CD2729">
        <w:rPr>
          <w:rFonts w:ascii="Garamond" w:hAnsi="Garamond"/>
        </w:rPr>
        <w:t>aid</w:t>
      </w:r>
      <w:r w:rsidRPr="00A920D3">
        <w:rPr>
          <w:rFonts w:ascii="Garamond" w:hAnsi="Garamond"/>
        </w:rPr>
        <w:t>s the body to stop bleeding by helping blood clots to form. It is measured in g</w:t>
      </w:r>
      <w:r w:rsidR="00323126">
        <w:rPr>
          <w:rFonts w:ascii="Garamond" w:hAnsi="Garamond"/>
        </w:rPr>
        <w:t>rams per lit</w:t>
      </w:r>
      <w:r w:rsidRPr="00A920D3">
        <w:rPr>
          <w:rFonts w:ascii="Garamond" w:hAnsi="Garamond"/>
        </w:rPr>
        <w:t>r</w:t>
      </w:r>
      <w:r w:rsidR="00323126">
        <w:rPr>
          <w:rFonts w:ascii="Garamond" w:hAnsi="Garamond"/>
        </w:rPr>
        <w:t>e</w:t>
      </w:r>
      <w:r w:rsidRPr="00A920D3">
        <w:rPr>
          <w:rFonts w:ascii="Garamond" w:hAnsi="Garamond"/>
        </w:rPr>
        <w:t xml:space="preserve"> (g/L). </w:t>
      </w:r>
      <w:r w:rsidR="00CD2729">
        <w:rPr>
          <w:rFonts w:ascii="Garamond" w:hAnsi="Garamond"/>
        </w:rPr>
        <w:t>The measure is</w:t>
      </w:r>
      <w:r w:rsidRPr="00A920D3">
        <w:rPr>
          <w:rFonts w:ascii="Garamond" w:hAnsi="Garamond"/>
        </w:rPr>
        <w:t xml:space="preserve"> continuous and there are no established clinical cutpoints </w:t>
      </w:r>
      <w:r>
        <w:rPr>
          <w:rFonts w:ascii="Garamond" w:hAnsi="Garamond"/>
        </w:rPr>
        <w:t>but</w:t>
      </w:r>
      <w:r w:rsidRPr="00A920D3">
        <w:rPr>
          <w:rFonts w:ascii="Garamond" w:hAnsi="Garamond"/>
        </w:rPr>
        <w:t xml:space="preserve"> normal levels generally range between 1.5-3 g/L. Higher levels of fibrinogen are implicated in the development of CVD</w:t>
      </w:r>
      <w:r w:rsidR="00B77284">
        <w:rPr>
          <w:rFonts w:ascii="Garamond" w:hAnsi="Garamond"/>
        </w:rPr>
        <w:t xml:space="preserve"> and many inflammatory diseases, such as liver diseases</w:t>
      </w:r>
      <w:r w:rsidRPr="00A920D3">
        <w:rPr>
          <w:rFonts w:ascii="Garamond" w:hAnsi="Garamond"/>
        </w:rPr>
        <w:t>.</w:t>
      </w:r>
      <w:r>
        <w:rPr>
          <w:rFonts w:ascii="Garamond" w:hAnsi="Garamond"/>
        </w:rPr>
        <w:t xml:space="preserve"> </w:t>
      </w:r>
    </w:p>
    <w:p w14:paraId="6E390096" w14:textId="77777777" w:rsidR="000463C0" w:rsidRDefault="00323126" w:rsidP="000463C0">
      <w:pPr>
        <w:autoSpaceDE w:val="0"/>
        <w:autoSpaceDN w:val="0"/>
        <w:adjustRightInd w:val="0"/>
        <w:spacing w:after="0"/>
        <w:jc w:val="both"/>
        <w:rPr>
          <w:rFonts w:ascii="Garamond" w:hAnsi="Garamond"/>
        </w:rPr>
      </w:pPr>
      <w:r>
        <w:rPr>
          <w:rFonts w:ascii="Garamond" w:hAnsi="Garamond"/>
        </w:rPr>
        <w:t>Levels of f</w:t>
      </w:r>
      <w:r w:rsidR="000463C0" w:rsidRPr="00A920D3">
        <w:rPr>
          <w:rFonts w:ascii="Garamond" w:hAnsi="Garamond"/>
        </w:rPr>
        <w:t>erritin reflect the size of the body</w:t>
      </w:r>
      <w:r w:rsidR="00CD2729">
        <w:rPr>
          <w:rFonts w:ascii="Garamond" w:hAnsi="Garamond"/>
        </w:rPr>
        <w:t>’s</w:t>
      </w:r>
      <w:r w:rsidR="000463C0" w:rsidRPr="00A920D3">
        <w:rPr>
          <w:rFonts w:ascii="Garamond" w:hAnsi="Garamond"/>
        </w:rPr>
        <w:t xml:space="preserve"> </w:t>
      </w:r>
      <w:r w:rsidR="00CD2729">
        <w:rPr>
          <w:rFonts w:ascii="Garamond" w:hAnsi="Garamond"/>
        </w:rPr>
        <w:t xml:space="preserve">stock of </w:t>
      </w:r>
      <w:r w:rsidR="000463C0" w:rsidRPr="00A920D3">
        <w:rPr>
          <w:rFonts w:ascii="Garamond" w:hAnsi="Garamond"/>
        </w:rPr>
        <w:t xml:space="preserve">iron and therefore </w:t>
      </w:r>
      <w:r w:rsidR="000463C0">
        <w:rPr>
          <w:rFonts w:ascii="Garamond" w:hAnsi="Garamond"/>
        </w:rPr>
        <w:t>they</w:t>
      </w:r>
      <w:r w:rsidR="000463C0" w:rsidRPr="00A920D3">
        <w:rPr>
          <w:rFonts w:ascii="Garamond" w:hAnsi="Garamond"/>
        </w:rPr>
        <w:t xml:space="preserve"> </w:t>
      </w:r>
      <w:r w:rsidR="000463C0">
        <w:rPr>
          <w:rFonts w:ascii="Garamond" w:hAnsi="Garamond"/>
        </w:rPr>
        <w:t>are</w:t>
      </w:r>
      <w:r w:rsidR="000463C0" w:rsidRPr="00A920D3">
        <w:rPr>
          <w:rFonts w:ascii="Garamond" w:hAnsi="Garamond"/>
        </w:rPr>
        <w:t xml:space="preserve"> indicative of anaemia. A low ferritin level is predictive of uncomplicated iron deficiency anaemia</w:t>
      </w:r>
      <w:r w:rsidR="00B77284">
        <w:rPr>
          <w:rFonts w:ascii="Garamond" w:hAnsi="Garamond"/>
        </w:rPr>
        <w:t>, caused, for instance, by poor nutrition</w:t>
      </w:r>
      <w:r w:rsidR="000463C0" w:rsidRPr="00A920D3">
        <w:rPr>
          <w:rFonts w:ascii="Garamond" w:hAnsi="Garamond"/>
        </w:rPr>
        <w:t>. However, high ferritin levels suggest excess body iron, which is also problematic for health</w:t>
      </w:r>
      <w:r w:rsidR="00B77284">
        <w:rPr>
          <w:rFonts w:ascii="Garamond" w:hAnsi="Garamond"/>
        </w:rPr>
        <w:t xml:space="preserve"> because it is generally associated with important diseases such as liver diseases</w:t>
      </w:r>
      <w:r w:rsidR="000463C0" w:rsidRPr="00A920D3">
        <w:rPr>
          <w:rFonts w:ascii="Garamond" w:hAnsi="Garamond"/>
        </w:rPr>
        <w:t xml:space="preserve">. WHO (2011b) </w:t>
      </w:r>
      <w:r w:rsidR="000463C0">
        <w:rPr>
          <w:rFonts w:ascii="Garamond" w:hAnsi="Garamond"/>
        </w:rPr>
        <w:t>suggests</w:t>
      </w:r>
      <w:r w:rsidR="000463C0" w:rsidRPr="00A920D3">
        <w:rPr>
          <w:rFonts w:ascii="Garamond" w:hAnsi="Garamond"/>
        </w:rPr>
        <w:t xml:space="preserve"> some cut-points: ferritin levels below ≤ 20 ug/L indicate depletion of iron, while levels ≤ 12 indicate complete absence of stored iron. Ferritin levels &gt;300 ug/L may indicate iron overload in men and post</w:t>
      </w:r>
      <w:r w:rsidR="00CD2729">
        <w:rPr>
          <w:rFonts w:ascii="Garamond" w:hAnsi="Garamond"/>
        </w:rPr>
        <w:t>-</w:t>
      </w:r>
      <w:r w:rsidR="000463C0" w:rsidRPr="00A920D3">
        <w:rPr>
          <w:rFonts w:ascii="Garamond" w:hAnsi="Garamond"/>
        </w:rPr>
        <w:t>menopausal women and &gt;200 may indicate iron overload in pre</w:t>
      </w:r>
      <w:r w:rsidR="00CD2729">
        <w:rPr>
          <w:rFonts w:ascii="Garamond" w:hAnsi="Garamond"/>
        </w:rPr>
        <w:t>-</w:t>
      </w:r>
      <w:r w:rsidR="000463C0" w:rsidRPr="00A920D3">
        <w:rPr>
          <w:rFonts w:ascii="Garamond" w:hAnsi="Garamond"/>
        </w:rPr>
        <w:t>menopausal women.</w:t>
      </w:r>
      <w:r w:rsidR="00B77284">
        <w:rPr>
          <w:rFonts w:ascii="Garamond" w:hAnsi="Garamond"/>
        </w:rPr>
        <w:t xml:space="preserve"> </w:t>
      </w:r>
    </w:p>
    <w:p w14:paraId="1BD875AD" w14:textId="77777777" w:rsidR="000463C0" w:rsidRDefault="000463C0" w:rsidP="000463C0">
      <w:pPr>
        <w:autoSpaceDE w:val="0"/>
        <w:autoSpaceDN w:val="0"/>
        <w:adjustRightInd w:val="0"/>
        <w:spacing w:after="0"/>
        <w:jc w:val="both"/>
        <w:rPr>
          <w:rFonts w:ascii="Garamond" w:hAnsi="Garamond"/>
        </w:rPr>
      </w:pPr>
    </w:p>
    <w:p w14:paraId="5A273900" w14:textId="3D958F4A" w:rsidR="000463C0" w:rsidRDefault="000463C0" w:rsidP="000463C0">
      <w:pPr>
        <w:autoSpaceDE w:val="0"/>
        <w:autoSpaceDN w:val="0"/>
        <w:adjustRightInd w:val="0"/>
        <w:spacing w:after="0"/>
        <w:jc w:val="both"/>
        <w:rPr>
          <w:rFonts w:ascii="Garamond" w:hAnsi="Garamond"/>
        </w:rPr>
      </w:pPr>
      <w:r>
        <w:rPr>
          <w:rFonts w:ascii="Garamond" w:hAnsi="Garamond"/>
        </w:rPr>
        <w:t xml:space="preserve">Our main independent variable is household equivalised income. It includes total income of a household from all sources, after tax and other deductions, </w:t>
      </w:r>
      <w:r w:rsidRPr="002778E5">
        <w:rPr>
          <w:rFonts w:ascii="Garamond" w:hAnsi="Garamond"/>
        </w:rPr>
        <w:t>divided by the number of household members converted into equ</w:t>
      </w:r>
      <w:r w:rsidR="00AB1D5A">
        <w:rPr>
          <w:rFonts w:ascii="Garamond" w:hAnsi="Garamond"/>
        </w:rPr>
        <w:t>ival</w:t>
      </w:r>
      <w:r w:rsidRPr="002778E5">
        <w:rPr>
          <w:rFonts w:ascii="Garamond" w:hAnsi="Garamond"/>
        </w:rPr>
        <w:t>ised adults.</w:t>
      </w:r>
      <w:r>
        <w:rPr>
          <w:rFonts w:ascii="Garamond" w:hAnsi="Garamond"/>
        </w:rPr>
        <w:t xml:space="preserve"> In order to take into account the fact that income changes are often multiplicative in the real world (ie. a 5% raise in wages), we take the logarithms of equivalised income in all regressions</w:t>
      </w:r>
      <w:r w:rsidR="00681769">
        <w:rPr>
          <w:rFonts w:ascii="Garamond" w:hAnsi="Garamond"/>
        </w:rPr>
        <w:t>;</w:t>
      </w:r>
      <w:r>
        <w:rPr>
          <w:rFonts w:ascii="Garamond" w:hAnsi="Garamond"/>
        </w:rPr>
        <w:t xml:space="preserve"> </w:t>
      </w:r>
      <w:r w:rsidR="00681769">
        <w:rPr>
          <w:rFonts w:ascii="Garamond" w:hAnsi="Garamond"/>
        </w:rPr>
        <w:t>t</w:t>
      </w:r>
      <w:r>
        <w:rPr>
          <w:rFonts w:ascii="Garamond" w:hAnsi="Garamond"/>
        </w:rPr>
        <w:t xml:space="preserve">his </w:t>
      </w:r>
      <w:r w:rsidR="00681769">
        <w:rPr>
          <w:rFonts w:ascii="Garamond" w:hAnsi="Garamond"/>
        </w:rPr>
        <w:t xml:space="preserve">is common practice and </w:t>
      </w:r>
      <w:r>
        <w:rPr>
          <w:rFonts w:ascii="Garamond" w:hAnsi="Garamond"/>
        </w:rPr>
        <w:t xml:space="preserve">allows a </w:t>
      </w:r>
      <w:r w:rsidR="00681769">
        <w:rPr>
          <w:rFonts w:ascii="Garamond" w:hAnsi="Garamond"/>
        </w:rPr>
        <w:t>clear</w:t>
      </w:r>
      <w:r>
        <w:rPr>
          <w:rFonts w:ascii="Garamond" w:hAnsi="Garamond"/>
        </w:rPr>
        <w:t>er interpretation of the income-health relationship.</w:t>
      </w:r>
    </w:p>
    <w:p w14:paraId="2DC295F5" w14:textId="77777777" w:rsidR="000463C0" w:rsidRDefault="000463C0" w:rsidP="000463C0">
      <w:pPr>
        <w:autoSpaceDE w:val="0"/>
        <w:autoSpaceDN w:val="0"/>
        <w:adjustRightInd w:val="0"/>
        <w:spacing w:after="0"/>
        <w:jc w:val="both"/>
        <w:rPr>
          <w:rFonts w:ascii="Garamond" w:hAnsi="Garamond"/>
        </w:rPr>
      </w:pPr>
    </w:p>
    <w:p w14:paraId="1CFFB37E" w14:textId="07DF21DA" w:rsidR="000463C0" w:rsidRDefault="000463C0" w:rsidP="000463C0">
      <w:pPr>
        <w:autoSpaceDE w:val="0"/>
        <w:autoSpaceDN w:val="0"/>
        <w:adjustRightInd w:val="0"/>
        <w:spacing w:after="0"/>
        <w:jc w:val="both"/>
        <w:rPr>
          <w:rFonts w:ascii="Garamond" w:hAnsi="Garamond"/>
        </w:rPr>
      </w:pPr>
      <w:r>
        <w:rPr>
          <w:rFonts w:ascii="Garamond" w:hAnsi="Garamond"/>
        </w:rPr>
        <w:t>As control variables, we include six</w:t>
      </w:r>
      <w:r w:rsidRPr="006721FF">
        <w:rPr>
          <w:rFonts w:ascii="Garamond" w:hAnsi="Garamond"/>
        </w:rPr>
        <w:t xml:space="preserve"> age group variables (11</w:t>
      </w:r>
      <w:r w:rsidR="002E23BC">
        <w:rPr>
          <w:rFonts w:ascii="Garamond" w:hAnsi="Garamond"/>
        </w:rPr>
        <w:t>-18, 18-</w:t>
      </w:r>
      <w:r>
        <w:rPr>
          <w:rFonts w:ascii="Garamond" w:hAnsi="Garamond"/>
        </w:rPr>
        <w:t>34, 35-44, 45-64, 65-74, 75+</w:t>
      </w:r>
      <w:r w:rsidRPr="006721FF">
        <w:rPr>
          <w:rFonts w:ascii="Garamond" w:hAnsi="Garamond"/>
        </w:rPr>
        <w:t xml:space="preserve">) for each gender and seven dummies for educational status. Education is measured according to the following categories: Degree or National vocation qualification (NVQ) 4 or </w:t>
      </w:r>
      <w:r w:rsidRPr="006721FF">
        <w:rPr>
          <w:rFonts w:ascii="Garamond" w:hAnsi="Garamond"/>
        </w:rPr>
        <w:lastRenderedPageBreak/>
        <w:t>5; Higher education below degree;</w:t>
      </w:r>
      <w:r>
        <w:rPr>
          <w:rFonts w:ascii="Garamond" w:hAnsi="Garamond"/>
        </w:rPr>
        <w:t xml:space="preserve"> NVQ 3 or General Certificate of Education (GCE) Advanced Level; NVQ 2 or GCE ordinary level; NVQ1 or Certificate of Secondary Education (CSE); O</w:t>
      </w:r>
      <w:r w:rsidRPr="006721FF">
        <w:rPr>
          <w:rFonts w:ascii="Garamond" w:hAnsi="Garamond"/>
        </w:rPr>
        <w:t>ther qualification</w:t>
      </w:r>
      <w:r>
        <w:rPr>
          <w:rFonts w:ascii="Garamond" w:hAnsi="Garamond"/>
        </w:rPr>
        <w:t xml:space="preserve">s </w:t>
      </w:r>
      <w:r w:rsidRPr="006721FF">
        <w:rPr>
          <w:rFonts w:ascii="Garamond" w:hAnsi="Garamond"/>
        </w:rPr>
        <w:t xml:space="preserve">from outside England; No qualification. </w:t>
      </w:r>
      <w:r>
        <w:rPr>
          <w:rFonts w:ascii="Garamond" w:hAnsi="Garamond"/>
        </w:rPr>
        <w:t xml:space="preserve">Omitted categories in our analysis are </w:t>
      </w:r>
      <w:r w:rsidR="00CD2729">
        <w:rPr>
          <w:rFonts w:ascii="Garamond" w:hAnsi="Garamond"/>
        </w:rPr>
        <w:t>males</w:t>
      </w:r>
      <w:r w:rsidR="00323126">
        <w:rPr>
          <w:rFonts w:ascii="Garamond" w:hAnsi="Garamond"/>
        </w:rPr>
        <w:t>,</w:t>
      </w:r>
      <w:r w:rsidR="00CD2729">
        <w:rPr>
          <w:rFonts w:ascii="Garamond" w:hAnsi="Garamond"/>
        </w:rPr>
        <w:t xml:space="preserve"> aged 11-18 and </w:t>
      </w:r>
      <w:r w:rsidR="00681769">
        <w:rPr>
          <w:rFonts w:ascii="Garamond" w:hAnsi="Garamond"/>
        </w:rPr>
        <w:t xml:space="preserve">with </w:t>
      </w:r>
      <w:r>
        <w:rPr>
          <w:rFonts w:ascii="Garamond" w:hAnsi="Garamond"/>
        </w:rPr>
        <w:t>no qualification.</w:t>
      </w:r>
    </w:p>
    <w:p w14:paraId="1895BA4C" w14:textId="77777777" w:rsidR="000463C0" w:rsidRDefault="000463C0" w:rsidP="000463C0">
      <w:pPr>
        <w:autoSpaceDE w:val="0"/>
        <w:autoSpaceDN w:val="0"/>
        <w:adjustRightInd w:val="0"/>
        <w:spacing w:after="0"/>
        <w:jc w:val="both"/>
        <w:rPr>
          <w:rFonts w:ascii="Garamond" w:hAnsi="Garamond"/>
        </w:rPr>
      </w:pPr>
    </w:p>
    <w:p w14:paraId="4318C110" w14:textId="489CC440" w:rsidR="000463C0" w:rsidRDefault="000463C0" w:rsidP="00E53C47">
      <w:pPr>
        <w:autoSpaceDE w:val="0"/>
        <w:autoSpaceDN w:val="0"/>
        <w:adjustRightInd w:val="0"/>
        <w:spacing w:after="0"/>
        <w:jc w:val="both"/>
        <w:rPr>
          <w:rFonts w:ascii="Garamond" w:hAnsi="Garamond"/>
        </w:rPr>
      </w:pPr>
      <w:r>
        <w:rPr>
          <w:rFonts w:ascii="Garamond" w:hAnsi="Garamond"/>
        </w:rPr>
        <w:t xml:space="preserve">Table 1 shows descriptive statistics for </w:t>
      </w:r>
      <w:r w:rsidR="00EC34FE">
        <w:rPr>
          <w:rFonts w:ascii="Garamond" w:hAnsi="Garamond"/>
        </w:rPr>
        <w:t xml:space="preserve">the </w:t>
      </w:r>
      <w:r>
        <w:rPr>
          <w:rFonts w:ascii="Garamond" w:hAnsi="Garamond"/>
        </w:rPr>
        <w:t>biomarkers. We f</w:t>
      </w:r>
      <w:r w:rsidR="00EC34FE">
        <w:rPr>
          <w:rFonts w:ascii="Garamond" w:hAnsi="Garamond"/>
        </w:rPr>
        <w:t>i</w:t>
      </w:r>
      <w:r>
        <w:rPr>
          <w:rFonts w:ascii="Garamond" w:hAnsi="Garamond"/>
        </w:rPr>
        <w:t xml:space="preserve">nd that average biomarker values in our sample fall </w:t>
      </w:r>
      <w:r w:rsidR="00681769">
        <w:rPr>
          <w:rFonts w:ascii="Garamond" w:hAnsi="Garamond"/>
        </w:rPr>
        <w:t>largely</w:t>
      </w:r>
      <w:r>
        <w:rPr>
          <w:rFonts w:ascii="Garamond" w:hAnsi="Garamond"/>
        </w:rPr>
        <w:t xml:space="preserve"> within normal ranges, but with some </w:t>
      </w:r>
      <w:r w:rsidR="00681769">
        <w:rPr>
          <w:rFonts w:ascii="Garamond" w:hAnsi="Garamond"/>
        </w:rPr>
        <w:t>excep</w:t>
      </w:r>
      <w:r>
        <w:rPr>
          <w:rFonts w:ascii="Garamond" w:hAnsi="Garamond"/>
        </w:rPr>
        <w:t xml:space="preserve">tions. In particular, </w:t>
      </w:r>
      <w:r w:rsidR="00323126">
        <w:rPr>
          <w:rFonts w:ascii="Garamond" w:hAnsi="Garamond"/>
        </w:rPr>
        <w:t xml:space="preserve">average </w:t>
      </w:r>
      <w:r>
        <w:rPr>
          <w:rFonts w:ascii="Garamond" w:hAnsi="Garamond"/>
        </w:rPr>
        <w:t xml:space="preserve">cholesterol values are </w:t>
      </w:r>
      <w:r w:rsidR="00681769">
        <w:rPr>
          <w:rFonts w:ascii="Garamond" w:hAnsi="Garamond"/>
        </w:rPr>
        <w:t>around ten per cent</w:t>
      </w:r>
      <w:r>
        <w:rPr>
          <w:rFonts w:ascii="Garamond" w:hAnsi="Garamond"/>
        </w:rPr>
        <w:t xml:space="preserve"> higher than the cutpoint of 5 while fibrinogen average scores are a bit higher than the normal cutpoint of 3. Moreover, </w:t>
      </w:r>
      <w:r w:rsidR="00EC34FE">
        <w:rPr>
          <w:rFonts w:ascii="Garamond" w:hAnsi="Garamond"/>
        </w:rPr>
        <w:t>T</w:t>
      </w:r>
      <w:r>
        <w:rPr>
          <w:rFonts w:ascii="Garamond" w:hAnsi="Garamond"/>
        </w:rPr>
        <w:t>able 1 depicts a higher dispersion arou</w:t>
      </w:r>
      <w:r w:rsidR="00323126">
        <w:rPr>
          <w:rFonts w:ascii="Garamond" w:hAnsi="Garamond"/>
        </w:rPr>
        <w:t>nd the average cholesterol and f</w:t>
      </w:r>
      <w:r>
        <w:rPr>
          <w:rFonts w:ascii="Garamond" w:hAnsi="Garamond"/>
        </w:rPr>
        <w:t xml:space="preserve">erritin values, while other biomarkers values are less dispersed around the mean. </w:t>
      </w:r>
    </w:p>
    <w:p w14:paraId="27B35948" w14:textId="77777777" w:rsidR="000463C0" w:rsidRDefault="000463C0" w:rsidP="000463C0">
      <w:pPr>
        <w:autoSpaceDE w:val="0"/>
        <w:autoSpaceDN w:val="0"/>
        <w:adjustRightInd w:val="0"/>
        <w:spacing w:after="0"/>
        <w:jc w:val="both"/>
        <w:rPr>
          <w:rFonts w:ascii="Garamond" w:hAnsi="Garamond"/>
        </w:rPr>
      </w:pPr>
    </w:p>
    <w:p w14:paraId="2674EA29" w14:textId="4121AAEF" w:rsidR="000463C0" w:rsidRDefault="000463C0" w:rsidP="000463C0">
      <w:pPr>
        <w:autoSpaceDE w:val="0"/>
        <w:autoSpaceDN w:val="0"/>
        <w:adjustRightInd w:val="0"/>
        <w:spacing w:after="0"/>
        <w:jc w:val="both"/>
        <w:rPr>
          <w:rFonts w:ascii="Garamond" w:hAnsi="Garamond"/>
        </w:rPr>
      </w:pPr>
      <w:r>
        <w:rPr>
          <w:rFonts w:ascii="Garamond" w:hAnsi="Garamond"/>
        </w:rPr>
        <w:t xml:space="preserve">Table 2 shows descriptive statistics for </w:t>
      </w:r>
      <w:r w:rsidR="0009720A">
        <w:rPr>
          <w:rFonts w:ascii="Garamond" w:hAnsi="Garamond"/>
        </w:rPr>
        <w:t xml:space="preserve">the </w:t>
      </w:r>
      <w:r>
        <w:rPr>
          <w:rFonts w:ascii="Garamond" w:hAnsi="Garamond"/>
        </w:rPr>
        <w:t xml:space="preserve">independent variables. We observe a high share of individuals aged 45-64 and a higher share of elderly women (over 65), consistent with the well-known gender differences in life expectancy. With respect to education, we observe that around 23% of individuals in our sample have a </w:t>
      </w:r>
      <w:r w:rsidR="00681769">
        <w:rPr>
          <w:rFonts w:ascii="Garamond" w:hAnsi="Garamond"/>
        </w:rPr>
        <w:t>d</w:t>
      </w:r>
      <w:r>
        <w:rPr>
          <w:rFonts w:ascii="Garamond" w:hAnsi="Garamond"/>
        </w:rPr>
        <w:t>egree, and a similar share of them have a NVQ 2 or GCE. Also the share of individuals without formal education is s</w:t>
      </w:r>
      <w:r w:rsidR="00AB1D5A">
        <w:rPr>
          <w:rFonts w:ascii="Garamond" w:hAnsi="Garamond"/>
        </w:rPr>
        <w:t>ubstantial</w:t>
      </w:r>
      <w:r>
        <w:rPr>
          <w:rFonts w:ascii="Garamond" w:hAnsi="Garamond"/>
        </w:rPr>
        <w:t xml:space="preserve"> (around 21%). This includes mostly individuals belonging to old</w:t>
      </w:r>
      <w:r w:rsidR="0009720A">
        <w:rPr>
          <w:rFonts w:ascii="Garamond" w:hAnsi="Garamond"/>
        </w:rPr>
        <w:t>er</w:t>
      </w:r>
      <w:r>
        <w:rPr>
          <w:rFonts w:ascii="Garamond" w:hAnsi="Garamond"/>
        </w:rPr>
        <w:t xml:space="preserve"> cohorts without any formal education (around 20% and an average age of 60) and students receiving compulsory education or attending a school at the time in which the interview </w:t>
      </w:r>
      <w:r w:rsidR="0009720A">
        <w:rPr>
          <w:rFonts w:ascii="Garamond" w:hAnsi="Garamond"/>
        </w:rPr>
        <w:t>was</w:t>
      </w:r>
      <w:r>
        <w:rPr>
          <w:rFonts w:ascii="Garamond" w:hAnsi="Garamond"/>
        </w:rPr>
        <w:t xml:space="preserve"> conducted (approximately 1% of our sample and an average age of 15).</w:t>
      </w:r>
      <w:r w:rsidR="0003410E">
        <w:rPr>
          <w:rFonts w:ascii="Garamond" w:hAnsi="Garamond"/>
        </w:rPr>
        <w:t xml:space="preserve"> </w:t>
      </w:r>
    </w:p>
    <w:p w14:paraId="6E47F9EA" w14:textId="77777777" w:rsidR="000463C0" w:rsidRDefault="000463C0">
      <w:pPr>
        <w:rPr>
          <w:rFonts w:ascii="Garamond" w:hAnsi="Garamond"/>
          <w:b/>
        </w:rPr>
      </w:pPr>
    </w:p>
    <w:p w14:paraId="5A4B69BC" w14:textId="77777777" w:rsidR="00883ED2" w:rsidRPr="00A164EC" w:rsidRDefault="00883ED2">
      <w:pPr>
        <w:rPr>
          <w:rFonts w:ascii="Garamond" w:hAnsi="Garamond"/>
          <w:b/>
          <w:sz w:val="28"/>
          <w:szCs w:val="28"/>
        </w:rPr>
      </w:pPr>
      <w:r w:rsidRPr="00A164EC">
        <w:rPr>
          <w:rFonts w:ascii="Garamond" w:hAnsi="Garamond"/>
          <w:b/>
          <w:sz w:val="28"/>
          <w:szCs w:val="28"/>
        </w:rPr>
        <w:t>3. Empirical Me</w:t>
      </w:r>
      <w:r w:rsidR="00F0014D" w:rsidRPr="00A164EC">
        <w:rPr>
          <w:rFonts w:ascii="Garamond" w:hAnsi="Garamond"/>
          <w:b/>
          <w:sz w:val="28"/>
          <w:szCs w:val="28"/>
        </w:rPr>
        <w:t>t</w:t>
      </w:r>
      <w:r w:rsidR="00F15511" w:rsidRPr="00A164EC">
        <w:rPr>
          <w:rFonts w:ascii="Garamond" w:hAnsi="Garamond"/>
          <w:b/>
          <w:sz w:val="28"/>
          <w:szCs w:val="28"/>
        </w:rPr>
        <w:t>hodology</w:t>
      </w:r>
    </w:p>
    <w:p w14:paraId="1A244883" w14:textId="7A8911FF" w:rsidR="00883ED2" w:rsidRDefault="00883ED2" w:rsidP="00883ED2">
      <w:pPr>
        <w:jc w:val="both"/>
        <w:rPr>
          <w:rFonts w:ascii="Garamond" w:hAnsi="Garamond"/>
        </w:rPr>
      </w:pPr>
      <w:r>
        <w:rPr>
          <w:rFonts w:ascii="Garamond" w:hAnsi="Garamond"/>
        </w:rPr>
        <w:t xml:space="preserve">Our empirical analysis is based on the </w:t>
      </w:r>
      <w:r w:rsidR="0009720A">
        <w:rPr>
          <w:rFonts w:ascii="Garamond" w:hAnsi="Garamond"/>
        </w:rPr>
        <w:t xml:space="preserve">RIF </w:t>
      </w:r>
      <w:r w:rsidR="00536515">
        <w:rPr>
          <w:rFonts w:ascii="Garamond" w:hAnsi="Garamond"/>
        </w:rPr>
        <w:t>method</w:t>
      </w:r>
      <w:r>
        <w:rPr>
          <w:rFonts w:ascii="Garamond" w:hAnsi="Garamond"/>
        </w:rPr>
        <w:t xml:space="preserve"> </w:t>
      </w:r>
      <w:r w:rsidR="0009720A">
        <w:rPr>
          <w:rFonts w:ascii="Garamond" w:hAnsi="Garamond"/>
        </w:rPr>
        <w:t>of</w:t>
      </w:r>
      <w:r>
        <w:rPr>
          <w:rFonts w:ascii="Garamond" w:hAnsi="Garamond"/>
        </w:rPr>
        <w:t xml:space="preserve"> Firpo, Fortin and Lemiux (2009). We use the method to estimate</w:t>
      </w:r>
      <w:r w:rsidR="00372392">
        <w:rPr>
          <w:rFonts w:ascii="Garamond" w:hAnsi="Garamond"/>
        </w:rPr>
        <w:t xml:space="preserve"> </w:t>
      </w:r>
      <w:r w:rsidR="0083624D">
        <w:rPr>
          <w:rFonts w:ascii="Garamond" w:hAnsi="Garamond"/>
        </w:rPr>
        <w:t>the relationship between i</w:t>
      </w:r>
      <w:r>
        <w:rPr>
          <w:rFonts w:ascii="Garamond" w:hAnsi="Garamond"/>
        </w:rPr>
        <w:t>nc</w:t>
      </w:r>
      <w:r w:rsidR="00372392">
        <w:rPr>
          <w:rFonts w:ascii="Garamond" w:hAnsi="Garamond"/>
        </w:rPr>
        <w:t>ome</w:t>
      </w:r>
      <w:r w:rsidR="00640903">
        <w:rPr>
          <w:rFonts w:ascii="Garamond" w:hAnsi="Garamond"/>
        </w:rPr>
        <w:t xml:space="preserve"> and biomarkers</w:t>
      </w:r>
      <w:r w:rsidR="00372392">
        <w:rPr>
          <w:rFonts w:ascii="Garamond" w:hAnsi="Garamond"/>
        </w:rPr>
        <w:t xml:space="preserve"> and we use  RIF regression </w:t>
      </w:r>
      <w:r>
        <w:rPr>
          <w:rFonts w:ascii="Garamond" w:hAnsi="Garamond"/>
        </w:rPr>
        <w:t>a</w:t>
      </w:r>
      <w:r w:rsidR="00536515">
        <w:rPr>
          <w:rFonts w:ascii="Garamond" w:hAnsi="Garamond"/>
        </w:rPr>
        <w:t>s a</w:t>
      </w:r>
      <w:r>
        <w:rPr>
          <w:rFonts w:ascii="Garamond" w:hAnsi="Garamond"/>
        </w:rPr>
        <w:t xml:space="preserve"> basis for Oaxaca-Blinder decomposition of </w:t>
      </w:r>
      <w:r w:rsidR="00DC34D0">
        <w:rPr>
          <w:rFonts w:ascii="Garamond" w:hAnsi="Garamond"/>
        </w:rPr>
        <w:t xml:space="preserve">gender differentials </w:t>
      </w:r>
      <w:r>
        <w:rPr>
          <w:rFonts w:ascii="Garamond" w:hAnsi="Garamond"/>
        </w:rPr>
        <w:t xml:space="preserve">in </w:t>
      </w:r>
      <w:r w:rsidR="00440D84">
        <w:rPr>
          <w:rFonts w:ascii="Garamond" w:hAnsi="Garamond"/>
        </w:rPr>
        <w:t xml:space="preserve">England. </w:t>
      </w:r>
    </w:p>
    <w:p w14:paraId="7CFE7CB0" w14:textId="59102FC0" w:rsidR="00EF624F" w:rsidRDefault="00883ED2" w:rsidP="00EF624F">
      <w:pPr>
        <w:jc w:val="both"/>
        <w:rPr>
          <w:rFonts w:ascii="Garamond" w:hAnsi="Garamond"/>
        </w:rPr>
      </w:pPr>
      <w:r>
        <w:rPr>
          <w:rFonts w:ascii="Garamond" w:hAnsi="Garamond"/>
        </w:rPr>
        <w:t xml:space="preserve">As discussed in the introduction, the key advantage of </w:t>
      </w:r>
      <w:r w:rsidR="0009720A">
        <w:rPr>
          <w:rFonts w:ascii="Garamond" w:hAnsi="Garamond"/>
        </w:rPr>
        <w:t xml:space="preserve">the </w:t>
      </w:r>
      <w:r>
        <w:rPr>
          <w:rFonts w:ascii="Garamond" w:hAnsi="Garamond"/>
        </w:rPr>
        <w:t xml:space="preserve">RIF approach is that it allows </w:t>
      </w:r>
      <w:r w:rsidR="0009720A">
        <w:rPr>
          <w:rFonts w:ascii="Garamond" w:hAnsi="Garamond"/>
        </w:rPr>
        <w:t xml:space="preserve">us </w:t>
      </w:r>
      <w:r>
        <w:rPr>
          <w:rFonts w:ascii="Garamond" w:hAnsi="Garamond"/>
        </w:rPr>
        <w:t>to analy</w:t>
      </w:r>
      <w:r w:rsidR="00E05B3A">
        <w:rPr>
          <w:rFonts w:ascii="Garamond" w:hAnsi="Garamond"/>
        </w:rPr>
        <w:t>s</w:t>
      </w:r>
      <w:r>
        <w:rPr>
          <w:rFonts w:ascii="Garamond" w:hAnsi="Garamond"/>
        </w:rPr>
        <w:t xml:space="preserve">e the </w:t>
      </w:r>
      <w:r w:rsidR="0083624D">
        <w:rPr>
          <w:rFonts w:ascii="Garamond" w:hAnsi="Garamond"/>
        </w:rPr>
        <w:t xml:space="preserve">relationship between income and the </w:t>
      </w:r>
      <w:r w:rsidRPr="00B716F2">
        <w:rPr>
          <w:rFonts w:ascii="Garamond" w:hAnsi="Garamond"/>
          <w:i/>
        </w:rPr>
        <w:t>unconditional</w:t>
      </w:r>
      <w:r>
        <w:rPr>
          <w:rFonts w:ascii="Garamond" w:hAnsi="Garamond"/>
        </w:rPr>
        <w:t xml:space="preserve"> </w:t>
      </w:r>
      <w:r w:rsidR="00B716F2">
        <w:rPr>
          <w:rFonts w:ascii="Garamond" w:hAnsi="Garamond"/>
        </w:rPr>
        <w:t>distribution of biomarkers, and</w:t>
      </w:r>
      <w:r>
        <w:rPr>
          <w:rFonts w:ascii="Garamond" w:hAnsi="Garamond"/>
        </w:rPr>
        <w:t xml:space="preserve"> to analy</w:t>
      </w:r>
      <w:r w:rsidR="00E05B3A">
        <w:rPr>
          <w:rFonts w:ascii="Garamond" w:hAnsi="Garamond"/>
        </w:rPr>
        <w:t>s</w:t>
      </w:r>
      <w:r>
        <w:rPr>
          <w:rFonts w:ascii="Garamond" w:hAnsi="Garamond"/>
        </w:rPr>
        <w:t xml:space="preserve">e and decompose </w:t>
      </w:r>
      <w:r w:rsidR="00DC34D0">
        <w:rPr>
          <w:rFonts w:ascii="Garamond" w:hAnsi="Garamond"/>
        </w:rPr>
        <w:t>differences in the</w:t>
      </w:r>
      <w:r>
        <w:rPr>
          <w:rFonts w:ascii="Garamond" w:hAnsi="Garamond"/>
        </w:rPr>
        <w:t xml:space="preserve"> </w:t>
      </w:r>
      <w:r w:rsidRPr="00B716F2">
        <w:rPr>
          <w:rFonts w:ascii="Garamond" w:hAnsi="Garamond"/>
          <w:i/>
        </w:rPr>
        <w:t>unconditional</w:t>
      </w:r>
      <w:r>
        <w:rPr>
          <w:rFonts w:ascii="Garamond" w:hAnsi="Garamond"/>
        </w:rPr>
        <w:t xml:space="preserve"> distribution of biomarkers</w:t>
      </w:r>
      <w:r w:rsidR="00DC34D0">
        <w:rPr>
          <w:rFonts w:ascii="Garamond" w:hAnsi="Garamond"/>
        </w:rPr>
        <w:t xml:space="preserve"> across genders</w:t>
      </w:r>
      <w:r>
        <w:rPr>
          <w:rFonts w:ascii="Garamond" w:hAnsi="Garamond"/>
        </w:rPr>
        <w:t>. This possibility is essentially given by the fact that RIF method works by providing a linear approximation of the unconditional quantile</w:t>
      </w:r>
      <w:r w:rsidR="0009720A">
        <w:rPr>
          <w:rFonts w:ascii="Garamond" w:hAnsi="Garamond"/>
        </w:rPr>
        <w:t>s</w:t>
      </w:r>
      <w:r>
        <w:rPr>
          <w:rFonts w:ascii="Garamond" w:hAnsi="Garamond"/>
        </w:rPr>
        <w:t xml:space="preserve"> of the dependent variable</w:t>
      </w:r>
      <w:r w:rsidR="00A879AE">
        <w:rPr>
          <w:rStyle w:val="FootnoteReference"/>
          <w:rFonts w:ascii="Garamond" w:hAnsi="Garamond"/>
        </w:rPr>
        <w:footnoteReference w:id="4"/>
      </w:r>
      <w:r>
        <w:rPr>
          <w:rFonts w:ascii="Garamond" w:hAnsi="Garamond"/>
        </w:rPr>
        <w:t xml:space="preserve">. </w:t>
      </w:r>
      <w:r w:rsidR="0009720A">
        <w:rPr>
          <w:rFonts w:ascii="Garamond" w:hAnsi="Garamond"/>
        </w:rPr>
        <w:t>T</w:t>
      </w:r>
      <w:r>
        <w:rPr>
          <w:rFonts w:ascii="Garamond" w:hAnsi="Garamond"/>
        </w:rPr>
        <w:t xml:space="preserve">he law of iterated expectations </w:t>
      </w:r>
      <w:r w:rsidR="0009720A">
        <w:rPr>
          <w:rFonts w:ascii="Garamond" w:hAnsi="Garamond"/>
        </w:rPr>
        <w:t xml:space="preserve">can be applied </w:t>
      </w:r>
      <w:r>
        <w:rPr>
          <w:rFonts w:ascii="Garamond" w:hAnsi="Garamond"/>
        </w:rPr>
        <w:t>to the quantile being approximated and</w:t>
      </w:r>
      <w:r w:rsidR="00AB1D5A">
        <w:rPr>
          <w:rFonts w:ascii="Garamond" w:hAnsi="Garamond"/>
        </w:rPr>
        <w:t xml:space="preserve"> used to</w:t>
      </w:r>
      <w:r>
        <w:rPr>
          <w:rFonts w:ascii="Garamond" w:hAnsi="Garamond"/>
        </w:rPr>
        <w:t xml:space="preserve"> estimate the marginal effect of a cov</w:t>
      </w:r>
      <w:r w:rsidR="00EF624F">
        <w:rPr>
          <w:rFonts w:ascii="Garamond" w:hAnsi="Garamond"/>
        </w:rPr>
        <w:t>ariate through a simple regression of a function of the outcome variable, the R</w:t>
      </w:r>
      <w:r w:rsidR="00681769">
        <w:rPr>
          <w:rFonts w:ascii="Garamond" w:hAnsi="Garamond"/>
        </w:rPr>
        <w:t>IF</w:t>
      </w:r>
      <w:r w:rsidR="00536515">
        <w:rPr>
          <w:rFonts w:ascii="Garamond" w:hAnsi="Garamond"/>
        </w:rPr>
        <w:t>,</w:t>
      </w:r>
      <w:r w:rsidR="00EF624F">
        <w:rPr>
          <w:rFonts w:ascii="Garamond" w:hAnsi="Garamond"/>
        </w:rPr>
        <w:t xml:space="preserve"> on the covariates X.</w:t>
      </w:r>
    </w:p>
    <w:p w14:paraId="4A02677E" w14:textId="21B4C677" w:rsidR="00883ED2" w:rsidRPr="00EF624F" w:rsidRDefault="00EF624F" w:rsidP="00EF624F">
      <w:pPr>
        <w:autoSpaceDE w:val="0"/>
        <w:autoSpaceDN w:val="0"/>
        <w:adjustRightInd w:val="0"/>
        <w:spacing w:after="0"/>
        <w:jc w:val="both"/>
        <w:rPr>
          <w:rFonts w:ascii="Garamond" w:hAnsi="Garamond"/>
        </w:rPr>
      </w:pPr>
      <w:r>
        <w:rPr>
          <w:rFonts w:ascii="Garamond" w:hAnsi="Garamond"/>
        </w:rPr>
        <w:t xml:space="preserve">In our setting, </w:t>
      </w:r>
      <w:r w:rsidR="0009720A">
        <w:rPr>
          <w:rFonts w:ascii="Garamond" w:hAnsi="Garamond"/>
        </w:rPr>
        <w:t xml:space="preserve">the </w:t>
      </w:r>
      <w:r>
        <w:rPr>
          <w:rFonts w:ascii="Garamond" w:hAnsi="Garamond"/>
        </w:rPr>
        <w:t xml:space="preserve">RIF of </w:t>
      </w:r>
      <w:r w:rsidR="00681769">
        <w:rPr>
          <w:rFonts w:ascii="Garamond" w:hAnsi="Garamond"/>
        </w:rPr>
        <w:t xml:space="preserve">the </w:t>
      </w:r>
      <w:r>
        <w:rPr>
          <w:rFonts w:ascii="Garamond" w:hAnsi="Garamond"/>
        </w:rPr>
        <w:t xml:space="preserve">biomarkers is estimated directly from the data by first computing the sample quantile </w:t>
      </w:r>
      <m:oMath>
        <m:r>
          <w:rPr>
            <w:rFonts w:ascii="Cambria Math" w:hAnsi="Cambria Math"/>
          </w:rPr>
          <m:t>q</m:t>
        </m:r>
      </m:oMath>
      <w:r>
        <w:rPr>
          <w:rFonts w:ascii="Garamond" w:hAnsi="Garamond"/>
        </w:rPr>
        <w:t xml:space="preserve"> and then estimating the density of the distribution of biomarkers at that quantile using kernel density methods. </w:t>
      </w:r>
      <w:r w:rsidR="00640903">
        <w:rPr>
          <w:rFonts w:ascii="Garamond" w:hAnsi="Garamond"/>
        </w:rPr>
        <w:t>Then</w:t>
      </w:r>
      <w:r w:rsidR="00B716F2">
        <w:rPr>
          <w:rFonts w:ascii="Garamond" w:hAnsi="Garamond"/>
        </w:rPr>
        <w:t>, f</w:t>
      </w:r>
      <w:r>
        <w:rPr>
          <w:rFonts w:ascii="Garamond" w:hAnsi="Garamond"/>
        </w:rPr>
        <w:t xml:space="preserve">or a given observed </w:t>
      </w:r>
      <w:r>
        <w:rPr>
          <w:rFonts w:ascii="Garamond" w:hAnsi="Garamond"/>
        </w:rPr>
        <w:lastRenderedPageBreak/>
        <w:t xml:space="preserve">quantile </w:t>
      </w:r>
      <m:oMath>
        <m:sSub>
          <m:sSubPr>
            <m:ctrlPr>
              <w:rPr>
                <w:rFonts w:ascii="Cambria Math" w:hAnsi="Cambria Math"/>
                <w:i/>
              </w:rPr>
            </m:ctrlPr>
          </m:sSubPr>
          <m:e>
            <m:r>
              <w:rPr>
                <w:rFonts w:ascii="Cambria Math" w:hAnsi="Cambria Math"/>
              </w:rPr>
              <m:t>q</m:t>
            </m:r>
          </m:e>
          <m:sub>
            <m:r>
              <w:rPr>
                <w:rFonts w:ascii="Cambria Math" w:hAnsi="Cambria Math"/>
              </w:rPr>
              <m:t>τ</m:t>
            </m:r>
          </m:sub>
        </m:sSub>
      </m:oMath>
      <w:r>
        <w:rPr>
          <w:rFonts w:ascii="Garamond" w:hAnsi="Garamond"/>
        </w:rPr>
        <w:t xml:space="preserve">, a RIF is generated </w:t>
      </w:r>
      <w:r w:rsidRPr="00EF624F">
        <w:rPr>
          <w:rFonts w:ascii="Garamond" w:hAnsi="Garamond"/>
        </w:rPr>
        <w:t>which can take one of two values</w:t>
      </w:r>
      <w:r>
        <w:rPr>
          <w:rFonts w:ascii="Garamond" w:hAnsi="Garamond"/>
        </w:rPr>
        <w:t xml:space="preserve"> </w:t>
      </w:r>
      <w:r w:rsidRPr="00EF624F">
        <w:rPr>
          <w:rFonts w:ascii="Garamond" w:hAnsi="Garamond"/>
        </w:rPr>
        <w:t>depending upon whether or not the observation’s value of the outcome variable is less</w:t>
      </w:r>
      <w:r>
        <w:rPr>
          <w:rFonts w:ascii="Garamond" w:hAnsi="Garamond"/>
        </w:rPr>
        <w:t xml:space="preserve"> </w:t>
      </w:r>
      <w:r w:rsidRPr="00EF624F">
        <w:rPr>
          <w:rFonts w:ascii="Garamond" w:hAnsi="Garamond"/>
        </w:rPr>
        <w:t>than or equal to the observed quantile:</w:t>
      </w:r>
    </w:p>
    <w:p w14:paraId="59493AD8" w14:textId="77777777" w:rsidR="00F8604B" w:rsidRDefault="00F8604B">
      <w:pPr>
        <w:rPr>
          <w:rFonts w:ascii="Garamond" w:hAnsi="Garamond"/>
        </w:rPr>
      </w:pPr>
    </w:p>
    <w:p w14:paraId="696343C9" w14:textId="77777777" w:rsidR="002D4ED9" w:rsidRDefault="00F8604B">
      <w:pPr>
        <w:jc w:val="right"/>
        <w:rPr>
          <w:rFonts w:ascii="Garamond" w:hAnsi="Garamond"/>
          <w:b/>
        </w:rPr>
      </w:pPr>
      <m:oMath>
        <m:r>
          <w:rPr>
            <w:rFonts w:ascii="Cambria Math" w:hAnsi="Cambria Math"/>
          </w:rPr>
          <m:t xml:space="preserve">RIF </m:t>
        </m:r>
        <m:d>
          <m:dPr>
            <m:ctrlPr>
              <w:rPr>
                <w:rFonts w:ascii="Cambria Math" w:hAnsi="Cambria Math"/>
                <w:i/>
              </w:rPr>
            </m:ctrlPr>
          </m:dPr>
          <m:e>
            <m:r>
              <w:rPr>
                <w:rFonts w:ascii="Cambria Math" w:hAnsi="Cambria Math"/>
              </w:rPr>
              <m:t>Bio;</m:t>
            </m:r>
            <m:sSub>
              <m:sSubPr>
                <m:ctrlPr>
                  <w:rPr>
                    <w:rFonts w:ascii="Cambria Math" w:hAnsi="Cambria Math"/>
                    <w:i/>
                  </w:rPr>
                </m:ctrlPr>
              </m:sSubPr>
              <m:e>
                <m:r>
                  <w:rPr>
                    <w:rFonts w:ascii="Cambria Math" w:hAnsi="Cambria Math"/>
                  </w:rPr>
                  <m:t>q</m:t>
                </m:r>
              </m:e>
              <m:sub>
                <m:r>
                  <w:rPr>
                    <w:rFonts w:ascii="Cambria Math" w:hAnsi="Cambria Math"/>
                  </w:rPr>
                  <m:t>τ</m:t>
                </m:r>
              </m:sub>
            </m:sSub>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m:t>
        </m:r>
        <m:f>
          <m:fPr>
            <m:ctrlPr>
              <w:rPr>
                <w:rFonts w:ascii="Cambria Math" w:hAnsi="Cambria Math"/>
                <w:i/>
              </w:rPr>
            </m:ctrlPr>
          </m:fPr>
          <m:num>
            <m:r>
              <w:rPr>
                <w:rFonts w:ascii="Cambria Math" w:hAnsi="Cambria Math"/>
              </w:rPr>
              <m:t>τ-1[Bio≤</m:t>
            </m:r>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m:t>
            </m:r>
          </m:num>
          <m:den>
            <m:sSub>
              <m:sSubPr>
                <m:ctrlPr>
                  <w:rPr>
                    <w:rFonts w:ascii="Cambria Math" w:hAnsi="Cambria Math"/>
                    <w:i/>
                  </w:rPr>
                </m:ctrlPr>
              </m:sSubPr>
              <m:e>
                <m:r>
                  <w:rPr>
                    <w:rFonts w:ascii="Cambria Math" w:hAnsi="Cambria Math"/>
                  </w:rPr>
                  <m:t>f</m:t>
                </m:r>
              </m:e>
              <m:sub>
                <m:r>
                  <w:rPr>
                    <w:rFonts w:ascii="Cambria Math" w:hAnsi="Cambria Math"/>
                  </w:rPr>
                  <m:t>Bio</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m:t>
            </m:r>
          </m:den>
        </m:f>
      </m:oMath>
      <w:r>
        <w:rPr>
          <w:rFonts w:ascii="Garamond" w:hAnsi="Garamond"/>
        </w:rPr>
        <w:t xml:space="preserve">    </w:t>
      </w:r>
      <w:r w:rsidR="00D37602">
        <w:rPr>
          <w:rFonts w:ascii="Garamond" w:hAnsi="Garamond"/>
        </w:rPr>
        <w:t xml:space="preserve">                                      </w:t>
      </w:r>
      <w:r>
        <w:rPr>
          <w:rFonts w:ascii="Garamond" w:hAnsi="Garamond"/>
        </w:rPr>
        <w:t>(1)</w:t>
      </w:r>
      <w:r>
        <w:rPr>
          <w:rFonts w:ascii="Garamond" w:hAnsi="Garamond"/>
          <w:b/>
        </w:rPr>
        <w:br/>
      </w:r>
    </w:p>
    <w:p w14:paraId="202C75A0" w14:textId="56F5EDA4" w:rsidR="00563EB6" w:rsidRDefault="00890088" w:rsidP="00372392">
      <w:pPr>
        <w:jc w:val="both"/>
        <w:rPr>
          <w:rFonts w:ascii="Garamond" w:hAnsi="Garamond"/>
        </w:rPr>
      </w:pPr>
      <w:r>
        <w:rPr>
          <w:rFonts w:ascii="Garamond" w:hAnsi="Garamond"/>
        </w:rPr>
        <w:t>Where</w:t>
      </w:r>
      <w:r w:rsidR="00372392" w:rsidRPr="00903BE0">
        <w:rPr>
          <w:rFonts w:ascii="Garamond" w:hAnsi="Garamond"/>
        </w:rPr>
        <w:t xml:space="preserve"> </w:t>
      </w:r>
      <m:oMath>
        <m:sSub>
          <m:sSubPr>
            <m:ctrlPr>
              <w:rPr>
                <w:rFonts w:ascii="Cambria Math" w:hAnsi="Cambria Math"/>
                <w:i/>
              </w:rPr>
            </m:ctrlPr>
          </m:sSubPr>
          <m:e>
            <m:r>
              <w:rPr>
                <w:rFonts w:ascii="Cambria Math" w:hAnsi="Cambria Math"/>
              </w:rPr>
              <m:t>q</m:t>
            </m:r>
          </m:e>
          <m:sub>
            <m:r>
              <w:rPr>
                <w:rFonts w:ascii="Cambria Math" w:hAnsi="Cambria Math"/>
              </w:rPr>
              <m:t>τ</m:t>
            </m:r>
          </m:sub>
        </m:sSub>
      </m:oMath>
      <w:r w:rsidR="00372392">
        <w:rPr>
          <w:rFonts w:ascii="Garamond" w:hAnsi="Garamond"/>
        </w:rPr>
        <w:t xml:space="preserve"> is the observed sample quantile, </w:t>
      </w:r>
      <m:oMath>
        <m:r>
          <w:rPr>
            <w:rFonts w:ascii="Cambria Math" w:hAnsi="Cambria Math"/>
          </w:rPr>
          <m:t>1</m:t>
        </m:r>
        <m:d>
          <m:dPr>
            <m:begChr m:val="["/>
            <m:endChr m:val="]"/>
            <m:ctrlPr>
              <w:rPr>
                <w:rFonts w:ascii="Cambria Math" w:hAnsi="Cambria Math"/>
                <w:i/>
              </w:rPr>
            </m:ctrlPr>
          </m:dPr>
          <m:e>
            <m:r>
              <w:rPr>
                <w:rFonts w:ascii="Cambria Math" w:hAnsi="Cambria Math"/>
              </w:rPr>
              <m:t>Bio≤</m:t>
            </m:r>
            <m:sSub>
              <m:sSubPr>
                <m:ctrlPr>
                  <w:rPr>
                    <w:rFonts w:ascii="Cambria Math" w:hAnsi="Cambria Math"/>
                    <w:i/>
                  </w:rPr>
                </m:ctrlPr>
              </m:sSubPr>
              <m:e>
                <m:r>
                  <w:rPr>
                    <w:rFonts w:ascii="Cambria Math" w:hAnsi="Cambria Math"/>
                  </w:rPr>
                  <m:t>q</m:t>
                </m:r>
              </m:e>
              <m:sub>
                <m:r>
                  <w:rPr>
                    <w:rFonts w:ascii="Cambria Math" w:hAnsi="Cambria Math"/>
                  </w:rPr>
                  <m:t>τ</m:t>
                </m:r>
              </m:sub>
            </m:sSub>
          </m:e>
        </m:d>
      </m:oMath>
      <w:r w:rsidR="00372392">
        <w:rPr>
          <w:rFonts w:ascii="Garamond" w:hAnsi="Garamond"/>
        </w:rPr>
        <w:t xml:space="preserve"> is an indicator variable equal to one if the observation’s value of the biomarker is less than or equal to the observed quantile and zero otherwise. </w:t>
      </w:r>
      <m:oMath>
        <m:sSub>
          <m:sSubPr>
            <m:ctrlPr>
              <w:rPr>
                <w:rFonts w:ascii="Cambria Math" w:hAnsi="Cambria Math"/>
                <w:i/>
              </w:rPr>
            </m:ctrlPr>
          </m:sSubPr>
          <m:e>
            <m:r>
              <w:rPr>
                <w:rFonts w:ascii="Cambria Math" w:hAnsi="Cambria Math"/>
              </w:rPr>
              <m:t>f</m:t>
            </m:r>
          </m:e>
          <m:sub>
            <m:r>
              <w:rPr>
                <w:rFonts w:ascii="Cambria Math" w:hAnsi="Cambria Math"/>
              </w:rPr>
              <m:t>Bio</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m:t>
        </m:r>
      </m:oMath>
      <w:r w:rsidR="00372392">
        <w:rPr>
          <w:rFonts w:ascii="Garamond" w:hAnsi="Garamond"/>
        </w:rPr>
        <w:t xml:space="preserve"> is the estimated kernel density of the biomarker at the </w:t>
      </w:r>
      <m:oMath>
        <m:sSub>
          <m:sSubPr>
            <m:ctrlPr>
              <w:rPr>
                <w:rFonts w:ascii="Cambria Math" w:hAnsi="Cambria Math"/>
                <w:i/>
              </w:rPr>
            </m:ctrlPr>
          </m:sSubPr>
          <m:e>
            <m:r>
              <w:rPr>
                <w:rFonts w:ascii="Cambria Math" w:hAnsi="Cambria Math"/>
              </w:rPr>
              <m:t>τ</m:t>
            </m:r>
          </m:e>
          <m:sub>
            <m:r>
              <w:rPr>
                <w:rFonts w:ascii="Cambria Math" w:hAnsi="Cambria Math"/>
              </w:rPr>
              <m:t>th</m:t>
            </m:r>
          </m:sub>
        </m:sSub>
      </m:oMath>
      <w:r w:rsidR="00372392">
        <w:rPr>
          <w:rFonts w:ascii="Garamond" w:hAnsi="Garamond"/>
        </w:rPr>
        <w:t xml:space="preserve"> quantile. </w:t>
      </w:r>
    </w:p>
    <w:p w14:paraId="64A93B69" w14:textId="77777777" w:rsidR="00372392" w:rsidRDefault="00372392" w:rsidP="00372392">
      <w:pPr>
        <w:jc w:val="both"/>
        <w:rPr>
          <w:rFonts w:ascii="Garamond" w:hAnsi="Garamond"/>
        </w:rPr>
      </w:pPr>
      <w:r>
        <w:rPr>
          <w:rFonts w:ascii="Garamond" w:hAnsi="Garamond"/>
        </w:rPr>
        <w:t>The RIF defined in equation (1) is then used as a dependent variable in a OLS regression on the covariates X</w:t>
      </w:r>
      <w:r w:rsidR="006137BC">
        <w:rPr>
          <w:rFonts w:ascii="Garamond" w:hAnsi="Garamond"/>
        </w:rPr>
        <w:t>, as</w:t>
      </w:r>
      <w:r w:rsidR="00391EDE">
        <w:rPr>
          <w:rFonts w:ascii="Garamond" w:hAnsi="Garamond"/>
        </w:rPr>
        <w:t xml:space="preserve"> defined in S</w:t>
      </w:r>
      <w:r>
        <w:rPr>
          <w:rFonts w:ascii="Garamond" w:hAnsi="Garamond"/>
        </w:rPr>
        <w:t>ection 2.1. In pr</w:t>
      </w:r>
      <w:r w:rsidR="005465BC">
        <w:rPr>
          <w:rFonts w:ascii="Garamond" w:hAnsi="Garamond"/>
        </w:rPr>
        <w:t>actice, this amounts to estimating</w:t>
      </w:r>
      <w:r>
        <w:rPr>
          <w:rFonts w:ascii="Garamond" w:hAnsi="Garamond"/>
        </w:rPr>
        <w:t xml:space="preserve"> a resc</w:t>
      </w:r>
      <w:r w:rsidR="00903BE0">
        <w:rPr>
          <w:rFonts w:ascii="Garamond" w:hAnsi="Garamond"/>
        </w:rPr>
        <w:t>aled linear probability model (</w:t>
      </w:r>
      <w:r>
        <w:rPr>
          <w:rFonts w:ascii="Garamond" w:hAnsi="Garamond"/>
        </w:rPr>
        <w:t>Jones,</w:t>
      </w:r>
      <w:r w:rsidRPr="00372392">
        <w:rPr>
          <w:rFonts w:ascii="Garamond" w:hAnsi="Garamond"/>
        </w:rPr>
        <w:t xml:space="preserve"> </w:t>
      </w:r>
      <w:r>
        <w:rPr>
          <w:rFonts w:ascii="Garamond" w:hAnsi="Garamond"/>
        </w:rPr>
        <w:t>Lomas and Rice, 201</w:t>
      </w:r>
      <w:r w:rsidR="00FE572F">
        <w:rPr>
          <w:rFonts w:ascii="Garamond" w:hAnsi="Garamond"/>
        </w:rPr>
        <w:t>5</w:t>
      </w:r>
      <w:r>
        <w:rPr>
          <w:rFonts w:ascii="Garamond" w:hAnsi="Garamond"/>
        </w:rPr>
        <w:t>).</w:t>
      </w:r>
      <w:r w:rsidR="00413D1B">
        <w:rPr>
          <w:rFonts w:ascii="Garamond" w:hAnsi="Garamond"/>
        </w:rPr>
        <w:t xml:space="preserve"> </w:t>
      </w:r>
      <w:r w:rsidR="00352E4F">
        <w:rPr>
          <w:rFonts w:ascii="Garamond" w:hAnsi="Garamond"/>
        </w:rPr>
        <w:t>Indeed, t</w:t>
      </w:r>
      <w:r w:rsidR="00413D1B">
        <w:rPr>
          <w:rFonts w:ascii="Garamond" w:hAnsi="Garamond"/>
        </w:rPr>
        <w:t xml:space="preserve">he unconditional quantile </w:t>
      </w:r>
      <w:r w:rsidR="00536515">
        <w:rPr>
          <w:rFonts w:ascii="Garamond" w:hAnsi="Garamond"/>
        </w:rPr>
        <w:t>of the biomarker</w:t>
      </w:r>
      <w:r>
        <w:rPr>
          <w:rFonts w:ascii="Garamond" w:hAnsi="Garamond"/>
        </w:rPr>
        <w:t xml:space="preserve"> </w:t>
      </w:r>
      <w:r w:rsidR="00536515">
        <w:rPr>
          <w:rFonts w:ascii="Garamond" w:hAnsi="Garamond"/>
        </w:rPr>
        <w:t>,</w:t>
      </w:r>
      <m:oMath>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τ</m:t>
            </m:r>
          </m:sub>
        </m:sSub>
      </m:oMath>
      <w:r w:rsidR="00536515">
        <w:rPr>
          <w:rFonts w:ascii="Garamond" w:hAnsi="Garamond"/>
        </w:rPr>
        <w:t>,</w:t>
      </w:r>
      <w:r w:rsidR="00413D1B">
        <w:rPr>
          <w:rFonts w:ascii="Garamond" w:hAnsi="Garamond"/>
        </w:rPr>
        <w:t xml:space="preserve"> may be </w:t>
      </w:r>
      <w:r w:rsidR="00536515">
        <w:rPr>
          <w:rFonts w:ascii="Garamond" w:hAnsi="Garamond"/>
        </w:rPr>
        <w:t>obtained</w:t>
      </w:r>
      <w:r w:rsidR="00352E4F">
        <w:rPr>
          <w:rFonts w:ascii="Garamond" w:hAnsi="Garamond"/>
        </w:rPr>
        <w:t xml:space="preserve"> as follows</w:t>
      </w:r>
      <w:r w:rsidR="00413D1B">
        <w:rPr>
          <w:rFonts w:ascii="Garamond" w:hAnsi="Garamond"/>
        </w:rPr>
        <w:t xml:space="preserve">: </w:t>
      </w:r>
    </w:p>
    <w:p w14:paraId="4B592581" w14:textId="77777777" w:rsidR="002D4ED9" w:rsidRDefault="007E04FE">
      <w:pPr>
        <w:jc w:val="right"/>
        <w:rPr>
          <w:rFonts w:ascii="Garamond" w:hAnsi="Garamond"/>
        </w:rPr>
      </w:pPr>
      <m:oMath>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d>
          <m:dPr>
            <m:begChr m:val="["/>
            <m:endChr m:val="]"/>
            <m:ctrlPr>
              <w:rPr>
                <w:rFonts w:ascii="Cambria Math" w:hAnsi="Cambria Math"/>
                <w:i/>
              </w:rPr>
            </m:ctrlPr>
          </m:dPr>
          <m:e>
            <m:r>
              <w:rPr>
                <w:rFonts w:ascii="Cambria Math" w:hAnsi="Cambria Math"/>
              </w:rPr>
              <m:t>E</m:t>
            </m:r>
            <m:d>
              <m:dPr>
                <m:begChr m:val="["/>
                <m:endChr m:val="]"/>
                <m:ctrlPr>
                  <w:rPr>
                    <w:rFonts w:ascii="Cambria Math" w:hAnsi="Cambria Math"/>
                    <w:i/>
                  </w:rPr>
                </m:ctrlPr>
              </m:dPr>
              <m:e>
                <m:acc>
                  <m:accPr>
                    <m:ctrlPr>
                      <w:rPr>
                        <w:rFonts w:ascii="Cambria Math" w:hAnsi="Cambria Math"/>
                        <w:i/>
                      </w:rPr>
                    </m:ctrlPr>
                  </m:accPr>
                  <m:e>
                    <m:r>
                      <w:rPr>
                        <w:rFonts w:ascii="Cambria Math" w:hAnsi="Cambria Math"/>
                      </w:rPr>
                      <m:t>RIF</m:t>
                    </m:r>
                  </m:e>
                </m:acc>
                <m:d>
                  <m:dPr>
                    <m:ctrlPr>
                      <w:rPr>
                        <w:rFonts w:ascii="Cambria Math" w:hAnsi="Cambria Math"/>
                        <w:i/>
                      </w:rPr>
                    </m:ctrlPr>
                  </m:dPr>
                  <m:e>
                    <m:r>
                      <w:rPr>
                        <w:rFonts w:ascii="Cambria Math" w:hAnsi="Cambria Math"/>
                      </w:rPr>
                      <m:t>Bio;</m:t>
                    </m:r>
                    <m:sSub>
                      <m:sSubPr>
                        <m:ctrlPr>
                          <w:rPr>
                            <w:rFonts w:ascii="Cambria Math" w:hAnsi="Cambria Math"/>
                            <w:i/>
                          </w:rPr>
                        </m:ctrlPr>
                      </m:sSubPr>
                      <m:e>
                        <m:r>
                          <w:rPr>
                            <w:rFonts w:ascii="Cambria Math" w:hAnsi="Cambria Math"/>
                          </w:rPr>
                          <m:t>q</m:t>
                        </m:r>
                      </m:e>
                      <m:sub>
                        <m:r>
                          <w:rPr>
                            <w:rFonts w:ascii="Cambria Math" w:hAnsi="Cambria Math"/>
                          </w:rPr>
                          <m:t>τ</m:t>
                        </m:r>
                      </m:sub>
                    </m:sSub>
                  </m:e>
                </m:d>
                <m:r>
                  <w:rPr>
                    <w:rFonts w:ascii="Cambria Math" w:hAnsi="Cambria Math"/>
                  </w:rPr>
                  <m:t>|X</m:t>
                </m:r>
              </m:e>
            </m:d>
          </m:e>
        </m:d>
      </m:oMath>
      <w:r w:rsidR="00903BE0">
        <w:rPr>
          <w:rFonts w:ascii="Garamond" w:hAnsi="Garamond"/>
        </w:rPr>
        <w:t xml:space="preserve"> </w:t>
      </w:r>
      <w:r w:rsidR="00D37602">
        <w:rPr>
          <w:rFonts w:ascii="Garamond" w:hAnsi="Garamond"/>
        </w:rPr>
        <w:t xml:space="preserve">                                          </w:t>
      </w:r>
      <w:r w:rsidR="00903BE0">
        <w:rPr>
          <w:rFonts w:ascii="Garamond" w:hAnsi="Garamond"/>
        </w:rPr>
        <w:t>(2)</w:t>
      </w:r>
    </w:p>
    <w:p w14:paraId="36009118" w14:textId="77777777" w:rsidR="00903BE0" w:rsidRDefault="00B716F2" w:rsidP="00536515">
      <w:pPr>
        <w:jc w:val="both"/>
        <w:rPr>
          <w:rFonts w:ascii="Garamond" w:hAnsi="Garamond"/>
        </w:rPr>
      </w:pPr>
      <w:r>
        <w:rPr>
          <w:rFonts w:ascii="Garamond" w:hAnsi="Garamond"/>
        </w:rPr>
        <w:t xml:space="preserve">Where </w:t>
      </w:r>
      <m:oMath>
        <m:acc>
          <m:accPr>
            <m:ctrlPr>
              <w:rPr>
                <w:rFonts w:ascii="Cambria Math" w:hAnsi="Cambria Math"/>
                <w:i/>
              </w:rPr>
            </m:ctrlPr>
          </m:accPr>
          <m:e>
            <m:r>
              <w:rPr>
                <w:rFonts w:ascii="Cambria Math" w:hAnsi="Cambria Math"/>
              </w:rPr>
              <m:t>RIF</m:t>
            </m:r>
          </m:e>
        </m:acc>
        <m:d>
          <m:dPr>
            <m:ctrlPr>
              <w:rPr>
                <w:rFonts w:ascii="Cambria Math" w:hAnsi="Cambria Math"/>
                <w:i/>
              </w:rPr>
            </m:ctrlPr>
          </m:dPr>
          <m:e>
            <m:r>
              <w:rPr>
                <w:rFonts w:ascii="Cambria Math" w:hAnsi="Cambria Math"/>
              </w:rPr>
              <m:t>Bio;</m:t>
            </m:r>
            <m:sSub>
              <m:sSubPr>
                <m:ctrlPr>
                  <w:rPr>
                    <w:rFonts w:ascii="Cambria Math" w:hAnsi="Cambria Math"/>
                    <w:i/>
                  </w:rPr>
                </m:ctrlPr>
              </m:sSubPr>
              <m:e>
                <m:r>
                  <w:rPr>
                    <w:rFonts w:ascii="Cambria Math" w:hAnsi="Cambria Math"/>
                  </w:rPr>
                  <m:t>q</m:t>
                </m:r>
              </m:e>
              <m:sub>
                <m:r>
                  <w:rPr>
                    <w:rFonts w:ascii="Cambria Math" w:hAnsi="Cambria Math"/>
                  </w:rPr>
                  <m:t>τ</m:t>
                </m:r>
              </m:sub>
            </m:sSub>
          </m:e>
        </m:d>
        <m:r>
          <w:rPr>
            <w:rFonts w:ascii="Cambria Math" w:hAnsi="Cambria Math"/>
          </w:rPr>
          <m:t>|X</m:t>
        </m:r>
      </m:oMath>
      <w:r>
        <w:rPr>
          <w:rFonts w:ascii="Garamond" w:hAnsi="Garamond"/>
        </w:rPr>
        <w:t xml:space="preserve"> is the estimate of RIF </w:t>
      </w:r>
      <w:r w:rsidR="00640903">
        <w:rPr>
          <w:rFonts w:ascii="Garamond" w:hAnsi="Garamond"/>
        </w:rPr>
        <w:t xml:space="preserve">as </w:t>
      </w:r>
      <w:r>
        <w:rPr>
          <w:rFonts w:ascii="Garamond" w:hAnsi="Garamond"/>
        </w:rPr>
        <w:t>defined in equation (1) conditional on covariates X. Thanks to this linear approximation, it is now possible to a</w:t>
      </w:r>
      <w:r w:rsidR="00903BE0">
        <w:rPr>
          <w:rFonts w:ascii="Garamond" w:hAnsi="Garamond"/>
        </w:rPr>
        <w:t>pply</w:t>
      </w:r>
      <w:r>
        <w:rPr>
          <w:rFonts w:ascii="Garamond" w:hAnsi="Garamond"/>
        </w:rPr>
        <w:t xml:space="preserve"> the</w:t>
      </w:r>
      <w:r w:rsidR="00903BE0">
        <w:rPr>
          <w:rFonts w:ascii="Garamond" w:hAnsi="Garamond"/>
        </w:rPr>
        <w:t xml:space="preserve"> the la</w:t>
      </w:r>
      <w:r>
        <w:rPr>
          <w:rFonts w:ascii="Garamond" w:hAnsi="Garamond"/>
        </w:rPr>
        <w:t>w of iterated expectations</w:t>
      </w:r>
      <w:r w:rsidR="00563EB6">
        <w:rPr>
          <w:rFonts w:ascii="Garamond" w:hAnsi="Garamond"/>
        </w:rPr>
        <w:t>. Thus</w:t>
      </w:r>
      <w:r w:rsidR="0036447D">
        <w:rPr>
          <w:rFonts w:ascii="Garamond" w:hAnsi="Garamond"/>
        </w:rPr>
        <w:t xml:space="preserve">, </w:t>
      </w:r>
      <m:oMath>
        <m:sSub>
          <m:sSubPr>
            <m:ctrlPr>
              <w:rPr>
                <w:rFonts w:ascii="Cambria Math" w:hAnsi="Cambria Math"/>
                <w:i/>
              </w:rPr>
            </m:ctrlPr>
          </m:sSubPr>
          <m:e>
            <m:r>
              <w:rPr>
                <w:rFonts w:ascii="Cambria Math" w:hAnsi="Cambria Math"/>
              </w:rPr>
              <m:t>q</m:t>
            </m:r>
          </m:e>
          <m:sub>
            <m:r>
              <w:rPr>
                <w:rFonts w:ascii="Cambria Math" w:hAnsi="Cambria Math"/>
              </w:rPr>
              <m:t>τ</m:t>
            </m:r>
          </m:sub>
        </m:sSub>
      </m:oMath>
      <w:r w:rsidR="00563EB6">
        <w:rPr>
          <w:rFonts w:ascii="Garamond" w:hAnsi="Garamond"/>
        </w:rPr>
        <w:t xml:space="preserve"> </w:t>
      </w:r>
      <w:r w:rsidR="00903BE0">
        <w:rPr>
          <w:rFonts w:ascii="Garamond" w:hAnsi="Garamond"/>
        </w:rPr>
        <w:t>can be</w:t>
      </w:r>
      <w:r>
        <w:rPr>
          <w:rFonts w:ascii="Garamond" w:hAnsi="Garamond"/>
        </w:rPr>
        <w:t xml:space="preserve"> </w:t>
      </w:r>
      <w:r w:rsidR="00903BE0">
        <w:rPr>
          <w:rFonts w:ascii="Garamond" w:hAnsi="Garamond"/>
        </w:rPr>
        <w:t>written as :</w:t>
      </w:r>
    </w:p>
    <w:p w14:paraId="4ECB0748" w14:textId="77777777" w:rsidR="00903BE0" w:rsidRDefault="007E04FE" w:rsidP="00903BE0">
      <w:pPr>
        <w:jc w:val="center"/>
        <w:rPr>
          <w:rFonts w:ascii="Garamond" w:hAnsi="Garamond"/>
        </w:rPr>
      </w:pPr>
      <m:oMathPara>
        <m:oMath>
          <m:sSub>
            <m:sSubPr>
              <m:ctrlPr>
                <w:rPr>
                  <w:rFonts w:ascii="Cambria Math" w:hAnsi="Cambria Math"/>
                  <w:i/>
                </w:rPr>
              </m:ctrlPr>
            </m:sSubPr>
            <m:e>
              <m:r>
                <w:rPr>
                  <w:rFonts w:ascii="Cambria Math" w:hAnsi="Cambria Math"/>
                </w:rPr>
                <m:t>q</m:t>
              </m:r>
            </m:e>
            <m:sub>
              <m:r>
                <w:rPr>
                  <w:rFonts w:ascii="Cambria Math" w:hAnsi="Cambria Math"/>
                </w:rPr>
                <m:t>τ</m:t>
              </m:r>
            </m:sub>
          </m:sSub>
          <m:r>
            <w:rPr>
              <w:rFonts w:ascii="Cambria Math" w:hAnsi="Cambria Math"/>
            </w:rPr>
            <m:t>=E[X]</m:t>
          </m:r>
          <m:acc>
            <m:accPr>
              <m:ctrlPr>
                <w:rPr>
                  <w:rFonts w:ascii="Cambria Math" w:hAnsi="Cambria Math"/>
                  <w:i/>
                </w:rPr>
              </m:ctrlPr>
            </m:accPr>
            <m:e>
              <m:sSub>
                <m:sSubPr>
                  <m:ctrlPr>
                    <w:rPr>
                      <w:rFonts w:ascii="Cambria Math" w:hAnsi="Cambria Math"/>
                      <w:i/>
                    </w:rPr>
                  </m:ctrlPr>
                </m:sSubPr>
                <m:e>
                  <m:r>
                    <w:rPr>
                      <w:rFonts w:ascii="Cambria Math" w:hAnsi="Cambria Math"/>
                    </w:rPr>
                    <m:t>δ</m:t>
                  </m:r>
                </m:e>
                <m:sub>
                  <m:r>
                    <w:rPr>
                      <w:rFonts w:ascii="Cambria Math" w:hAnsi="Cambria Math"/>
                    </w:rPr>
                    <m:t>τ</m:t>
                  </m:r>
                </m:sub>
              </m:sSub>
            </m:e>
          </m:acc>
        </m:oMath>
      </m:oMathPara>
    </w:p>
    <w:p w14:paraId="5DE32C85" w14:textId="5D04AED7" w:rsidR="00536515" w:rsidRDefault="00563EB6" w:rsidP="00536515">
      <w:pPr>
        <w:jc w:val="both"/>
        <w:rPr>
          <w:rFonts w:ascii="Garamond" w:hAnsi="Garamond"/>
        </w:rPr>
      </w:pPr>
      <w:r>
        <w:rPr>
          <w:rFonts w:ascii="Garamond" w:hAnsi="Garamond"/>
        </w:rPr>
        <w:t>w</w:t>
      </w:r>
      <w:r w:rsidR="00536515">
        <w:rPr>
          <w:rFonts w:ascii="Garamond" w:hAnsi="Garamond"/>
        </w:rPr>
        <w:t xml:space="preserve">here </w:t>
      </w:r>
      <m:oMath>
        <m:acc>
          <m:accPr>
            <m:ctrlPr>
              <w:rPr>
                <w:rFonts w:ascii="Cambria Math" w:hAnsi="Cambria Math"/>
                <w:i/>
              </w:rPr>
            </m:ctrlPr>
          </m:accPr>
          <m:e>
            <m:sSub>
              <m:sSubPr>
                <m:ctrlPr>
                  <w:rPr>
                    <w:rFonts w:ascii="Cambria Math" w:hAnsi="Cambria Math"/>
                    <w:i/>
                  </w:rPr>
                </m:ctrlPr>
              </m:sSubPr>
              <m:e>
                <m:r>
                  <w:rPr>
                    <w:rFonts w:ascii="Cambria Math" w:hAnsi="Cambria Math"/>
                  </w:rPr>
                  <m:t>δ</m:t>
                </m:r>
              </m:e>
              <m:sub>
                <m:r>
                  <w:rPr>
                    <w:rFonts w:ascii="Cambria Math" w:hAnsi="Cambria Math"/>
                  </w:rPr>
                  <m:t>τ</m:t>
                </m:r>
              </m:sub>
            </m:sSub>
          </m:e>
        </m:acc>
      </m:oMath>
      <w:r w:rsidR="00536515">
        <w:rPr>
          <w:rFonts w:ascii="Garamond" w:hAnsi="Garamond"/>
        </w:rPr>
        <w:t xml:space="preserve"> is </w:t>
      </w:r>
      <w:r w:rsidR="00536515" w:rsidRPr="00536515">
        <w:rPr>
          <w:rFonts w:ascii="Garamond" w:hAnsi="Garamond"/>
        </w:rPr>
        <w:t>the coefficient of the unconditional quantile</w:t>
      </w:r>
      <w:r w:rsidR="00536515">
        <w:rPr>
          <w:rFonts w:ascii="Garamond" w:hAnsi="Garamond"/>
        </w:rPr>
        <w:t xml:space="preserve"> regression</w:t>
      </w:r>
      <w:r w:rsidR="00352E4F">
        <w:rPr>
          <w:rFonts w:ascii="Garamond" w:hAnsi="Garamond"/>
        </w:rPr>
        <w:t>. This linearization allows estimat</w:t>
      </w:r>
      <w:r w:rsidR="00D37602">
        <w:rPr>
          <w:rFonts w:ascii="Garamond" w:hAnsi="Garamond"/>
        </w:rPr>
        <w:t xml:space="preserve">ion of </w:t>
      </w:r>
      <w:r w:rsidR="00352E4F">
        <w:rPr>
          <w:rFonts w:ascii="Garamond" w:hAnsi="Garamond"/>
        </w:rPr>
        <w:t xml:space="preserve">the </w:t>
      </w:r>
      <w:r w:rsidR="00536515" w:rsidRPr="00536515">
        <w:rPr>
          <w:rFonts w:ascii="Garamond" w:hAnsi="Garamond"/>
        </w:rPr>
        <w:t xml:space="preserve">marginal effect of a change in distribution of </w:t>
      </w:r>
      <w:r w:rsidR="00536515">
        <w:rPr>
          <w:rFonts w:ascii="Garamond" w:hAnsi="Garamond"/>
        </w:rPr>
        <w:t xml:space="preserve">covariates X (including income) </w:t>
      </w:r>
      <w:r w:rsidR="00536515" w:rsidRPr="00536515">
        <w:rPr>
          <w:rFonts w:ascii="Garamond" w:hAnsi="Garamond"/>
        </w:rPr>
        <w:t xml:space="preserve">on the </w:t>
      </w:r>
      <w:r w:rsidR="00536515" w:rsidRPr="00563EB6">
        <w:rPr>
          <w:rFonts w:ascii="Garamond" w:hAnsi="Garamond"/>
          <w:i/>
        </w:rPr>
        <w:t>unconditional</w:t>
      </w:r>
      <w:r w:rsidR="00536515" w:rsidRPr="00536515">
        <w:rPr>
          <w:rFonts w:ascii="Garamond" w:hAnsi="Garamond"/>
        </w:rPr>
        <w:t xml:space="preserve"> quantile of </w:t>
      </w:r>
      <w:r w:rsidR="00536515">
        <w:rPr>
          <w:rFonts w:ascii="Garamond" w:hAnsi="Garamond"/>
        </w:rPr>
        <w:t>biomarkers</w:t>
      </w:r>
      <w:r w:rsidR="00352E4F">
        <w:rPr>
          <w:rFonts w:ascii="Garamond" w:hAnsi="Garamond"/>
        </w:rPr>
        <w:t>, measured by the parameter</w:t>
      </w:r>
      <w:r w:rsidR="00681769">
        <w:rPr>
          <w:rFonts w:ascii="Garamond" w:hAnsi="Garamond"/>
        </w:rPr>
        <w:t>s</w:t>
      </w:r>
      <w:r w:rsidR="00352E4F">
        <w:rPr>
          <w:rFonts w:ascii="Garamond" w:hAnsi="Garamond"/>
        </w:rPr>
        <w:t xml:space="preserve"> </w:t>
      </w:r>
      <m:oMath>
        <m:acc>
          <m:accPr>
            <m:ctrlPr>
              <w:rPr>
                <w:rFonts w:ascii="Cambria Math" w:hAnsi="Cambria Math"/>
                <w:i/>
              </w:rPr>
            </m:ctrlPr>
          </m:accPr>
          <m:e>
            <m:sSub>
              <m:sSubPr>
                <m:ctrlPr>
                  <w:rPr>
                    <w:rFonts w:ascii="Cambria Math" w:hAnsi="Cambria Math"/>
                    <w:i/>
                  </w:rPr>
                </m:ctrlPr>
              </m:sSubPr>
              <m:e>
                <m:r>
                  <w:rPr>
                    <w:rFonts w:ascii="Cambria Math" w:hAnsi="Cambria Math"/>
                  </w:rPr>
                  <m:t>δ</m:t>
                </m:r>
              </m:e>
              <m:sub>
                <m:r>
                  <w:rPr>
                    <w:rFonts w:ascii="Cambria Math" w:hAnsi="Cambria Math"/>
                  </w:rPr>
                  <m:t>τ</m:t>
                </m:r>
              </m:sub>
            </m:sSub>
          </m:e>
        </m:acc>
      </m:oMath>
      <w:r w:rsidR="00352E4F">
        <w:rPr>
          <w:rFonts w:ascii="Garamond" w:hAnsi="Garamond"/>
        </w:rPr>
        <w:t>.</w:t>
      </w:r>
      <w:r w:rsidR="00AF2B27">
        <w:rPr>
          <w:rFonts w:ascii="Garamond" w:hAnsi="Garamond"/>
        </w:rPr>
        <w:t xml:space="preserve"> I</w:t>
      </w:r>
      <w:r w:rsidR="00F0014D">
        <w:rPr>
          <w:rFonts w:ascii="Garamond" w:hAnsi="Garamond"/>
        </w:rPr>
        <w:t>n</w:t>
      </w:r>
      <w:r w:rsidR="00AF2B27">
        <w:rPr>
          <w:rFonts w:ascii="Garamond" w:hAnsi="Garamond"/>
        </w:rPr>
        <w:t xml:space="preserve"> our model, </w:t>
      </w:r>
      <w:r w:rsidR="00D37602">
        <w:rPr>
          <w:rFonts w:ascii="Garamond" w:hAnsi="Garamond"/>
        </w:rPr>
        <w:t xml:space="preserve">as well as the </w:t>
      </w:r>
      <w:r w:rsidR="00AF2B27">
        <w:rPr>
          <w:rFonts w:ascii="Garamond" w:hAnsi="Garamond"/>
        </w:rPr>
        <w:t xml:space="preserve">covariates X presented in </w:t>
      </w:r>
      <w:r w:rsidR="00D37602">
        <w:rPr>
          <w:rFonts w:ascii="Garamond" w:hAnsi="Garamond"/>
        </w:rPr>
        <w:t>T</w:t>
      </w:r>
      <w:r w:rsidR="00AF2B27">
        <w:rPr>
          <w:rFonts w:ascii="Garamond" w:hAnsi="Garamond"/>
        </w:rPr>
        <w:t xml:space="preserve">able 2, we also </w:t>
      </w:r>
      <w:r w:rsidR="003A576B">
        <w:rPr>
          <w:rFonts w:ascii="Garamond" w:hAnsi="Garamond"/>
        </w:rPr>
        <w:t>include</w:t>
      </w:r>
      <w:r w:rsidR="00AF2B27">
        <w:rPr>
          <w:rFonts w:ascii="Garamond" w:hAnsi="Garamond"/>
        </w:rPr>
        <w:t xml:space="preserve"> </w:t>
      </w:r>
      <w:r w:rsidR="00D21FE0">
        <w:rPr>
          <w:rFonts w:ascii="Garamond" w:hAnsi="Garamond"/>
        </w:rPr>
        <w:t xml:space="preserve">year fixed effects, to pick up time </w:t>
      </w:r>
      <w:r w:rsidR="003A576B">
        <w:rPr>
          <w:rFonts w:ascii="Garamond" w:hAnsi="Garamond"/>
        </w:rPr>
        <w:t>variation</w:t>
      </w:r>
      <w:r w:rsidR="00D21FE0">
        <w:rPr>
          <w:rFonts w:ascii="Garamond" w:hAnsi="Garamond"/>
        </w:rPr>
        <w:t xml:space="preserve"> in biomarker levels</w:t>
      </w:r>
      <w:r w:rsidR="005465BC">
        <w:rPr>
          <w:rFonts w:ascii="Garamond" w:hAnsi="Garamond"/>
        </w:rPr>
        <w:t xml:space="preserve"> and any survey</w:t>
      </w:r>
      <w:r w:rsidR="00681769">
        <w:rPr>
          <w:rFonts w:ascii="Garamond" w:hAnsi="Garamond"/>
        </w:rPr>
        <w:t>-</w:t>
      </w:r>
      <w:r w:rsidR="005465BC">
        <w:rPr>
          <w:rFonts w:ascii="Garamond" w:hAnsi="Garamond"/>
        </w:rPr>
        <w:t>specific effects</w:t>
      </w:r>
      <w:r w:rsidR="00D21FE0">
        <w:rPr>
          <w:rFonts w:ascii="Garamond" w:hAnsi="Garamond"/>
        </w:rPr>
        <w:t>.</w:t>
      </w:r>
    </w:p>
    <w:p w14:paraId="6F2FE293" w14:textId="34C190CE" w:rsidR="00883ED2" w:rsidRDefault="00AF2B27" w:rsidP="00372392">
      <w:pPr>
        <w:jc w:val="both"/>
        <w:rPr>
          <w:rFonts w:ascii="Garamond" w:hAnsi="Garamond"/>
        </w:rPr>
      </w:pPr>
      <w:r w:rsidRPr="00D21FE0">
        <w:rPr>
          <w:rFonts w:ascii="Garamond" w:hAnsi="Garamond"/>
        </w:rPr>
        <w:t>To analy</w:t>
      </w:r>
      <w:r w:rsidR="00E05B3A">
        <w:rPr>
          <w:rFonts w:ascii="Garamond" w:hAnsi="Garamond"/>
        </w:rPr>
        <w:t>s</w:t>
      </w:r>
      <w:r w:rsidRPr="00D21FE0">
        <w:rPr>
          <w:rFonts w:ascii="Garamond" w:hAnsi="Garamond"/>
        </w:rPr>
        <w:t xml:space="preserve">e </w:t>
      </w:r>
      <w:r w:rsidR="00E47D89">
        <w:rPr>
          <w:rFonts w:ascii="Garamond" w:hAnsi="Garamond"/>
        </w:rPr>
        <w:t>gender differentials in biomarkers</w:t>
      </w:r>
      <w:r w:rsidR="00440D84">
        <w:rPr>
          <w:rFonts w:ascii="Garamond" w:hAnsi="Garamond"/>
        </w:rPr>
        <w:t>,</w:t>
      </w:r>
      <w:r w:rsidRPr="00D21FE0">
        <w:rPr>
          <w:rFonts w:ascii="Garamond" w:hAnsi="Garamond"/>
        </w:rPr>
        <w:t xml:space="preserve"> we use </w:t>
      </w:r>
      <w:r w:rsidR="005465BC">
        <w:rPr>
          <w:rFonts w:ascii="Garamond" w:hAnsi="Garamond"/>
        </w:rPr>
        <w:t xml:space="preserve">the </w:t>
      </w:r>
      <w:r w:rsidRPr="00D21FE0">
        <w:rPr>
          <w:rFonts w:ascii="Garamond" w:hAnsi="Garamond"/>
        </w:rPr>
        <w:t>O</w:t>
      </w:r>
      <w:r w:rsidR="00E24306">
        <w:rPr>
          <w:rFonts w:ascii="Garamond" w:hAnsi="Garamond"/>
        </w:rPr>
        <w:t>axaca-</w:t>
      </w:r>
      <w:r w:rsidRPr="00D21FE0">
        <w:rPr>
          <w:rFonts w:ascii="Garamond" w:hAnsi="Garamond"/>
        </w:rPr>
        <w:t xml:space="preserve">Blinder </w:t>
      </w:r>
      <w:r w:rsidR="00D21FE0" w:rsidRPr="00D21FE0">
        <w:rPr>
          <w:rFonts w:ascii="Garamond" w:hAnsi="Garamond"/>
        </w:rPr>
        <w:t xml:space="preserve">(OB) </w:t>
      </w:r>
      <w:r w:rsidRPr="00D21FE0">
        <w:rPr>
          <w:rFonts w:ascii="Garamond" w:hAnsi="Garamond"/>
        </w:rPr>
        <w:t xml:space="preserve">decomposition method using </w:t>
      </w:r>
      <w:r w:rsidR="00D37602">
        <w:rPr>
          <w:rFonts w:ascii="Garamond" w:hAnsi="Garamond"/>
        </w:rPr>
        <w:t xml:space="preserve">the </w:t>
      </w:r>
      <w:r w:rsidRPr="00D21FE0">
        <w:rPr>
          <w:rFonts w:ascii="Garamond" w:hAnsi="Garamond"/>
        </w:rPr>
        <w:t>RIF regression</w:t>
      </w:r>
      <w:r w:rsidR="00D21FE0" w:rsidRPr="00D21FE0">
        <w:rPr>
          <w:rFonts w:ascii="Garamond" w:hAnsi="Garamond"/>
        </w:rPr>
        <w:t xml:space="preserve"> in equation (2) as a basis for the decomposition</w:t>
      </w:r>
      <w:r w:rsidR="00681769">
        <w:rPr>
          <w:rFonts w:ascii="Garamond" w:hAnsi="Garamond"/>
        </w:rPr>
        <w:t xml:space="preserve"> </w:t>
      </w:r>
      <w:r w:rsidR="00681769" w:rsidRPr="00E24306">
        <w:rPr>
          <w:rFonts w:ascii="Garamond" w:hAnsi="Garamond"/>
        </w:rPr>
        <w:t>(Blinder</w:t>
      </w:r>
      <w:r w:rsidR="00681769">
        <w:rPr>
          <w:rFonts w:ascii="Garamond" w:hAnsi="Garamond"/>
        </w:rPr>
        <w:t>,</w:t>
      </w:r>
      <w:r w:rsidR="00681769" w:rsidRPr="00E24306">
        <w:rPr>
          <w:rFonts w:ascii="Garamond" w:hAnsi="Garamond"/>
        </w:rPr>
        <w:t xml:space="preserve"> 1973; Oaxaca</w:t>
      </w:r>
      <w:r w:rsidR="00681769">
        <w:rPr>
          <w:rFonts w:ascii="Garamond" w:hAnsi="Garamond"/>
        </w:rPr>
        <w:t>,</w:t>
      </w:r>
      <w:r w:rsidR="00681769" w:rsidRPr="00E24306">
        <w:rPr>
          <w:rFonts w:ascii="Garamond" w:hAnsi="Garamond"/>
        </w:rPr>
        <w:t xml:space="preserve"> 1973)</w:t>
      </w:r>
      <w:r w:rsidR="00D21FE0" w:rsidRPr="00D21FE0">
        <w:rPr>
          <w:rFonts w:ascii="Garamond" w:hAnsi="Garamond"/>
        </w:rPr>
        <w:t xml:space="preserve">. </w:t>
      </w:r>
      <w:r w:rsidR="00D37602">
        <w:rPr>
          <w:rFonts w:ascii="Garamond" w:hAnsi="Garamond"/>
        </w:rPr>
        <w:t>A</w:t>
      </w:r>
      <w:r w:rsidR="00440D84">
        <w:rPr>
          <w:rFonts w:ascii="Garamond" w:hAnsi="Garamond"/>
        </w:rPr>
        <w:t xml:space="preserve"> similar logic </w:t>
      </w:r>
      <w:r w:rsidR="00D37602">
        <w:rPr>
          <w:rFonts w:ascii="Garamond" w:hAnsi="Garamond"/>
        </w:rPr>
        <w:t>to</w:t>
      </w:r>
      <w:r w:rsidR="00440D84">
        <w:rPr>
          <w:rFonts w:ascii="Garamond" w:hAnsi="Garamond"/>
        </w:rPr>
        <w:t xml:space="preserve"> the OB decomposition </w:t>
      </w:r>
      <w:r w:rsidR="00640903">
        <w:rPr>
          <w:rFonts w:ascii="Garamond" w:hAnsi="Garamond"/>
        </w:rPr>
        <w:t>at</w:t>
      </w:r>
      <w:r w:rsidR="003A576B">
        <w:rPr>
          <w:rFonts w:ascii="Garamond" w:hAnsi="Garamond"/>
        </w:rPr>
        <w:t xml:space="preserve"> </w:t>
      </w:r>
      <w:r w:rsidR="00440D84">
        <w:rPr>
          <w:rFonts w:ascii="Garamond" w:hAnsi="Garamond"/>
        </w:rPr>
        <w:t>the mean applies here</w:t>
      </w:r>
      <w:r w:rsidR="00D37602">
        <w:rPr>
          <w:rFonts w:ascii="Garamond" w:hAnsi="Garamond"/>
        </w:rPr>
        <w:t xml:space="preserve"> (see Fortin, Lemi</w:t>
      </w:r>
      <w:r w:rsidR="00BA4FC2">
        <w:rPr>
          <w:rFonts w:ascii="Garamond" w:hAnsi="Garamond"/>
        </w:rPr>
        <w:t>e</w:t>
      </w:r>
      <w:r w:rsidR="00D37602">
        <w:rPr>
          <w:rFonts w:ascii="Garamond" w:hAnsi="Garamond"/>
        </w:rPr>
        <w:t>ux</w:t>
      </w:r>
      <w:r w:rsidR="006E0C25">
        <w:rPr>
          <w:rFonts w:ascii="Garamond" w:hAnsi="Garamond"/>
        </w:rPr>
        <w:t xml:space="preserve"> and </w:t>
      </w:r>
      <w:r w:rsidR="00D37602">
        <w:rPr>
          <w:rFonts w:ascii="Garamond" w:hAnsi="Garamond"/>
        </w:rPr>
        <w:t>Firpo</w:t>
      </w:r>
      <w:r w:rsidR="006E0C25">
        <w:rPr>
          <w:rFonts w:ascii="Garamond" w:hAnsi="Garamond"/>
        </w:rPr>
        <w:t xml:space="preserve"> (</w:t>
      </w:r>
      <w:r w:rsidR="00D37602">
        <w:rPr>
          <w:rFonts w:ascii="Garamond" w:hAnsi="Garamond"/>
        </w:rPr>
        <w:t>2011</w:t>
      </w:r>
      <w:r w:rsidR="006E0C25">
        <w:rPr>
          <w:rFonts w:ascii="Garamond" w:hAnsi="Garamond"/>
        </w:rPr>
        <w:t>)</w:t>
      </w:r>
      <w:r w:rsidR="00D37602">
        <w:rPr>
          <w:rFonts w:ascii="Garamond" w:hAnsi="Garamond"/>
        </w:rPr>
        <w:t xml:space="preserve"> for a review)</w:t>
      </w:r>
      <w:r w:rsidR="00440D84">
        <w:rPr>
          <w:rFonts w:ascii="Garamond" w:hAnsi="Garamond"/>
        </w:rPr>
        <w:t xml:space="preserve">. Formally, differences in </w:t>
      </w:r>
      <w:r w:rsidR="00563EB6">
        <w:rPr>
          <w:rFonts w:ascii="Garamond" w:hAnsi="Garamond"/>
        </w:rPr>
        <w:t xml:space="preserve">estimated </w:t>
      </w:r>
      <w:r w:rsidR="005465BC">
        <w:rPr>
          <w:rFonts w:ascii="Garamond" w:hAnsi="Garamond"/>
        </w:rPr>
        <w:t>biomarker</w:t>
      </w:r>
      <w:r w:rsidR="00440D84">
        <w:rPr>
          <w:rFonts w:ascii="Garamond" w:hAnsi="Garamond"/>
        </w:rPr>
        <w:t xml:space="preserve"> levels between </w:t>
      </w:r>
      <w:r w:rsidR="00E47D89">
        <w:rPr>
          <w:rFonts w:ascii="Garamond" w:hAnsi="Garamond"/>
        </w:rPr>
        <w:t>males</w:t>
      </w:r>
      <w:r w:rsidR="00440D84">
        <w:rPr>
          <w:rFonts w:ascii="Garamond" w:hAnsi="Garamond"/>
        </w:rPr>
        <w:t xml:space="preserve"> </w:t>
      </w:r>
      <m:oMath>
        <m:r>
          <w:rPr>
            <w:rFonts w:ascii="Cambria Math" w:hAnsi="Cambria Math"/>
          </w:rPr>
          <m:t>(M)</m:t>
        </m:r>
      </m:oMath>
      <w:r w:rsidR="00440D84">
        <w:rPr>
          <w:rFonts w:ascii="Garamond" w:hAnsi="Garamond"/>
        </w:rPr>
        <w:t xml:space="preserve"> and </w:t>
      </w:r>
      <w:r w:rsidR="00E47D89">
        <w:rPr>
          <w:rFonts w:ascii="Garamond" w:hAnsi="Garamond"/>
        </w:rPr>
        <w:t>females</w:t>
      </w:r>
      <w:r w:rsidR="00440D84">
        <w:rPr>
          <w:rFonts w:ascii="Garamond" w:hAnsi="Garamond"/>
        </w:rPr>
        <w:t xml:space="preserve"> </w:t>
      </w:r>
      <m:oMath>
        <m:r>
          <w:rPr>
            <w:rFonts w:ascii="Cambria Math" w:hAnsi="Cambria Math"/>
          </w:rPr>
          <m:t>(F)</m:t>
        </m:r>
      </m:oMath>
      <w:r w:rsidR="00440D84">
        <w:rPr>
          <w:rFonts w:ascii="Garamond" w:hAnsi="Garamond"/>
        </w:rPr>
        <w:t xml:space="preserve"> </w:t>
      </w:r>
      <w:r w:rsidR="00F34A27">
        <w:rPr>
          <w:rFonts w:ascii="Garamond" w:hAnsi="Garamond"/>
        </w:rPr>
        <w:t xml:space="preserve">at each quantile </w:t>
      </w:r>
      <w:r w:rsidR="00440D84">
        <w:rPr>
          <w:rFonts w:ascii="Garamond" w:hAnsi="Garamond"/>
        </w:rPr>
        <w:t>can be decomposed as follows:</w:t>
      </w:r>
    </w:p>
    <w:p w14:paraId="1B140FB3" w14:textId="77777777" w:rsidR="00440D84" w:rsidRDefault="007E04FE" w:rsidP="00372392">
      <w:pPr>
        <w:jc w:val="both"/>
        <w:rPr>
          <w:rFonts w:ascii="Garamond" w:hAnsi="Garamond"/>
        </w:rPr>
      </w:pPr>
      <m:oMathPara>
        <m:oMath>
          <m:sSubSup>
            <m:sSubSupPr>
              <m:ctrlPr>
                <w:rPr>
                  <w:rFonts w:ascii="Cambria Math" w:hAnsi="Cambria Math"/>
                  <w:i/>
                </w:rPr>
              </m:ctrlPr>
            </m:sSubSupPr>
            <m:e>
              <m:r>
                <w:rPr>
                  <w:rFonts w:ascii="Cambria Math" w:hAnsi="Cambria Math"/>
                </w:rPr>
                <m:t>∆</m:t>
              </m:r>
            </m:e>
            <m:sub>
              <m:r>
                <w:rPr>
                  <w:rFonts w:ascii="Cambria Math" w:hAnsi="Cambria Math"/>
                </w:rPr>
                <m:t>Bio</m:t>
              </m:r>
            </m:sub>
            <m:sup>
              <m:r>
                <w:rPr>
                  <w:rFonts w:ascii="Cambria Math" w:hAnsi="Cambria Math"/>
                </w:rPr>
                <m:t>τ</m:t>
              </m:r>
            </m:sup>
          </m:sSubSup>
          <m:r>
            <w:rPr>
              <w:rFonts w:ascii="Cambria Math" w:hAnsi="Cambria Math"/>
            </w:rPr>
            <m:t>=</m:t>
          </m:r>
          <m:acc>
            <m:accPr>
              <m:ctrlPr>
                <w:rPr>
                  <w:rFonts w:ascii="Cambria Math" w:hAnsi="Cambria Math"/>
                  <w:i/>
                </w:rPr>
              </m:ctrlPr>
            </m:accPr>
            <m:e>
              <m:r>
                <w:rPr>
                  <w:rFonts w:ascii="Cambria Math" w:hAnsi="Cambria Math"/>
                </w:rPr>
                <m:t>[RIF</m:t>
              </m:r>
            </m:e>
          </m:acc>
          <m:d>
            <m:dPr>
              <m:ctrlPr>
                <w:rPr>
                  <w:rFonts w:ascii="Cambria Math" w:hAnsi="Cambria Math"/>
                  <w:i/>
                </w:rPr>
              </m:ctrlPr>
            </m:dPr>
            <m:e>
              <m:sSub>
                <m:sSubPr>
                  <m:ctrlPr>
                    <w:rPr>
                      <w:rFonts w:ascii="Cambria Math" w:hAnsi="Cambria Math"/>
                      <w:i/>
                    </w:rPr>
                  </m:ctrlPr>
                </m:sSubPr>
                <m:e>
                  <m:r>
                    <w:rPr>
                      <w:rFonts w:ascii="Cambria Math" w:hAnsi="Cambria Math"/>
                    </w:rPr>
                    <m:t>Bio</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Mτ</m:t>
                  </m:r>
                </m:sub>
              </m:sSub>
            </m:e>
          </m:d>
          <m:r>
            <w:rPr>
              <w:rFonts w:ascii="Cambria Math" w:hAnsi="Cambria Math"/>
            </w:rPr>
            <m:t xml:space="preserve">]- </m:t>
          </m:r>
          <m:acc>
            <m:accPr>
              <m:ctrlPr>
                <w:rPr>
                  <w:rFonts w:ascii="Cambria Math" w:hAnsi="Cambria Math"/>
                  <w:i/>
                </w:rPr>
              </m:ctrlPr>
            </m:accPr>
            <m:e>
              <m:r>
                <w:rPr>
                  <w:rFonts w:ascii="Cambria Math" w:hAnsi="Cambria Math"/>
                </w:rPr>
                <m:t>[RIF</m:t>
              </m:r>
            </m:e>
          </m:acc>
          <m:d>
            <m:dPr>
              <m:ctrlPr>
                <w:rPr>
                  <w:rFonts w:ascii="Cambria Math" w:hAnsi="Cambria Math"/>
                  <w:i/>
                </w:rPr>
              </m:ctrlPr>
            </m:dPr>
            <m:e>
              <m:sSub>
                <m:sSubPr>
                  <m:ctrlPr>
                    <w:rPr>
                      <w:rFonts w:ascii="Cambria Math" w:hAnsi="Cambria Math"/>
                      <w:i/>
                    </w:rPr>
                  </m:ctrlPr>
                </m:sSubPr>
                <m:e>
                  <m:r>
                    <w:rPr>
                      <w:rFonts w:ascii="Cambria Math" w:hAnsi="Cambria Math"/>
                    </w:rPr>
                    <m:t>Bio</m:t>
                  </m:r>
                </m:e>
                <m:sub>
                  <m:r>
                    <w:rPr>
                      <w:rFonts w:ascii="Cambria Math" w:hAnsi="Cambria Math"/>
                    </w:rPr>
                    <m:t>F</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Fτ</m:t>
                  </m:r>
                </m:sub>
              </m:sSub>
            </m:e>
          </m:d>
          <m:r>
            <w:rPr>
              <w:rFonts w:ascii="Cambria Math" w:hAnsi="Cambria Math"/>
            </w:rPr>
            <m:t>]</m:t>
          </m:r>
        </m:oMath>
      </m:oMathPara>
    </w:p>
    <w:p w14:paraId="6BAB07E3" w14:textId="77777777" w:rsidR="00F34A27" w:rsidRDefault="007E04FE" w:rsidP="00776048">
      <w:pPr>
        <w:jc w:val="center"/>
        <w:rPr>
          <w:rFonts w:ascii="Garamond" w:hAnsi="Garamond"/>
        </w:rPr>
      </w:pPr>
      <m:oMath>
        <m:sSubSup>
          <m:sSubSupPr>
            <m:ctrlPr>
              <w:rPr>
                <w:rFonts w:ascii="Cambria Math" w:hAnsi="Cambria Math"/>
                <w:i/>
              </w:rPr>
            </m:ctrlPr>
          </m:sSubSupPr>
          <m:e>
            <m:r>
              <w:rPr>
                <w:rFonts w:ascii="Cambria Math" w:hAnsi="Cambria Math"/>
              </w:rPr>
              <m:t>∆</m:t>
            </m:r>
          </m:e>
          <m:sub>
            <m:r>
              <w:rPr>
                <w:rFonts w:ascii="Cambria Math" w:hAnsi="Cambria Math"/>
              </w:rPr>
              <m:t>Bio</m:t>
            </m:r>
          </m:sub>
          <m:sup>
            <m:r>
              <w:rPr>
                <w:rFonts w:ascii="Cambria Math" w:hAnsi="Cambria Math"/>
              </w:rPr>
              <m:t>τ</m:t>
            </m:r>
          </m:sup>
        </m:sSubSup>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e>
        </m:d>
        <m:sSub>
          <m:sSubPr>
            <m:ctrlPr>
              <w:rPr>
                <w:rFonts w:ascii="Cambria Math" w:hAnsi="Cambria Math"/>
                <w:i/>
              </w:rPr>
            </m:ctrlPr>
          </m:sSubPr>
          <m:e>
            <m: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d>
          <m:dPr>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F</m:t>
                </m:r>
              </m:sub>
            </m:sSub>
          </m:e>
        </m:d>
      </m:oMath>
      <w:r w:rsidR="00776048">
        <w:rPr>
          <w:rFonts w:ascii="Garamond" w:hAnsi="Garamond"/>
        </w:rPr>
        <w:t xml:space="preserve">  (3)</w:t>
      </w:r>
    </w:p>
    <w:p w14:paraId="1B5A82B5" w14:textId="77777777" w:rsidR="00563EB6" w:rsidRDefault="00914538" w:rsidP="007D3522">
      <w:pPr>
        <w:jc w:val="both"/>
        <w:rPr>
          <w:rFonts w:ascii="Garamond" w:hAnsi="Garamond"/>
        </w:rPr>
      </w:pPr>
      <w:r w:rsidRPr="00914538">
        <w:rPr>
          <w:rFonts w:ascii="Garamond" w:hAnsi="Garamond"/>
        </w:rPr>
        <w:t>where</w:t>
      </w:r>
      <w:r w:rsidR="00776048">
        <w:rPr>
          <w:rFonts w:ascii="Garamond" w:hAnsi="Garamond"/>
          <w:b/>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 xml:space="preserve">M </m:t>
            </m:r>
          </m:sub>
        </m:sSub>
      </m:oMath>
      <w:r w:rsidR="00776048">
        <w:rPr>
          <w:rFonts w:ascii="Garamond" w:hAnsi="Garamond"/>
        </w:rPr>
        <w:t xml:space="preserve">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oMath>
      <w:r w:rsidR="00776048">
        <w:rPr>
          <w:rFonts w:ascii="Garamond" w:hAnsi="Garamond"/>
        </w:rPr>
        <w:t xml:space="preserve"> represent the sampl</w:t>
      </w:r>
      <w:r w:rsidR="002E7459">
        <w:rPr>
          <w:rFonts w:ascii="Garamond" w:hAnsi="Garamond"/>
        </w:rPr>
        <w:t xml:space="preserve">e means of covariates X </w:t>
      </w:r>
      <w:r w:rsidR="008A7DF2">
        <w:rPr>
          <w:rFonts w:ascii="Garamond" w:hAnsi="Garamond"/>
        </w:rPr>
        <w:t>for the subsample of males and females</w:t>
      </w:r>
      <w:r w:rsidR="00563EB6">
        <w:rPr>
          <w:rFonts w:ascii="Garamond" w:hAnsi="Garamond"/>
        </w:rPr>
        <w:t>, and</w:t>
      </w:r>
      <w:r w:rsidR="00776048">
        <w:rPr>
          <w:rFonts w:ascii="Garamond" w:hAnsi="Garamond"/>
        </w:rPr>
        <w:t xml:space="preserve"> </w:t>
      </w:r>
      <m:oMath>
        <m:sSub>
          <m:sSubPr>
            <m:ctrlPr>
              <w:rPr>
                <w:rFonts w:ascii="Cambria Math" w:hAnsi="Cambria Math"/>
                <w:i/>
              </w:rPr>
            </m:ctrlPr>
          </m:sSubPr>
          <m:e>
            <m:r>
              <w:rPr>
                <w:rFonts w:ascii="Cambria Math" w:hAnsi="Cambria Math"/>
              </w:rPr>
              <m:t>δ</m:t>
            </m:r>
          </m:e>
          <m:sub>
            <m:r>
              <w:rPr>
                <w:rFonts w:ascii="Cambria Math" w:hAnsi="Cambria Math"/>
              </w:rPr>
              <m:t>M</m:t>
            </m:r>
          </m:sub>
        </m:sSub>
      </m:oMath>
      <w:r w:rsidR="00776048">
        <w:rPr>
          <w:rFonts w:ascii="Garamond" w:hAnsi="Garamond"/>
        </w:rPr>
        <w:t xml:space="preserve"> and </w:t>
      </w:r>
      <m:oMath>
        <m:sSub>
          <m:sSubPr>
            <m:ctrlPr>
              <w:rPr>
                <w:rFonts w:ascii="Cambria Math" w:hAnsi="Cambria Math"/>
                <w:i/>
              </w:rPr>
            </m:ctrlPr>
          </m:sSubPr>
          <m:e>
            <m:r>
              <w:rPr>
                <w:rFonts w:ascii="Cambria Math" w:hAnsi="Cambria Math"/>
              </w:rPr>
              <m:t>δ</m:t>
            </m:r>
          </m:e>
          <m:sub>
            <m:r>
              <w:rPr>
                <w:rFonts w:ascii="Cambria Math" w:hAnsi="Cambria Math"/>
              </w:rPr>
              <m:t>F</m:t>
            </m:r>
          </m:sub>
        </m:sSub>
      </m:oMath>
      <w:r w:rsidR="00776048">
        <w:rPr>
          <w:rFonts w:ascii="Garamond" w:hAnsi="Garamond"/>
        </w:rPr>
        <w:t xml:space="preserve"> represent the coefficient</w:t>
      </w:r>
      <w:r>
        <w:rPr>
          <w:rFonts w:ascii="Garamond" w:hAnsi="Garamond"/>
        </w:rPr>
        <w:t>s</w:t>
      </w:r>
      <w:r w:rsidR="00776048">
        <w:rPr>
          <w:rFonts w:ascii="Garamond" w:hAnsi="Garamond"/>
        </w:rPr>
        <w:t xml:space="preserve"> </w:t>
      </w:r>
      <w:r w:rsidRPr="00536515">
        <w:rPr>
          <w:rFonts w:ascii="Garamond" w:hAnsi="Garamond"/>
        </w:rPr>
        <w:t>of the unconditional quantile</w:t>
      </w:r>
      <w:r>
        <w:rPr>
          <w:rFonts w:ascii="Garamond" w:hAnsi="Garamond"/>
        </w:rPr>
        <w:t xml:space="preserve"> regression as in equation (2)</w:t>
      </w:r>
      <w:r w:rsidR="002E7459">
        <w:rPr>
          <w:rFonts w:ascii="Garamond" w:hAnsi="Garamond"/>
        </w:rPr>
        <w:t xml:space="preserve"> for </w:t>
      </w:r>
      <w:r w:rsidR="007E11FE">
        <w:rPr>
          <w:rFonts w:ascii="Garamond" w:hAnsi="Garamond"/>
        </w:rPr>
        <w:t xml:space="preserve">the </w:t>
      </w:r>
      <w:r w:rsidR="008A7DF2">
        <w:rPr>
          <w:rFonts w:ascii="Garamond" w:hAnsi="Garamond"/>
        </w:rPr>
        <w:t>subsample of males and females</w:t>
      </w:r>
      <w:r w:rsidR="002E7459">
        <w:rPr>
          <w:rFonts w:ascii="Garamond" w:hAnsi="Garamond"/>
        </w:rPr>
        <w:t>, respectively</w:t>
      </w:r>
      <w:r w:rsidR="0083624D">
        <w:rPr>
          <w:rFonts w:ascii="Garamond" w:hAnsi="Garamond"/>
        </w:rPr>
        <w:t>.</w:t>
      </w:r>
      <w:r>
        <w:rPr>
          <w:rFonts w:ascii="Garamond" w:hAnsi="Garamond"/>
        </w:rPr>
        <w:t xml:space="preserve"> </w:t>
      </w:r>
    </w:p>
    <w:p w14:paraId="7A551B50" w14:textId="33AA9F55" w:rsidR="00EA247A" w:rsidRPr="00E24306" w:rsidRDefault="00914538" w:rsidP="00EA247A">
      <w:pPr>
        <w:jc w:val="both"/>
        <w:rPr>
          <w:rFonts w:ascii="Garamond" w:hAnsi="Garamond"/>
        </w:rPr>
      </w:pPr>
      <w:r>
        <w:rPr>
          <w:rFonts w:ascii="Garamond" w:hAnsi="Garamond"/>
        </w:rPr>
        <w:lastRenderedPageBreak/>
        <w:t xml:space="preserve">The first term in equation (3) is the part of </w:t>
      </w:r>
      <w:r w:rsidR="005465BC">
        <w:rPr>
          <w:rFonts w:ascii="Garamond" w:hAnsi="Garamond"/>
        </w:rPr>
        <w:t xml:space="preserve">the </w:t>
      </w:r>
      <w:r>
        <w:rPr>
          <w:rFonts w:ascii="Garamond" w:hAnsi="Garamond"/>
        </w:rPr>
        <w:t xml:space="preserve">differential in biomarkers that is “explained” by differences in </w:t>
      </w:r>
      <w:r w:rsidR="008A7DF2">
        <w:rPr>
          <w:rFonts w:ascii="Garamond" w:hAnsi="Garamond"/>
        </w:rPr>
        <w:t xml:space="preserve">observed </w:t>
      </w:r>
      <w:r>
        <w:rPr>
          <w:rFonts w:ascii="Garamond" w:hAnsi="Garamond"/>
        </w:rPr>
        <w:t xml:space="preserve">covariates between the </w:t>
      </w:r>
      <w:r w:rsidR="008A7DF2">
        <w:rPr>
          <w:rFonts w:ascii="Garamond" w:hAnsi="Garamond"/>
        </w:rPr>
        <w:t>subsample of males and females</w:t>
      </w:r>
      <w:r>
        <w:rPr>
          <w:rFonts w:ascii="Garamond" w:hAnsi="Garamond"/>
        </w:rPr>
        <w:t>.</w:t>
      </w:r>
      <w:r w:rsidR="00625BE6">
        <w:rPr>
          <w:rFonts w:ascii="Garamond" w:hAnsi="Garamond"/>
        </w:rPr>
        <w:t xml:space="preserve"> This is often cal</w:t>
      </w:r>
      <w:r w:rsidR="00996A54">
        <w:rPr>
          <w:rFonts w:ascii="Garamond" w:hAnsi="Garamond"/>
        </w:rPr>
        <w:t xml:space="preserve">led </w:t>
      </w:r>
      <w:r w:rsidR="005465BC">
        <w:rPr>
          <w:rFonts w:ascii="Garamond" w:hAnsi="Garamond"/>
        </w:rPr>
        <w:t>the</w:t>
      </w:r>
      <w:r w:rsidR="00996A54">
        <w:rPr>
          <w:rFonts w:ascii="Garamond" w:hAnsi="Garamond"/>
        </w:rPr>
        <w:t xml:space="preserve"> “composition effect”. </w:t>
      </w:r>
      <w:r w:rsidR="00625BE6">
        <w:rPr>
          <w:rFonts w:ascii="Garamond" w:hAnsi="Garamond"/>
        </w:rPr>
        <w:t xml:space="preserve">Differences in covariates </w:t>
      </w:r>
      <w:r w:rsidR="00A65B81">
        <w:rPr>
          <w:rFonts w:ascii="Garamond" w:hAnsi="Garamond"/>
        </w:rPr>
        <w:t>across</w:t>
      </w:r>
      <w:r w:rsidR="00625BE6">
        <w:rPr>
          <w:rFonts w:ascii="Garamond" w:hAnsi="Garamond"/>
        </w:rPr>
        <w:t xml:space="preserve"> </w:t>
      </w:r>
      <w:r w:rsidR="008A7DF2">
        <w:rPr>
          <w:rFonts w:ascii="Garamond" w:hAnsi="Garamond"/>
        </w:rPr>
        <w:t>genders</w:t>
      </w:r>
      <w:r w:rsidR="00625BE6">
        <w:rPr>
          <w:rFonts w:ascii="Garamond" w:hAnsi="Garamond"/>
        </w:rPr>
        <w:t xml:space="preserve"> are weighted by the coefficients of the unconditional quantile regression from a </w:t>
      </w:r>
      <w:r w:rsidR="00625BE6" w:rsidRPr="00914538">
        <w:rPr>
          <w:rFonts w:ascii="Garamond" w:hAnsi="Garamond"/>
        </w:rPr>
        <w:t xml:space="preserve">model </w:t>
      </w:r>
      <w:r w:rsidR="008A7DF2">
        <w:rPr>
          <w:rFonts w:ascii="Garamond" w:hAnsi="Garamond"/>
        </w:rPr>
        <w:t xml:space="preserve">estimated on the subsample of females </w:t>
      </w:r>
      <w:r w:rsidR="00625BE6">
        <w:rPr>
          <w:rFonts w:ascii="Garamond" w:hAnsi="Garamond"/>
        </w:rPr>
        <w:t>(</w:t>
      </w:r>
      <m:oMath>
        <m:sSub>
          <m:sSubPr>
            <m:ctrlPr>
              <w:rPr>
                <w:rFonts w:ascii="Cambria Math" w:hAnsi="Cambria Math"/>
                <w:i/>
              </w:rPr>
            </m:ctrlPr>
          </m:sSubPr>
          <m:e>
            <m:r>
              <w:rPr>
                <w:rFonts w:ascii="Cambria Math" w:hAnsi="Cambria Math"/>
              </w:rPr>
              <m:t>δ</m:t>
            </m:r>
          </m:e>
          <m:sub>
            <m:r>
              <w:rPr>
                <w:rFonts w:ascii="Cambria Math" w:hAnsi="Cambria Math"/>
              </w:rPr>
              <m:t>F</m:t>
            </m:r>
          </m:sub>
        </m:sSub>
      </m:oMath>
      <w:r w:rsidR="00625BE6">
        <w:rPr>
          <w:rFonts w:ascii="Garamond" w:hAnsi="Garamond"/>
        </w:rPr>
        <w:t xml:space="preserve">). </w:t>
      </w:r>
      <w:r w:rsidR="008A7DF2">
        <w:rPr>
          <w:rFonts w:ascii="Garamond" w:hAnsi="Garamond"/>
        </w:rPr>
        <w:t>The decomposition is thus formulated from the viewpoint of females</w:t>
      </w:r>
      <w:r w:rsidR="00625BE6">
        <w:rPr>
          <w:rFonts w:ascii="Garamond" w:hAnsi="Garamond"/>
        </w:rPr>
        <w:t xml:space="preserve"> </w:t>
      </w:r>
      <w:r w:rsidR="008A7DF2">
        <w:rPr>
          <w:rFonts w:ascii="Garamond" w:hAnsi="Garamond"/>
        </w:rPr>
        <w:t>as in</w:t>
      </w:r>
      <w:r w:rsidR="00625BE6">
        <w:rPr>
          <w:rFonts w:ascii="Garamond" w:hAnsi="Garamond"/>
        </w:rPr>
        <w:t xml:space="preserve"> the original </w:t>
      </w:r>
      <w:r w:rsidR="00996A54">
        <w:rPr>
          <w:rFonts w:ascii="Garamond" w:hAnsi="Garamond"/>
        </w:rPr>
        <w:t xml:space="preserve">work </w:t>
      </w:r>
      <w:r w:rsidR="008A7DF2">
        <w:rPr>
          <w:rFonts w:ascii="Garamond" w:hAnsi="Garamond"/>
        </w:rPr>
        <w:t xml:space="preserve">by Oaxaca (1973). </w:t>
      </w:r>
      <w:r w:rsidR="007D3522">
        <w:rPr>
          <w:rFonts w:ascii="Garamond" w:hAnsi="Garamond" w:cs="Garamond"/>
        </w:rPr>
        <w:t xml:space="preserve">In </w:t>
      </w:r>
      <w:r w:rsidR="00EA247A">
        <w:rPr>
          <w:rFonts w:ascii="Garamond" w:hAnsi="Garamond" w:cs="Garamond"/>
        </w:rPr>
        <w:t>our application</w:t>
      </w:r>
      <w:r w:rsidR="003A12B0">
        <w:rPr>
          <w:rFonts w:ascii="Garamond" w:hAnsi="Garamond" w:cs="Garamond"/>
        </w:rPr>
        <w:t>, the choice of t</w:t>
      </w:r>
      <w:r w:rsidR="007E11FE">
        <w:rPr>
          <w:rFonts w:ascii="Garamond" w:hAnsi="Garamond" w:cs="Garamond"/>
        </w:rPr>
        <w:t xml:space="preserve">he discriminated group is </w:t>
      </w:r>
      <w:r w:rsidR="008E4163">
        <w:rPr>
          <w:rFonts w:ascii="Garamond" w:hAnsi="Garamond" w:cs="Garamond"/>
        </w:rPr>
        <w:t>complicated by the fact that</w:t>
      </w:r>
      <w:r w:rsidR="007E11FE">
        <w:rPr>
          <w:rFonts w:ascii="Garamond" w:hAnsi="Garamond" w:cs="Garamond"/>
        </w:rPr>
        <w:t xml:space="preserve"> </w:t>
      </w:r>
      <w:r w:rsidR="003A12B0">
        <w:rPr>
          <w:rFonts w:ascii="Garamond" w:hAnsi="Garamond" w:cs="Garamond"/>
        </w:rPr>
        <w:t xml:space="preserve">women </w:t>
      </w:r>
      <w:r w:rsidR="008E4163">
        <w:rPr>
          <w:rFonts w:ascii="Garamond" w:hAnsi="Garamond" w:cs="Garamond"/>
        </w:rPr>
        <w:t>might have some health advantages over m</w:t>
      </w:r>
      <w:r w:rsidR="00AB1D5A">
        <w:rPr>
          <w:rFonts w:ascii="Garamond" w:hAnsi="Garamond" w:cs="Garamond"/>
        </w:rPr>
        <w:t>en</w:t>
      </w:r>
      <w:r w:rsidR="008E4163">
        <w:rPr>
          <w:rFonts w:ascii="Garamond" w:hAnsi="Garamond" w:cs="Garamond"/>
        </w:rPr>
        <w:t xml:space="preserve"> (i</w:t>
      </w:r>
      <w:r w:rsidR="00890088">
        <w:rPr>
          <w:rFonts w:ascii="Garamond" w:hAnsi="Garamond" w:cs="Garamond"/>
        </w:rPr>
        <w:t>.</w:t>
      </w:r>
      <w:r w:rsidR="008E4163">
        <w:rPr>
          <w:rFonts w:ascii="Garamond" w:hAnsi="Garamond" w:cs="Garamond"/>
        </w:rPr>
        <w:t>e. they</w:t>
      </w:r>
      <w:r w:rsidR="003A12B0">
        <w:rPr>
          <w:rFonts w:ascii="Garamond" w:hAnsi="Garamond" w:cs="Garamond"/>
        </w:rPr>
        <w:t xml:space="preserve"> have a higher longevity than </w:t>
      </w:r>
      <w:r w:rsidR="00983B7B">
        <w:rPr>
          <w:rFonts w:ascii="Garamond" w:hAnsi="Garamond" w:cs="Garamond"/>
        </w:rPr>
        <w:t>men</w:t>
      </w:r>
      <w:r w:rsidR="008E4163">
        <w:rPr>
          <w:rFonts w:ascii="Garamond" w:hAnsi="Garamond" w:cs="Garamond"/>
        </w:rPr>
        <w:t>, for instance)</w:t>
      </w:r>
      <w:r w:rsidR="003A12B0">
        <w:rPr>
          <w:rFonts w:ascii="Garamond" w:hAnsi="Garamond" w:cs="Garamond"/>
        </w:rPr>
        <w:t xml:space="preserve"> but they</w:t>
      </w:r>
      <w:r w:rsidR="00AB1D5A">
        <w:rPr>
          <w:rFonts w:ascii="Garamond" w:hAnsi="Garamond" w:cs="Garamond"/>
        </w:rPr>
        <w:t xml:space="preserve"> often</w:t>
      </w:r>
      <w:r w:rsidR="00EA247A">
        <w:rPr>
          <w:rFonts w:ascii="Garamond" w:hAnsi="Garamond" w:cs="Garamond"/>
        </w:rPr>
        <w:t xml:space="preserve"> </w:t>
      </w:r>
      <w:r w:rsidR="003A12B0">
        <w:rPr>
          <w:rFonts w:ascii="Garamond" w:hAnsi="Garamond" w:cs="Garamond"/>
        </w:rPr>
        <w:t xml:space="preserve">earn less than males because of gender discrimination in the labour market. </w:t>
      </w:r>
      <w:r w:rsidR="00AB1D5A">
        <w:rPr>
          <w:rFonts w:ascii="Garamond" w:hAnsi="Garamond" w:cs="Garamond"/>
        </w:rPr>
        <w:t>W</w:t>
      </w:r>
      <w:r w:rsidR="005B09FD">
        <w:rPr>
          <w:rFonts w:ascii="Garamond" w:hAnsi="Garamond" w:cs="Garamond"/>
        </w:rPr>
        <w:t xml:space="preserve">e </w:t>
      </w:r>
      <w:r w:rsidR="00AB1D5A">
        <w:rPr>
          <w:rFonts w:ascii="Garamond" w:hAnsi="Garamond" w:cs="Garamond"/>
        </w:rPr>
        <w:t xml:space="preserve">therefore </w:t>
      </w:r>
      <w:r w:rsidR="005B09FD">
        <w:rPr>
          <w:rFonts w:ascii="Garamond" w:hAnsi="Garamond" w:cs="Garamond"/>
        </w:rPr>
        <w:t>c</w:t>
      </w:r>
      <w:r w:rsidR="00EA247A">
        <w:rPr>
          <w:rFonts w:ascii="Garamond" w:hAnsi="Garamond" w:cs="Garamond"/>
        </w:rPr>
        <w:t>onsider females as the discriminated group. This</w:t>
      </w:r>
      <w:r w:rsidR="00AB1D5A">
        <w:rPr>
          <w:rFonts w:ascii="Garamond" w:hAnsi="Garamond" w:cs="Garamond"/>
        </w:rPr>
        <w:t xml:space="preserve"> puts</w:t>
      </w:r>
      <w:r w:rsidR="00EA247A">
        <w:rPr>
          <w:rFonts w:ascii="Garamond" w:hAnsi="Garamond" w:cs="Garamond"/>
        </w:rPr>
        <w:t xml:space="preserve"> our OB decomposition in line with </w:t>
      </w:r>
      <w:r w:rsidR="003A12B0">
        <w:rPr>
          <w:rFonts w:ascii="Garamond" w:hAnsi="Garamond" w:cs="Garamond"/>
        </w:rPr>
        <w:t>th</w:t>
      </w:r>
      <w:r w:rsidR="00EA247A">
        <w:rPr>
          <w:rFonts w:ascii="Garamond" w:hAnsi="Garamond" w:cs="Garamond"/>
        </w:rPr>
        <w:t xml:space="preserve">e </w:t>
      </w:r>
      <w:r w:rsidR="008E4163">
        <w:rPr>
          <w:rFonts w:ascii="Garamond" w:hAnsi="Garamond" w:cs="Garamond"/>
        </w:rPr>
        <w:t xml:space="preserve">traditional </w:t>
      </w:r>
      <w:r w:rsidR="00EA247A">
        <w:rPr>
          <w:rFonts w:ascii="Garamond" w:hAnsi="Garamond" w:cs="Garamond"/>
        </w:rPr>
        <w:t>discrimination literature</w:t>
      </w:r>
      <w:r w:rsidR="00676D94">
        <w:rPr>
          <w:rFonts w:ascii="Garamond" w:hAnsi="Garamond" w:cs="Garamond"/>
        </w:rPr>
        <w:t>, i</w:t>
      </w:r>
      <w:r w:rsidR="005465BC">
        <w:rPr>
          <w:rFonts w:ascii="Garamond" w:hAnsi="Garamond" w:cs="Garamond"/>
        </w:rPr>
        <w:t>.</w:t>
      </w:r>
      <w:r w:rsidR="00676D94">
        <w:rPr>
          <w:rFonts w:ascii="Garamond" w:hAnsi="Garamond" w:cs="Garamond"/>
        </w:rPr>
        <w:t xml:space="preserve">e. </w:t>
      </w:r>
      <w:r w:rsidR="007E11FE">
        <w:rPr>
          <w:rFonts w:ascii="Garamond" w:hAnsi="Garamond" w:cs="Garamond"/>
        </w:rPr>
        <w:t xml:space="preserve">analysis of </w:t>
      </w:r>
      <w:r w:rsidR="005465BC">
        <w:rPr>
          <w:rFonts w:ascii="Garamond" w:hAnsi="Garamond" w:cs="Garamond"/>
        </w:rPr>
        <w:t xml:space="preserve">the </w:t>
      </w:r>
      <w:r w:rsidR="007E11FE">
        <w:rPr>
          <w:rFonts w:ascii="Garamond" w:hAnsi="Garamond" w:cs="Garamond"/>
        </w:rPr>
        <w:t xml:space="preserve">gender wage gap </w:t>
      </w:r>
      <w:r w:rsidR="00EA247A">
        <w:rPr>
          <w:rFonts w:ascii="Garamond" w:hAnsi="Garamond" w:cs="Garamond"/>
        </w:rPr>
        <w:t>(s</w:t>
      </w:r>
      <w:r w:rsidR="00EA247A" w:rsidRPr="00E24306">
        <w:rPr>
          <w:rFonts w:ascii="Garamond" w:hAnsi="Garamond" w:cs="Garamond"/>
        </w:rPr>
        <w:t xml:space="preserve">ee </w:t>
      </w:r>
      <w:r w:rsidR="00EA247A">
        <w:rPr>
          <w:rFonts w:ascii="Garamond" w:hAnsi="Garamond" w:cs="Garamond"/>
        </w:rPr>
        <w:t xml:space="preserve">the discussion in </w:t>
      </w:r>
      <w:r w:rsidR="00EA247A" w:rsidRPr="00E24306">
        <w:rPr>
          <w:rFonts w:ascii="Garamond" w:hAnsi="Garamond" w:cs="Garamond"/>
        </w:rPr>
        <w:t>Neumark</w:t>
      </w:r>
      <w:r w:rsidR="001D3092">
        <w:rPr>
          <w:rFonts w:ascii="Garamond" w:hAnsi="Garamond" w:cs="Garamond"/>
        </w:rPr>
        <w:t xml:space="preserve"> (</w:t>
      </w:r>
      <w:r w:rsidR="00EA247A" w:rsidRPr="00E24306">
        <w:rPr>
          <w:rFonts w:ascii="Garamond" w:hAnsi="Garamond" w:cs="Garamond"/>
        </w:rPr>
        <w:t>1988</w:t>
      </w:r>
      <w:r w:rsidR="001D3092">
        <w:rPr>
          <w:rFonts w:ascii="Garamond" w:hAnsi="Garamond" w:cs="Garamond"/>
        </w:rPr>
        <w:t>)</w:t>
      </w:r>
      <w:r w:rsidR="00EA247A">
        <w:rPr>
          <w:rFonts w:ascii="Garamond" w:hAnsi="Garamond" w:cs="Garamond"/>
        </w:rPr>
        <w:t xml:space="preserve"> and </w:t>
      </w:r>
      <w:r w:rsidR="00EA247A" w:rsidRPr="00E24306">
        <w:rPr>
          <w:rFonts w:ascii="Garamond" w:hAnsi="Garamond" w:cs="Garamond"/>
        </w:rPr>
        <w:t>Jann</w:t>
      </w:r>
      <w:r w:rsidR="001D3092">
        <w:rPr>
          <w:rFonts w:ascii="Garamond" w:hAnsi="Garamond" w:cs="Garamond"/>
        </w:rPr>
        <w:t xml:space="preserve"> (</w:t>
      </w:r>
      <w:r w:rsidR="00EA247A" w:rsidRPr="00E24306">
        <w:rPr>
          <w:rFonts w:ascii="Garamond" w:hAnsi="Garamond" w:cs="Garamond"/>
        </w:rPr>
        <w:t>2008</w:t>
      </w:r>
      <w:r w:rsidR="001D3092">
        <w:rPr>
          <w:rFonts w:ascii="Garamond" w:hAnsi="Garamond" w:cs="Garamond"/>
        </w:rPr>
        <w:t>)</w:t>
      </w:r>
      <w:r w:rsidR="00EA247A">
        <w:rPr>
          <w:rFonts w:ascii="Garamond" w:hAnsi="Garamond" w:cs="Garamond"/>
        </w:rPr>
        <w:t xml:space="preserve"> for more details</w:t>
      </w:r>
      <w:r w:rsidR="00EA247A" w:rsidRPr="00E24306">
        <w:rPr>
          <w:rFonts w:ascii="Garamond" w:hAnsi="Garamond" w:cs="Garamond"/>
        </w:rPr>
        <w:t>).</w:t>
      </w:r>
    </w:p>
    <w:p w14:paraId="2E05C9CB" w14:textId="77777777" w:rsidR="00440D84" w:rsidRPr="00420E6A" w:rsidRDefault="00420E6A" w:rsidP="00B54208">
      <w:pPr>
        <w:jc w:val="both"/>
        <w:rPr>
          <w:rFonts w:ascii="Garamond" w:hAnsi="Garamond" w:cs="Garamond"/>
        </w:rPr>
      </w:pPr>
      <w:r w:rsidRPr="00420E6A">
        <w:rPr>
          <w:rFonts w:ascii="Garamond" w:hAnsi="Garamond" w:cs="Garamond"/>
        </w:rPr>
        <w:t xml:space="preserve">The second </w:t>
      </w:r>
      <w:r w:rsidR="00EA247A">
        <w:rPr>
          <w:rFonts w:ascii="Garamond" w:hAnsi="Garamond" w:cs="Garamond"/>
        </w:rPr>
        <w:t>term</w:t>
      </w:r>
      <w:r w:rsidRPr="00420E6A">
        <w:rPr>
          <w:rFonts w:ascii="Garamond" w:hAnsi="Garamond" w:cs="Garamond"/>
        </w:rPr>
        <w:t xml:space="preserve"> in equation (3) measure</w:t>
      </w:r>
      <w:r w:rsidR="005465BC">
        <w:rPr>
          <w:rFonts w:ascii="Garamond" w:hAnsi="Garamond" w:cs="Garamond"/>
        </w:rPr>
        <w:t>s</w:t>
      </w:r>
      <w:r w:rsidRPr="00420E6A">
        <w:rPr>
          <w:rFonts w:ascii="Garamond" w:hAnsi="Garamond" w:cs="Garamond"/>
        </w:rPr>
        <w:t xml:space="preserve"> the “unexplained” part of the differential in biomarkers. This is often called </w:t>
      </w:r>
      <w:r w:rsidR="005465BC">
        <w:rPr>
          <w:rFonts w:ascii="Garamond" w:hAnsi="Garamond" w:cs="Garamond"/>
        </w:rPr>
        <w:t>the</w:t>
      </w:r>
      <w:r w:rsidRPr="00420E6A">
        <w:rPr>
          <w:rFonts w:ascii="Garamond" w:hAnsi="Garamond" w:cs="Garamond"/>
        </w:rPr>
        <w:t xml:space="preserve"> “structural” part and it accounts for differences in biomarkers across </w:t>
      </w:r>
      <w:r w:rsidR="00EA247A">
        <w:rPr>
          <w:rFonts w:ascii="Garamond" w:hAnsi="Garamond" w:cs="Garamond"/>
        </w:rPr>
        <w:t>gender</w:t>
      </w:r>
      <w:r w:rsidR="00A65B81">
        <w:rPr>
          <w:rFonts w:ascii="Garamond" w:hAnsi="Garamond" w:cs="Garamond"/>
        </w:rPr>
        <w:t>s</w:t>
      </w:r>
      <w:r w:rsidRPr="00420E6A">
        <w:rPr>
          <w:rFonts w:ascii="Garamond" w:hAnsi="Garamond" w:cs="Garamond"/>
        </w:rPr>
        <w:t xml:space="preserve"> which </w:t>
      </w:r>
      <w:r w:rsidR="005465BC">
        <w:rPr>
          <w:rFonts w:ascii="Garamond" w:hAnsi="Garamond" w:cs="Garamond"/>
        </w:rPr>
        <w:t>are</w:t>
      </w:r>
      <w:r w:rsidRPr="00420E6A">
        <w:rPr>
          <w:rFonts w:ascii="Garamond" w:hAnsi="Garamond" w:cs="Garamond"/>
        </w:rPr>
        <w:t xml:space="preserve"> due to differences in the impact of the covariates </w:t>
      </w:r>
      <w:r w:rsidR="00B54208">
        <w:rPr>
          <w:rFonts w:ascii="Garamond" w:hAnsi="Garamond" w:cs="Garamond"/>
        </w:rPr>
        <w:t xml:space="preserve">and it </w:t>
      </w:r>
      <w:r w:rsidR="00B54208" w:rsidRPr="00B54208">
        <w:rPr>
          <w:rFonts w:ascii="Garamond" w:hAnsi="Garamond" w:cs="Garamond"/>
        </w:rPr>
        <w:t>also captures all potential e</w:t>
      </w:r>
      <w:r w:rsidR="00BC42A7">
        <w:rPr>
          <w:rFonts w:ascii="Garamond" w:hAnsi="Garamond" w:cs="Garamond"/>
        </w:rPr>
        <w:t>ffects of diff</w:t>
      </w:r>
      <w:r w:rsidR="00B54208" w:rsidRPr="00B54208">
        <w:rPr>
          <w:rFonts w:ascii="Garamond" w:hAnsi="Garamond" w:cs="Garamond"/>
        </w:rPr>
        <w:t>erences in</w:t>
      </w:r>
      <w:r w:rsidR="00B54208">
        <w:rPr>
          <w:rFonts w:ascii="Garamond" w:hAnsi="Garamond" w:cs="Garamond"/>
        </w:rPr>
        <w:t xml:space="preserve"> </w:t>
      </w:r>
      <w:r w:rsidR="00B54208" w:rsidRPr="00B54208">
        <w:rPr>
          <w:rFonts w:ascii="Garamond" w:hAnsi="Garamond" w:cs="Garamond"/>
        </w:rPr>
        <w:t>unobserved variables</w:t>
      </w:r>
      <w:r w:rsidR="00B54208">
        <w:rPr>
          <w:rFonts w:ascii="Garamond" w:hAnsi="Garamond" w:cs="Garamond"/>
        </w:rPr>
        <w:t>.</w:t>
      </w:r>
      <w:r w:rsidRPr="00420E6A">
        <w:rPr>
          <w:rFonts w:ascii="Garamond" w:hAnsi="Garamond" w:cs="Garamond"/>
        </w:rPr>
        <w:t xml:space="preserve">   </w:t>
      </w:r>
    </w:p>
    <w:p w14:paraId="2F1B42CB" w14:textId="77777777" w:rsidR="00E103E2" w:rsidRDefault="00E103E2" w:rsidP="00563EB6">
      <w:pPr>
        <w:jc w:val="both"/>
        <w:rPr>
          <w:rFonts w:ascii="Garamond" w:hAnsi="Garamond"/>
        </w:rPr>
      </w:pPr>
      <w:r w:rsidRPr="00E103E2">
        <w:rPr>
          <w:rFonts w:ascii="Garamond" w:hAnsi="Garamond"/>
        </w:rPr>
        <w:t xml:space="preserve">The </w:t>
      </w:r>
      <w:r w:rsidR="009964C7">
        <w:rPr>
          <w:rFonts w:ascii="Garamond" w:hAnsi="Garamond"/>
        </w:rPr>
        <w:t>explained</w:t>
      </w:r>
      <w:r w:rsidRPr="00E103E2">
        <w:rPr>
          <w:rFonts w:ascii="Garamond" w:hAnsi="Garamond"/>
        </w:rPr>
        <w:t xml:space="preserve"> and </w:t>
      </w:r>
      <w:r w:rsidR="00112FB5">
        <w:rPr>
          <w:rFonts w:ascii="Garamond" w:hAnsi="Garamond"/>
        </w:rPr>
        <w:t xml:space="preserve">unexplained part </w:t>
      </w:r>
      <w:r w:rsidRPr="00E103E2">
        <w:rPr>
          <w:rFonts w:ascii="Garamond" w:hAnsi="Garamond"/>
        </w:rPr>
        <w:t>can be further decomposed into contribu</w:t>
      </w:r>
      <w:r w:rsidR="00112FB5">
        <w:rPr>
          <w:rFonts w:ascii="Garamond" w:hAnsi="Garamond"/>
        </w:rPr>
        <w:t xml:space="preserve">tions of each covariate at </w:t>
      </w:r>
      <w:r w:rsidR="00D34C8A" w:rsidRPr="00D34C8A">
        <w:rPr>
          <w:rFonts w:ascii="Garamond" w:hAnsi="Garamond"/>
        </w:rPr>
        <w:t xml:space="preserve">each </w:t>
      </w:r>
      <w:r w:rsidR="000204DF" w:rsidRPr="00D34C8A">
        <w:rPr>
          <w:rFonts w:ascii="Garamond" w:hAnsi="Garamond"/>
        </w:rPr>
        <w:t>quantile</w:t>
      </w:r>
      <w:r w:rsidR="00112FB5">
        <w:rPr>
          <w:rFonts w:ascii="Garamond" w:hAnsi="Garamond"/>
        </w:rPr>
        <w:t xml:space="preserve">. </w:t>
      </w:r>
      <w:r w:rsidR="00563EB6">
        <w:rPr>
          <w:rFonts w:ascii="Garamond" w:hAnsi="Garamond"/>
        </w:rPr>
        <w:t>I</w:t>
      </w:r>
      <w:r w:rsidR="00D428FB">
        <w:rPr>
          <w:rFonts w:ascii="Garamond" w:hAnsi="Garamond"/>
        </w:rPr>
        <w:t>n our case</w:t>
      </w:r>
      <w:r w:rsidR="00563EB6">
        <w:rPr>
          <w:rFonts w:ascii="Garamond" w:hAnsi="Garamond"/>
        </w:rPr>
        <w:t xml:space="preserve">, it is particularly useful </w:t>
      </w:r>
      <w:r w:rsidR="00D428FB">
        <w:rPr>
          <w:rFonts w:ascii="Garamond" w:hAnsi="Garamond"/>
        </w:rPr>
        <w:t>to derive both the total contribution and the detailed contribution of income</w:t>
      </w:r>
      <w:r w:rsidR="00563EB6">
        <w:rPr>
          <w:rFonts w:ascii="Garamond" w:hAnsi="Garamond"/>
        </w:rPr>
        <w:t xml:space="preserve"> </w:t>
      </w:r>
      <w:r w:rsidR="00D428FB">
        <w:rPr>
          <w:rFonts w:ascii="Garamond" w:hAnsi="Garamond"/>
        </w:rPr>
        <w:t>to the</w:t>
      </w:r>
      <w:r w:rsidR="00A65B81">
        <w:rPr>
          <w:rFonts w:ascii="Garamond" w:hAnsi="Garamond"/>
        </w:rPr>
        <w:t xml:space="preserve"> gender differentials in biomarkers</w:t>
      </w:r>
      <w:r w:rsidR="00D428FB">
        <w:rPr>
          <w:rFonts w:ascii="Garamond" w:hAnsi="Garamond"/>
        </w:rPr>
        <w:t xml:space="preserve">. </w:t>
      </w:r>
      <w:r w:rsidR="004F2805">
        <w:rPr>
          <w:rFonts w:ascii="Garamond" w:hAnsi="Garamond"/>
        </w:rPr>
        <w:t xml:space="preserve">This allows </w:t>
      </w:r>
      <w:r w:rsidR="005465BC">
        <w:rPr>
          <w:rFonts w:ascii="Garamond" w:hAnsi="Garamond"/>
        </w:rPr>
        <w:t xml:space="preserve">us </w:t>
      </w:r>
      <w:r w:rsidR="00563EB6">
        <w:rPr>
          <w:rFonts w:ascii="Garamond" w:hAnsi="Garamond"/>
        </w:rPr>
        <w:t xml:space="preserve">to understand to what extent </w:t>
      </w:r>
      <w:r w:rsidR="00A65B81">
        <w:rPr>
          <w:rFonts w:ascii="Garamond" w:hAnsi="Garamond"/>
        </w:rPr>
        <w:t xml:space="preserve">differences in biomarkers are driven by differences in </w:t>
      </w:r>
      <w:r w:rsidR="005465BC">
        <w:rPr>
          <w:rFonts w:ascii="Garamond" w:hAnsi="Garamond"/>
        </w:rPr>
        <w:t>income</w:t>
      </w:r>
      <w:r w:rsidR="00A65B81">
        <w:rPr>
          <w:rFonts w:ascii="Garamond" w:hAnsi="Garamond"/>
        </w:rPr>
        <w:t xml:space="preserve"> between males and females </w:t>
      </w:r>
      <w:r w:rsidR="00563EB6">
        <w:rPr>
          <w:rFonts w:ascii="Garamond" w:hAnsi="Garamond"/>
        </w:rPr>
        <w:t>(</w:t>
      </w:r>
      <w:r w:rsidR="009964C7">
        <w:rPr>
          <w:rFonts w:ascii="Garamond" w:hAnsi="Garamond"/>
        </w:rPr>
        <w:t>“</w:t>
      </w:r>
      <w:r w:rsidR="00563EB6">
        <w:rPr>
          <w:rFonts w:ascii="Garamond" w:hAnsi="Garamond"/>
        </w:rPr>
        <w:t>composition effect</w:t>
      </w:r>
      <w:r w:rsidR="009964C7">
        <w:rPr>
          <w:rFonts w:ascii="Garamond" w:hAnsi="Garamond"/>
        </w:rPr>
        <w:t>”</w:t>
      </w:r>
      <w:r w:rsidR="00A65B81">
        <w:rPr>
          <w:rFonts w:ascii="Garamond" w:hAnsi="Garamond"/>
        </w:rPr>
        <w:t xml:space="preserve">) and/or by differences </w:t>
      </w:r>
      <w:r w:rsidR="00A65B81" w:rsidRPr="002B71F2">
        <w:rPr>
          <w:rFonts w:ascii="Garamond" w:hAnsi="Garamond"/>
        </w:rPr>
        <w:t xml:space="preserve">in the association of health to income across genders </w:t>
      </w:r>
      <w:r w:rsidR="009964C7">
        <w:rPr>
          <w:rFonts w:ascii="Garamond" w:hAnsi="Garamond"/>
        </w:rPr>
        <w:t>(</w:t>
      </w:r>
      <w:r w:rsidR="00A65B81">
        <w:rPr>
          <w:rFonts w:ascii="Garamond" w:hAnsi="Garamond"/>
        </w:rPr>
        <w:t>also known as</w:t>
      </w:r>
      <w:r w:rsidR="005465BC">
        <w:rPr>
          <w:rFonts w:ascii="Garamond" w:hAnsi="Garamond"/>
        </w:rPr>
        <w:t xml:space="preserve"> the</w:t>
      </w:r>
      <w:r w:rsidR="00A65B81">
        <w:rPr>
          <w:rFonts w:ascii="Garamond" w:hAnsi="Garamond"/>
        </w:rPr>
        <w:t xml:space="preserve"> </w:t>
      </w:r>
      <w:r w:rsidR="009964C7">
        <w:rPr>
          <w:rFonts w:ascii="Garamond" w:hAnsi="Garamond"/>
        </w:rPr>
        <w:t>“elasticity effect”)</w:t>
      </w:r>
      <w:r w:rsidR="00563EB6">
        <w:rPr>
          <w:rFonts w:ascii="Garamond" w:hAnsi="Garamond"/>
        </w:rPr>
        <w:t xml:space="preserve">. </w:t>
      </w:r>
      <w:r w:rsidR="00112FB5">
        <w:rPr>
          <w:rFonts w:ascii="Garamond" w:hAnsi="Garamond"/>
        </w:rPr>
        <w:t>Thanks to the additivity assumption</w:t>
      </w:r>
      <w:r w:rsidR="00563EB6">
        <w:rPr>
          <w:rFonts w:ascii="Garamond" w:hAnsi="Garamond"/>
        </w:rPr>
        <w:t xml:space="preserve"> of </w:t>
      </w:r>
      <w:r w:rsidR="009964C7">
        <w:rPr>
          <w:rFonts w:ascii="Garamond" w:hAnsi="Garamond"/>
        </w:rPr>
        <w:t>the OB decomposition, this is possible because the</w:t>
      </w:r>
      <w:r w:rsidR="00112FB5">
        <w:rPr>
          <w:rFonts w:ascii="Garamond" w:hAnsi="Garamond"/>
        </w:rPr>
        <w:t xml:space="preserve"> “explained” and “unexplained”</w:t>
      </w:r>
      <w:r w:rsidR="00112FB5" w:rsidRPr="00112FB5">
        <w:rPr>
          <w:rFonts w:ascii="Garamond" w:hAnsi="Garamond"/>
        </w:rPr>
        <w:t xml:space="preserve"> </w:t>
      </w:r>
      <w:r w:rsidR="009964C7">
        <w:rPr>
          <w:rFonts w:ascii="Garamond" w:hAnsi="Garamond"/>
        </w:rPr>
        <w:t>part in equation (3)</w:t>
      </w:r>
      <w:r w:rsidR="00112FB5" w:rsidRPr="00112FB5">
        <w:rPr>
          <w:rFonts w:ascii="Garamond" w:hAnsi="Garamond"/>
        </w:rPr>
        <w:t xml:space="preserve"> </w:t>
      </w:r>
      <w:r w:rsidR="009964C7">
        <w:rPr>
          <w:rFonts w:ascii="Garamond" w:hAnsi="Garamond"/>
        </w:rPr>
        <w:t>are</w:t>
      </w:r>
      <w:r w:rsidR="00112FB5" w:rsidRPr="00112FB5">
        <w:rPr>
          <w:rFonts w:ascii="Garamond" w:hAnsi="Garamond"/>
        </w:rPr>
        <w:t xml:space="preserve"> simply </w:t>
      </w:r>
      <w:r w:rsidR="00112FB5">
        <w:rPr>
          <w:rFonts w:ascii="Garamond" w:hAnsi="Garamond"/>
        </w:rPr>
        <w:t xml:space="preserve">given by </w:t>
      </w:r>
      <w:r w:rsidR="00112FB5" w:rsidRPr="00112FB5">
        <w:rPr>
          <w:rFonts w:ascii="Garamond" w:hAnsi="Garamond"/>
        </w:rPr>
        <w:t>the sum of the contribution of individual covariates</w:t>
      </w:r>
      <w:r w:rsidR="00112FB5">
        <w:rPr>
          <w:rFonts w:ascii="Garamond" w:hAnsi="Garamond"/>
        </w:rPr>
        <w:t>.</w:t>
      </w:r>
    </w:p>
    <w:p w14:paraId="43DE3B9D" w14:textId="77777777" w:rsidR="00112FB5" w:rsidRDefault="003A576B" w:rsidP="00112FB5">
      <w:pPr>
        <w:rPr>
          <w:rFonts w:ascii="Garamond" w:hAnsi="Garamond"/>
        </w:rPr>
      </w:pPr>
      <w:r>
        <w:rPr>
          <w:rFonts w:ascii="Garamond" w:hAnsi="Garamond"/>
        </w:rPr>
        <w:t>Thus, it is possible to derive the detailed contribution of all covariates (including income)</w:t>
      </w:r>
      <w:r w:rsidR="00B52F16">
        <w:rPr>
          <w:rFonts w:ascii="Garamond" w:hAnsi="Garamond"/>
        </w:rPr>
        <w:t xml:space="preserve"> to the “explained part”</w:t>
      </w:r>
      <w:r>
        <w:rPr>
          <w:rFonts w:ascii="Garamond" w:hAnsi="Garamond"/>
        </w:rPr>
        <w:t>,</w:t>
      </w:r>
      <w:r w:rsidR="00112FB5">
        <w:rPr>
          <w:rFonts w:ascii="Garamond" w:hAnsi="Garamond"/>
        </w:rPr>
        <w:t xml:space="preserve"> as follows:</w:t>
      </w:r>
    </w:p>
    <w:p w14:paraId="3FA1D605" w14:textId="77777777" w:rsidR="00112FB5" w:rsidRDefault="007E04FE" w:rsidP="00112FB5">
      <w:pPr>
        <w:jc w:val="center"/>
        <w:rPr>
          <w:rFonts w:ascii="Garamond" w:hAnsi="Garamond"/>
        </w:rPr>
      </w:pPr>
      <m:oMath>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e>
        </m:d>
        <m:sSub>
          <m:sSubPr>
            <m:ctrlPr>
              <w:rPr>
                <w:rFonts w:ascii="Cambria Math" w:hAnsi="Cambria Math"/>
                <w:i/>
              </w:rPr>
            </m:ctrlPr>
          </m:sSubPr>
          <m:e>
            <m:r>
              <w:rPr>
                <w:rFonts w:ascii="Cambria Math" w:hAnsi="Cambria Math"/>
              </w:rPr>
              <m:t>δ</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1F</m:t>
                </m:r>
              </m:sub>
            </m:sSub>
          </m:e>
        </m:d>
        <m:sSub>
          <m:sSubPr>
            <m:ctrlPr>
              <w:rPr>
                <w:rFonts w:ascii="Cambria Math" w:hAnsi="Cambria Math"/>
                <w:i/>
              </w:rPr>
            </m:ctrlPr>
          </m:sSubPr>
          <m:e>
            <m:r>
              <w:rPr>
                <w:rFonts w:ascii="Cambria Math" w:hAnsi="Cambria Math"/>
              </w:rPr>
              <m:t>δ</m:t>
            </m:r>
          </m:e>
          <m:sub>
            <m:r>
              <w:rPr>
                <w:rFonts w:ascii="Cambria Math" w:hAnsi="Cambria Math"/>
              </w:rPr>
              <m:t>1F</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2F</m:t>
                </m:r>
              </m:sub>
            </m:sSub>
          </m:e>
        </m:d>
        <m:sSub>
          <m:sSubPr>
            <m:ctrlPr>
              <w:rPr>
                <w:rFonts w:ascii="Cambria Math" w:hAnsi="Cambria Math"/>
                <w:i/>
              </w:rPr>
            </m:ctrlPr>
          </m:sSubPr>
          <m:e>
            <m:r>
              <w:rPr>
                <w:rFonts w:ascii="Cambria Math" w:hAnsi="Cambria Math"/>
              </w:rPr>
              <m:t>δ</m:t>
            </m:r>
          </m:e>
          <m:sub>
            <m:r>
              <w:rPr>
                <w:rFonts w:ascii="Cambria Math" w:hAnsi="Cambria Math"/>
              </w:rPr>
              <m:t>2F</m:t>
            </m:r>
          </m:sub>
        </m:sSub>
      </m:oMath>
      <w:r w:rsidR="00112FB5">
        <w:rPr>
          <w:rFonts w:ascii="Garamond" w:hAnsi="Garamond"/>
        </w:rPr>
        <w:t>+… (4)</w:t>
      </w:r>
    </w:p>
    <w:p w14:paraId="3E9C4B71" w14:textId="33AF4D81" w:rsidR="00E103E2" w:rsidRDefault="00112FB5" w:rsidP="00D428FB">
      <w:pPr>
        <w:jc w:val="both"/>
        <w:rPr>
          <w:rFonts w:ascii="Garamond" w:hAnsi="Garamond"/>
        </w:rPr>
      </w:pPr>
      <w:r>
        <w:rPr>
          <w:rFonts w:ascii="Garamond" w:hAnsi="Garamond"/>
        </w:rP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oMath>
      <w:r>
        <w:rPr>
          <w:rFonts w:ascii="Garamond" w:hAnsi="Garamond"/>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rPr>
          <w:rFonts w:ascii="Garamond" w:hAnsi="Garamond"/>
        </w:rPr>
        <w:t xml:space="preserve">… are the means of the single </w:t>
      </w:r>
      <w:r w:rsidR="00D428FB">
        <w:rPr>
          <w:rFonts w:ascii="Garamond" w:hAnsi="Garamond"/>
        </w:rPr>
        <w:t xml:space="preserve">covariates </w:t>
      </w:r>
      <w:r w:rsidR="00560417">
        <w:rPr>
          <w:rFonts w:ascii="Garamond" w:hAnsi="Garamond"/>
        </w:rPr>
        <w:t xml:space="preserve">and </w:t>
      </w:r>
      <m:oMath>
        <m:sSub>
          <m:sSubPr>
            <m:ctrlPr>
              <w:rPr>
                <w:rFonts w:ascii="Cambria Math" w:hAnsi="Cambria Math"/>
                <w:i/>
              </w:rPr>
            </m:ctrlPr>
          </m:sSubPr>
          <m:e>
            <m:r>
              <w:rPr>
                <w:rFonts w:ascii="Cambria Math" w:hAnsi="Cambria Math"/>
              </w:rPr>
              <m:t>δ</m:t>
            </m:r>
          </m:e>
          <m:sub>
            <m:r>
              <w:rPr>
                <w:rFonts w:ascii="Cambria Math" w:hAnsi="Cambria Math"/>
              </w:rPr>
              <m:t>F</m:t>
            </m:r>
          </m:sub>
        </m:sSub>
      </m:oMath>
      <w:r w:rsidR="00D428FB">
        <w:rPr>
          <w:rFonts w:ascii="Garamond" w:hAnsi="Garamond"/>
        </w:rPr>
        <w:t xml:space="preserve">are the associated coefficients of the unconditional quantile regression </w:t>
      </w:r>
      <w:r w:rsidR="00560417">
        <w:rPr>
          <w:rFonts w:ascii="Garamond" w:hAnsi="Garamond"/>
        </w:rPr>
        <w:t>estimated on the subsample of females</w:t>
      </w:r>
      <w:r w:rsidR="00D428FB">
        <w:rPr>
          <w:rFonts w:ascii="Garamond" w:hAnsi="Garamond"/>
        </w:rPr>
        <w:t xml:space="preserve">. Similarly, the contributions of each covariate to the </w:t>
      </w:r>
      <w:r w:rsidR="00B52F16">
        <w:rPr>
          <w:rFonts w:ascii="Garamond" w:hAnsi="Garamond"/>
        </w:rPr>
        <w:t>“</w:t>
      </w:r>
      <w:r w:rsidR="00D428FB">
        <w:rPr>
          <w:rFonts w:ascii="Garamond" w:hAnsi="Garamond"/>
        </w:rPr>
        <w:t>unexplained part</w:t>
      </w:r>
      <w:r w:rsidR="00B52F16">
        <w:rPr>
          <w:rFonts w:ascii="Garamond" w:hAnsi="Garamond"/>
        </w:rPr>
        <w:t>”</w:t>
      </w:r>
      <w:r w:rsidR="00D428FB">
        <w:rPr>
          <w:rFonts w:ascii="Garamond" w:hAnsi="Garamond"/>
        </w:rPr>
        <w:t xml:space="preserve"> can be obtained as follows:</w:t>
      </w:r>
    </w:p>
    <w:p w14:paraId="0D070EC9" w14:textId="77777777" w:rsidR="00D428FB" w:rsidRDefault="007E04FE" w:rsidP="00D428FB">
      <w:pPr>
        <w:jc w:val="center"/>
        <w:rPr>
          <w:rFonts w:ascii="Garamond" w:hAnsi="Garamond"/>
        </w:rPr>
      </w:pPr>
      <m:oMath>
        <m:sSub>
          <m:sSubPr>
            <m:ctrlPr>
              <w:rPr>
                <w:rFonts w:ascii="Cambria Math" w:hAnsi="Cambria Math"/>
                <w:i/>
              </w:rPr>
            </m:ctrlPr>
          </m:sSubPr>
          <m:e>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d>
              <m:dPr>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F</m:t>
                    </m:r>
                  </m:sub>
                </m:sSub>
              </m:e>
            </m:d>
            <m:r>
              <w:rPr>
                <w:rFonts w:ascii="Cambria Math" w:hAnsi="Cambria Math"/>
              </w:rPr>
              <m:t xml:space="preserve">= </m:t>
            </m:r>
            <m:acc>
              <m:accPr>
                <m:chr m:val="̅"/>
                <m:ctrlPr>
                  <w:rPr>
                    <w:rFonts w:ascii="Cambria Math" w:hAnsi="Cambria Math"/>
                    <w:i/>
                  </w:rPr>
                </m:ctrlPr>
              </m:accPr>
              <m:e>
                <m:r>
                  <w:rPr>
                    <w:rFonts w:ascii="Cambria Math" w:hAnsi="Cambria Math"/>
                  </w:rPr>
                  <m:t>X</m:t>
                </m:r>
              </m:e>
            </m:acc>
          </m:e>
          <m:sub>
            <m:r>
              <w:rPr>
                <w:rFonts w:ascii="Cambria Math" w:hAnsi="Cambria Math"/>
              </w:rPr>
              <m:t>1F</m:t>
            </m:r>
          </m:sub>
        </m:sSub>
        <m:d>
          <m:dPr>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1M</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1F</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2F</m:t>
            </m:r>
          </m:sub>
        </m:sSub>
        <m:d>
          <m:dPr>
            <m:ctrlPr>
              <w:rPr>
                <w:rFonts w:ascii="Cambria Math" w:hAnsi="Cambria Math"/>
                <w:i/>
              </w:rPr>
            </m:ctrlPr>
          </m:dPr>
          <m:e>
            <m:sSub>
              <m:sSubPr>
                <m:ctrlPr>
                  <w:rPr>
                    <w:rFonts w:ascii="Cambria Math" w:hAnsi="Cambria Math"/>
                    <w:i/>
                  </w:rPr>
                </m:ctrlPr>
              </m:sSubPr>
              <m:e>
                <m:r>
                  <w:rPr>
                    <w:rFonts w:ascii="Cambria Math" w:hAnsi="Cambria Math"/>
                  </w:rPr>
                  <m:t>δ</m:t>
                </m:r>
              </m:e>
              <m:sub>
                <m:r>
                  <w:rPr>
                    <w:rFonts w:ascii="Cambria Math" w:hAnsi="Cambria Math"/>
                  </w:rPr>
                  <m:t>2M</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2F</m:t>
                </m:r>
              </m:sub>
            </m:sSub>
          </m:e>
        </m:d>
        <m:r>
          <w:rPr>
            <w:rFonts w:ascii="Cambria Math" w:hAnsi="Cambria Math"/>
          </w:rPr>
          <m:t>+…</m:t>
        </m:r>
      </m:oMath>
      <w:r w:rsidR="00D428FB">
        <w:rPr>
          <w:rFonts w:ascii="Garamond" w:hAnsi="Garamond"/>
        </w:rPr>
        <w:t xml:space="preserve"> (5)</w:t>
      </w:r>
    </w:p>
    <w:p w14:paraId="399720D5" w14:textId="345F6D6E" w:rsidR="005F6273" w:rsidRPr="003C680C" w:rsidRDefault="00DE1B5B" w:rsidP="001D3092">
      <w:pPr>
        <w:jc w:val="both"/>
        <w:rPr>
          <w:rFonts w:ascii="Garamond" w:hAnsi="Garamond" w:cs="NimbusRomNo9L-Regu"/>
        </w:rPr>
      </w:pPr>
      <w:r>
        <w:rPr>
          <w:rFonts w:ascii="Garamond" w:hAnsi="Garamond"/>
        </w:rPr>
        <w:t xml:space="preserve">To draw </w:t>
      </w:r>
      <w:r w:rsidR="003954DB">
        <w:rPr>
          <w:rFonts w:ascii="Garamond" w:hAnsi="Garamond"/>
        </w:rPr>
        <w:t>inferenc</w:t>
      </w:r>
      <w:r>
        <w:rPr>
          <w:rFonts w:ascii="Garamond" w:hAnsi="Garamond"/>
        </w:rPr>
        <w:t>e</w:t>
      </w:r>
      <w:r w:rsidR="005465BC">
        <w:rPr>
          <w:rFonts w:ascii="Garamond" w:hAnsi="Garamond"/>
        </w:rPr>
        <w:t>s</w:t>
      </w:r>
      <w:r>
        <w:rPr>
          <w:rFonts w:ascii="Garamond" w:hAnsi="Garamond"/>
        </w:rPr>
        <w:t xml:space="preserve"> on</w:t>
      </w:r>
      <w:r w:rsidR="00516DD0">
        <w:rPr>
          <w:rFonts w:ascii="Garamond" w:hAnsi="Garamond"/>
        </w:rPr>
        <w:t xml:space="preserve"> the contributions of each </w:t>
      </w:r>
      <w:r w:rsidR="003954DB">
        <w:rPr>
          <w:rFonts w:ascii="Garamond" w:hAnsi="Garamond"/>
        </w:rPr>
        <w:t>covariate</w:t>
      </w:r>
      <w:r w:rsidR="0032228C">
        <w:rPr>
          <w:rFonts w:ascii="Garamond" w:hAnsi="Garamond"/>
        </w:rPr>
        <w:t xml:space="preserve"> to the explained and unexplained part, </w:t>
      </w:r>
      <w:r w:rsidR="00565162">
        <w:rPr>
          <w:rFonts w:ascii="Garamond" w:hAnsi="Garamond"/>
        </w:rPr>
        <w:t>standard errors are computed using</w:t>
      </w:r>
      <w:r>
        <w:rPr>
          <w:rFonts w:ascii="Garamond" w:hAnsi="Garamond"/>
        </w:rPr>
        <w:t xml:space="preserve"> the delta method</w:t>
      </w:r>
      <w:r w:rsidR="00516DD0">
        <w:rPr>
          <w:rFonts w:ascii="Garamond" w:hAnsi="Garamond"/>
        </w:rPr>
        <w:t xml:space="preserve"> </w:t>
      </w:r>
      <w:r w:rsidR="00516DD0" w:rsidRPr="00E24306">
        <w:rPr>
          <w:rFonts w:ascii="Garamond" w:hAnsi="Garamond"/>
        </w:rPr>
        <w:t>(</w:t>
      </w:r>
      <w:r w:rsidR="001D3092">
        <w:rPr>
          <w:rFonts w:ascii="Garamond" w:hAnsi="Garamond" w:cs="Garamond"/>
        </w:rPr>
        <w:t>s</w:t>
      </w:r>
      <w:r w:rsidR="00516DD0" w:rsidRPr="00E24306">
        <w:rPr>
          <w:rFonts w:ascii="Garamond" w:hAnsi="Garamond" w:cs="Garamond"/>
        </w:rPr>
        <w:t>ee Jann</w:t>
      </w:r>
      <w:r w:rsidR="001D3092">
        <w:rPr>
          <w:rFonts w:ascii="Garamond" w:hAnsi="Garamond" w:cs="Garamond"/>
        </w:rPr>
        <w:t xml:space="preserve"> (</w:t>
      </w:r>
      <w:r w:rsidR="00516DD0" w:rsidRPr="00E24306">
        <w:rPr>
          <w:rFonts w:ascii="Garamond" w:hAnsi="Garamond" w:cs="Garamond"/>
        </w:rPr>
        <w:t>2008</w:t>
      </w:r>
      <w:r w:rsidR="001D3092">
        <w:rPr>
          <w:rFonts w:ascii="Garamond" w:hAnsi="Garamond" w:cs="Garamond"/>
        </w:rPr>
        <w:t>)</w:t>
      </w:r>
      <w:r w:rsidR="00565162">
        <w:rPr>
          <w:rFonts w:ascii="Garamond" w:hAnsi="Garamond" w:cs="Garamond"/>
        </w:rPr>
        <w:t xml:space="preserve"> for more details</w:t>
      </w:r>
      <w:r w:rsidR="00516DD0" w:rsidRPr="00E24306">
        <w:rPr>
          <w:rFonts w:ascii="Garamond" w:hAnsi="Garamond"/>
        </w:rPr>
        <w:t>)</w:t>
      </w:r>
      <w:r w:rsidR="00565162">
        <w:rPr>
          <w:rFonts w:ascii="Garamond" w:hAnsi="Garamond"/>
        </w:rPr>
        <w:t>.</w:t>
      </w:r>
      <w:r w:rsidR="001D3092">
        <w:rPr>
          <w:rFonts w:ascii="Garamond" w:hAnsi="Garamond"/>
        </w:rPr>
        <w:t xml:space="preserve"> T</w:t>
      </w:r>
      <w:r w:rsidR="00B9333C" w:rsidRPr="003C680C">
        <w:rPr>
          <w:rFonts w:ascii="Garamond" w:hAnsi="Garamond"/>
        </w:rPr>
        <w:t>he explained part (</w:t>
      </w:r>
      <m:oMath>
        <m:d>
          <m:dPr>
            <m:ctrlPr>
              <w:rPr>
                <w:rFonts w:ascii="Cambria Math" w:hAnsi="Garamond"/>
                <w:i/>
              </w:rPr>
            </m:ctrlPr>
          </m:dPr>
          <m:e>
            <m:sSub>
              <m:sSubPr>
                <m:ctrlPr>
                  <w:rPr>
                    <w:rFonts w:ascii="Cambria Math" w:hAnsi="Garamond"/>
                    <w:i/>
                  </w:rPr>
                </m:ctrlPr>
              </m:sSubPr>
              <m:e>
                <m:acc>
                  <m:accPr>
                    <m:chr m:val="̅"/>
                    <m:ctrlPr>
                      <w:rPr>
                        <w:rFonts w:ascii="Cambria Math" w:hAnsi="Garamond"/>
                        <w:i/>
                      </w:rPr>
                    </m:ctrlPr>
                  </m:accPr>
                  <m:e>
                    <m:r>
                      <w:rPr>
                        <w:rFonts w:ascii="Cambria Math" w:hAnsi="Cambria Math"/>
                      </w:rPr>
                      <m:t>X</m:t>
                    </m:r>
                  </m:e>
                </m:acc>
              </m:e>
              <m:sub>
                <m:r>
                  <w:rPr>
                    <w:rFonts w:ascii="Cambria Math" w:hAnsi="Cambria Math"/>
                  </w:rPr>
                  <m:t>M</m:t>
                </m:r>
              </m:sub>
            </m:sSub>
            <m:r>
              <w:rPr>
                <w:rFonts w:ascii="Garamond" w:hAnsi="Garamond"/>
              </w:rPr>
              <m:t>-</m:t>
            </m:r>
            <m:sSub>
              <m:sSubPr>
                <m:ctrlPr>
                  <w:rPr>
                    <w:rFonts w:ascii="Cambria Math" w:hAnsi="Garamond"/>
                    <w:i/>
                  </w:rPr>
                </m:ctrlPr>
              </m:sSubPr>
              <m:e>
                <m:acc>
                  <m:accPr>
                    <m:chr m:val="̅"/>
                    <m:ctrlPr>
                      <w:rPr>
                        <w:rFonts w:ascii="Cambria Math" w:hAnsi="Garamond"/>
                        <w:i/>
                      </w:rPr>
                    </m:ctrlPr>
                  </m:accPr>
                  <m:e>
                    <m:r>
                      <w:rPr>
                        <w:rFonts w:ascii="Cambria Math" w:hAnsi="Cambria Math"/>
                      </w:rPr>
                      <m:t>X</m:t>
                    </m:r>
                  </m:e>
                </m:acc>
              </m:e>
              <m:sub>
                <m:r>
                  <w:rPr>
                    <w:rFonts w:ascii="Cambria Math" w:hAnsi="Cambria Math"/>
                  </w:rPr>
                  <m:t>F</m:t>
                </m:r>
              </m:sub>
            </m:sSub>
          </m:e>
        </m:d>
        <m:sSub>
          <m:sSubPr>
            <m:ctrlPr>
              <w:rPr>
                <w:rFonts w:ascii="Cambria Math" w:hAnsi="Garamond"/>
                <w:i/>
              </w:rPr>
            </m:ctrlPr>
          </m:sSubPr>
          <m:e>
            <m:r>
              <w:rPr>
                <w:rFonts w:ascii="Cambria Math" w:hAnsi="Cambria Math"/>
              </w:rPr>
              <m:t>δ</m:t>
            </m:r>
          </m:e>
          <m:sub>
            <m:r>
              <w:rPr>
                <w:rFonts w:ascii="Cambria Math" w:hAnsi="Cambria Math"/>
              </w:rPr>
              <m:t>F</m:t>
            </m:r>
          </m:sub>
        </m:sSub>
      </m:oMath>
      <w:r w:rsidR="00B9333C" w:rsidRPr="003C680C">
        <w:rPr>
          <w:rFonts w:ascii="Garamond" w:hAnsi="Garamond"/>
        </w:rPr>
        <w:t>)</w:t>
      </w:r>
      <w:r w:rsidR="003E0F9B" w:rsidRPr="003C680C">
        <w:rPr>
          <w:rFonts w:ascii="Garamond" w:hAnsi="Garamond"/>
        </w:rPr>
        <w:t xml:space="preserve"> in equation (3)</w:t>
      </w:r>
      <w:r w:rsidR="00B9333C" w:rsidRPr="003C680C">
        <w:rPr>
          <w:rFonts w:ascii="Garamond" w:hAnsi="Garamond"/>
        </w:rPr>
        <w:t xml:space="preserve"> captures all the compositional differences, in income and in the other factors</w:t>
      </w:r>
      <w:r w:rsidR="00461D12" w:rsidRPr="003C680C">
        <w:rPr>
          <w:rFonts w:ascii="Garamond" w:hAnsi="Garamond"/>
        </w:rPr>
        <w:t>,</w:t>
      </w:r>
      <w:r w:rsidR="00505782" w:rsidRPr="003C680C">
        <w:rPr>
          <w:rFonts w:ascii="Garamond" w:hAnsi="Garamond"/>
        </w:rPr>
        <w:t xml:space="preserve"> between males and females. </w:t>
      </w:r>
      <w:r w:rsidR="003355A8" w:rsidRPr="003C680C">
        <w:rPr>
          <w:rFonts w:ascii="Garamond" w:hAnsi="Garamond"/>
        </w:rPr>
        <w:t xml:space="preserve"> </w:t>
      </w:r>
      <w:r w:rsidR="005F6273" w:rsidRPr="003C680C">
        <w:rPr>
          <w:rFonts w:ascii="Garamond" w:hAnsi="Garamond"/>
        </w:rPr>
        <w:t>Moreover</w:t>
      </w:r>
      <w:r w:rsidR="00822B16" w:rsidRPr="003C680C">
        <w:rPr>
          <w:rFonts w:ascii="Garamond" w:hAnsi="Garamond"/>
        </w:rPr>
        <w:t>, thanks to th</w:t>
      </w:r>
      <w:r w:rsidR="00FB6B98" w:rsidRPr="003C680C">
        <w:rPr>
          <w:rFonts w:ascii="Garamond" w:hAnsi="Garamond"/>
        </w:rPr>
        <w:t xml:space="preserve">e additivity assumption, </w:t>
      </w:r>
      <w:r w:rsidR="00822B16" w:rsidRPr="003C680C">
        <w:rPr>
          <w:rFonts w:ascii="Garamond" w:hAnsi="Garamond"/>
        </w:rPr>
        <w:t xml:space="preserve">the </w:t>
      </w:r>
      <w:r w:rsidR="00FB6B98" w:rsidRPr="003C680C">
        <w:rPr>
          <w:rFonts w:ascii="Garamond" w:hAnsi="Garamond"/>
        </w:rPr>
        <w:t xml:space="preserve">detailed </w:t>
      </w:r>
      <w:r w:rsidR="00822B16" w:rsidRPr="003C680C">
        <w:rPr>
          <w:rFonts w:ascii="Garamond" w:hAnsi="Garamond"/>
        </w:rPr>
        <w:t>OB decomposition</w:t>
      </w:r>
      <w:r w:rsidR="008E4163">
        <w:rPr>
          <w:rFonts w:ascii="Garamond" w:hAnsi="Garamond"/>
        </w:rPr>
        <w:t xml:space="preserve"> presented</w:t>
      </w:r>
      <w:r w:rsidR="003E0F9B" w:rsidRPr="003C680C">
        <w:rPr>
          <w:rFonts w:ascii="Garamond" w:hAnsi="Garamond"/>
        </w:rPr>
        <w:t xml:space="preserve"> in equation (4) and (5)</w:t>
      </w:r>
      <w:r w:rsidR="00FB6B98" w:rsidRPr="003C680C">
        <w:rPr>
          <w:rFonts w:ascii="Garamond" w:hAnsi="Garamond"/>
        </w:rPr>
        <w:t xml:space="preserve"> </w:t>
      </w:r>
      <w:r w:rsidR="00FB6B98" w:rsidRPr="003C680C">
        <w:rPr>
          <w:rFonts w:ascii="Garamond" w:hAnsi="Garamond"/>
        </w:rPr>
        <w:lastRenderedPageBreak/>
        <w:t xml:space="preserve">allows </w:t>
      </w:r>
      <w:r w:rsidR="00427CFE">
        <w:rPr>
          <w:rFonts w:ascii="Garamond" w:hAnsi="Garamond"/>
        </w:rPr>
        <w:t xml:space="preserve">us </w:t>
      </w:r>
      <w:r w:rsidR="00FB6B98" w:rsidRPr="003C680C">
        <w:rPr>
          <w:rFonts w:ascii="Garamond" w:hAnsi="Garamond"/>
        </w:rPr>
        <w:t>to separate the elasticity from the compositional effect of each covariate</w:t>
      </w:r>
      <w:r w:rsidR="003E0F9B" w:rsidRPr="003C680C">
        <w:rPr>
          <w:rFonts w:ascii="Garamond" w:hAnsi="Garamond"/>
        </w:rPr>
        <w:t xml:space="preserve"> on the total differences in biomarkers between males and females</w:t>
      </w:r>
      <w:r w:rsidR="001D3092" w:rsidRPr="00A45E32">
        <w:rPr>
          <w:rFonts w:cs="NimbusRomNo9L-Regu"/>
          <w:vertAlign w:val="superscript"/>
        </w:rPr>
        <w:footnoteReference w:id="5"/>
      </w:r>
      <w:r w:rsidR="001D3092">
        <w:rPr>
          <w:rFonts w:ascii="Garamond" w:hAnsi="Garamond" w:cs="NimbusRomNo9L-Regu"/>
        </w:rPr>
        <w:t xml:space="preserve">. </w:t>
      </w:r>
    </w:p>
    <w:p w14:paraId="74DBBDEC" w14:textId="77777777" w:rsidR="00C42FB6" w:rsidRDefault="00C42FB6" w:rsidP="00D428FB">
      <w:pPr>
        <w:jc w:val="both"/>
        <w:rPr>
          <w:rFonts w:ascii="Garamond" w:hAnsi="Garamond"/>
          <w:b/>
          <w:sz w:val="28"/>
          <w:szCs w:val="28"/>
        </w:rPr>
      </w:pPr>
    </w:p>
    <w:p w14:paraId="2D12006B" w14:textId="77777777" w:rsidR="003A576B" w:rsidRPr="00A164EC" w:rsidRDefault="003A576B" w:rsidP="00D428FB">
      <w:pPr>
        <w:jc w:val="both"/>
        <w:rPr>
          <w:rFonts w:ascii="Garamond" w:hAnsi="Garamond"/>
          <w:b/>
          <w:sz w:val="28"/>
          <w:szCs w:val="28"/>
        </w:rPr>
      </w:pPr>
      <w:r w:rsidRPr="00A164EC">
        <w:rPr>
          <w:rFonts w:ascii="Garamond" w:hAnsi="Garamond"/>
          <w:b/>
          <w:sz w:val="28"/>
          <w:szCs w:val="28"/>
        </w:rPr>
        <w:t>4. Results</w:t>
      </w:r>
    </w:p>
    <w:p w14:paraId="26A6E21D" w14:textId="77777777" w:rsidR="00DF37C6" w:rsidRPr="00EC34FE" w:rsidRDefault="000204DF" w:rsidP="00D428FB">
      <w:pPr>
        <w:jc w:val="both"/>
        <w:rPr>
          <w:rFonts w:ascii="Garamond" w:hAnsi="Garamond"/>
          <w:b/>
        </w:rPr>
      </w:pPr>
      <w:r w:rsidRPr="000204DF">
        <w:rPr>
          <w:rFonts w:ascii="Garamond" w:hAnsi="Garamond"/>
          <w:b/>
        </w:rPr>
        <w:t>4.1 Income-health relationship</w:t>
      </w:r>
    </w:p>
    <w:p w14:paraId="6B3D32D2" w14:textId="69F5A186" w:rsidR="00D428FB" w:rsidRDefault="00BE1F3E" w:rsidP="00D428FB">
      <w:pPr>
        <w:jc w:val="both"/>
        <w:rPr>
          <w:rFonts w:ascii="Garamond" w:hAnsi="Garamond"/>
        </w:rPr>
      </w:pPr>
      <w:r>
        <w:rPr>
          <w:rFonts w:ascii="Garamond" w:hAnsi="Garamond"/>
        </w:rPr>
        <w:t>Tables 3-6 show</w:t>
      </w:r>
      <w:r w:rsidR="004631EC">
        <w:rPr>
          <w:rFonts w:ascii="Garamond" w:hAnsi="Garamond"/>
        </w:rPr>
        <w:t xml:space="preserve"> </w:t>
      </w:r>
      <w:r w:rsidR="007C6FFC">
        <w:rPr>
          <w:rFonts w:ascii="Garamond" w:hAnsi="Garamond"/>
        </w:rPr>
        <w:t xml:space="preserve">the </w:t>
      </w:r>
      <w:r w:rsidR="004631EC">
        <w:rPr>
          <w:rFonts w:ascii="Garamond" w:hAnsi="Garamond"/>
        </w:rPr>
        <w:t>results of RIF regression</w:t>
      </w:r>
      <w:r w:rsidR="007742D6">
        <w:rPr>
          <w:rFonts w:ascii="Garamond" w:hAnsi="Garamond"/>
        </w:rPr>
        <w:t>s</w:t>
      </w:r>
      <w:r w:rsidR="00C2679E">
        <w:rPr>
          <w:rFonts w:ascii="Garamond" w:hAnsi="Garamond"/>
        </w:rPr>
        <w:t xml:space="preserve"> described in equation (2) for </w:t>
      </w:r>
      <w:r w:rsidR="006E00DE">
        <w:rPr>
          <w:rFonts w:ascii="Garamond" w:hAnsi="Garamond"/>
        </w:rPr>
        <w:t>cholesterol, glycated haemoglobin, fibrinogen and ferritin, respectively</w:t>
      </w:r>
      <w:r w:rsidR="00C2679E">
        <w:rPr>
          <w:rFonts w:ascii="Garamond" w:hAnsi="Garamond"/>
        </w:rPr>
        <w:t xml:space="preserve">. </w:t>
      </w:r>
      <w:r w:rsidR="008328AB">
        <w:rPr>
          <w:rFonts w:ascii="Garamond" w:hAnsi="Garamond"/>
        </w:rPr>
        <w:t xml:space="preserve">Column </w:t>
      </w:r>
      <w:r w:rsidR="00C2679E">
        <w:rPr>
          <w:rFonts w:ascii="Garamond" w:hAnsi="Garamond"/>
        </w:rPr>
        <w:t xml:space="preserve">1 of each table includes </w:t>
      </w:r>
      <w:r w:rsidR="00C55C1B">
        <w:rPr>
          <w:rFonts w:ascii="Garamond" w:hAnsi="Garamond"/>
        </w:rPr>
        <w:t xml:space="preserve">the results for </w:t>
      </w:r>
      <w:r w:rsidR="00C2679E">
        <w:rPr>
          <w:rFonts w:ascii="Garamond" w:hAnsi="Garamond"/>
        </w:rPr>
        <w:t>OLS regression</w:t>
      </w:r>
      <w:r w:rsidR="00E24306">
        <w:rPr>
          <w:rFonts w:ascii="Garamond" w:hAnsi="Garamond"/>
        </w:rPr>
        <w:t xml:space="preserve"> at the mean</w:t>
      </w:r>
      <w:r>
        <w:rPr>
          <w:rFonts w:ascii="Garamond" w:hAnsi="Garamond"/>
        </w:rPr>
        <w:t>,</w:t>
      </w:r>
      <w:r w:rsidR="008328AB">
        <w:rPr>
          <w:rFonts w:ascii="Garamond" w:hAnsi="Garamond"/>
        </w:rPr>
        <w:t xml:space="preserve"> for comparison, </w:t>
      </w:r>
      <w:r w:rsidR="00C2679E">
        <w:rPr>
          <w:rFonts w:ascii="Garamond" w:hAnsi="Garamond"/>
        </w:rPr>
        <w:t>while columns</w:t>
      </w:r>
      <w:r w:rsidR="002977EC">
        <w:rPr>
          <w:rFonts w:ascii="Garamond" w:hAnsi="Garamond"/>
        </w:rPr>
        <w:t xml:space="preserve"> 2-5</w:t>
      </w:r>
      <w:r w:rsidR="00C2679E">
        <w:rPr>
          <w:rFonts w:ascii="Garamond" w:hAnsi="Garamond"/>
        </w:rPr>
        <w:t xml:space="preserve"> include results of </w:t>
      </w:r>
      <w:r w:rsidR="007C6FFC">
        <w:rPr>
          <w:rFonts w:ascii="Garamond" w:hAnsi="Garamond"/>
        </w:rPr>
        <w:t xml:space="preserve">the </w:t>
      </w:r>
      <w:r w:rsidR="00C2679E">
        <w:rPr>
          <w:rFonts w:ascii="Garamond" w:hAnsi="Garamond"/>
        </w:rPr>
        <w:t>RIF regression</w:t>
      </w:r>
      <w:r w:rsidR="007742D6">
        <w:rPr>
          <w:rFonts w:ascii="Garamond" w:hAnsi="Garamond"/>
        </w:rPr>
        <w:t>s</w:t>
      </w:r>
      <w:r w:rsidR="00C2679E">
        <w:rPr>
          <w:rFonts w:ascii="Garamond" w:hAnsi="Garamond"/>
        </w:rPr>
        <w:t xml:space="preserve"> at the 25</w:t>
      </w:r>
      <w:r w:rsidR="00C2679E" w:rsidRPr="00C2679E">
        <w:rPr>
          <w:rFonts w:ascii="Garamond" w:hAnsi="Garamond"/>
          <w:vertAlign w:val="superscript"/>
        </w:rPr>
        <w:t>th</w:t>
      </w:r>
      <w:r w:rsidR="00C2679E">
        <w:rPr>
          <w:rFonts w:ascii="Garamond" w:hAnsi="Garamond"/>
        </w:rPr>
        <w:t>, 50</w:t>
      </w:r>
      <w:r w:rsidR="00C2679E" w:rsidRPr="00C2679E">
        <w:rPr>
          <w:rFonts w:ascii="Garamond" w:hAnsi="Garamond"/>
          <w:vertAlign w:val="superscript"/>
        </w:rPr>
        <w:t>th</w:t>
      </w:r>
      <w:r w:rsidR="00C2679E">
        <w:rPr>
          <w:rFonts w:ascii="Garamond" w:hAnsi="Garamond"/>
        </w:rPr>
        <w:t>, 75</w:t>
      </w:r>
      <w:r w:rsidR="00C2679E" w:rsidRPr="00C2679E">
        <w:rPr>
          <w:rFonts w:ascii="Garamond" w:hAnsi="Garamond"/>
          <w:vertAlign w:val="superscript"/>
        </w:rPr>
        <w:t>th</w:t>
      </w:r>
      <w:r w:rsidR="00C2679E">
        <w:rPr>
          <w:rFonts w:ascii="Garamond" w:hAnsi="Garamond"/>
        </w:rPr>
        <w:t>, 90</w:t>
      </w:r>
      <w:r w:rsidR="00C2679E" w:rsidRPr="00C2679E">
        <w:rPr>
          <w:rFonts w:ascii="Garamond" w:hAnsi="Garamond"/>
          <w:vertAlign w:val="superscript"/>
        </w:rPr>
        <w:t>th</w:t>
      </w:r>
      <w:r w:rsidR="00C2679E">
        <w:rPr>
          <w:rFonts w:ascii="Garamond" w:hAnsi="Garamond"/>
        </w:rPr>
        <w:t xml:space="preserve"> and 95</w:t>
      </w:r>
      <w:r w:rsidR="00C2679E" w:rsidRPr="00C2679E">
        <w:rPr>
          <w:rFonts w:ascii="Garamond" w:hAnsi="Garamond"/>
          <w:vertAlign w:val="superscript"/>
        </w:rPr>
        <w:t>th</w:t>
      </w:r>
      <w:r w:rsidR="00C2679E">
        <w:rPr>
          <w:rFonts w:ascii="Garamond" w:hAnsi="Garamond"/>
        </w:rPr>
        <w:t xml:space="preserve"> percentile</w:t>
      </w:r>
      <w:r w:rsidR="008328AB">
        <w:rPr>
          <w:rFonts w:ascii="Garamond" w:hAnsi="Garamond"/>
        </w:rPr>
        <w:t xml:space="preserve"> of </w:t>
      </w:r>
      <w:r w:rsidR="006E00DE">
        <w:rPr>
          <w:rFonts w:ascii="Garamond" w:hAnsi="Garamond"/>
        </w:rPr>
        <w:t>each</w:t>
      </w:r>
      <w:r w:rsidR="008328AB">
        <w:rPr>
          <w:rFonts w:ascii="Garamond" w:hAnsi="Garamond"/>
        </w:rPr>
        <w:t xml:space="preserve"> biomarker</w:t>
      </w:r>
      <w:r w:rsidR="002977EC">
        <w:rPr>
          <w:rFonts w:ascii="Garamond" w:hAnsi="Garamond"/>
        </w:rPr>
        <w:t>, respectively</w:t>
      </w:r>
      <w:r w:rsidR="00C2679E">
        <w:rPr>
          <w:rFonts w:ascii="Garamond" w:hAnsi="Garamond"/>
        </w:rPr>
        <w:t>. To make the interpretation of our coefficient</w:t>
      </w:r>
      <w:r w:rsidR="00642D93">
        <w:rPr>
          <w:rFonts w:ascii="Garamond" w:hAnsi="Garamond"/>
        </w:rPr>
        <w:t>s</w:t>
      </w:r>
      <w:r w:rsidR="00C2679E">
        <w:rPr>
          <w:rFonts w:ascii="Garamond" w:hAnsi="Garamond"/>
        </w:rPr>
        <w:t xml:space="preserve"> of interest easier, we plot the income coefficient</w:t>
      </w:r>
      <w:r w:rsidR="0087075E">
        <w:rPr>
          <w:rFonts w:ascii="Garamond" w:hAnsi="Garamond"/>
        </w:rPr>
        <w:t xml:space="preserve">s </w:t>
      </w:r>
      <w:r w:rsidR="00642D93">
        <w:rPr>
          <w:rFonts w:ascii="Garamond" w:hAnsi="Garamond"/>
        </w:rPr>
        <w:t>for</w:t>
      </w:r>
      <w:r w:rsidR="0087075E">
        <w:rPr>
          <w:rFonts w:ascii="Garamond" w:hAnsi="Garamond"/>
        </w:rPr>
        <w:t xml:space="preserve"> OLS and RIF regression</w:t>
      </w:r>
      <w:r w:rsidR="00642D93">
        <w:rPr>
          <w:rFonts w:ascii="Garamond" w:hAnsi="Garamond"/>
        </w:rPr>
        <w:t>s</w:t>
      </w:r>
      <w:r w:rsidR="00C2679E">
        <w:rPr>
          <w:rFonts w:ascii="Garamond" w:hAnsi="Garamond"/>
        </w:rPr>
        <w:t xml:space="preserve"> </w:t>
      </w:r>
      <w:r w:rsidR="006E00DE" w:rsidRPr="006E00DE">
        <w:rPr>
          <w:rFonts w:ascii="Garamond" w:hAnsi="Garamond"/>
        </w:rPr>
        <w:t>at points</w:t>
      </w:r>
      <w:r w:rsidR="008328AB" w:rsidRPr="006E00DE">
        <w:rPr>
          <w:rFonts w:ascii="Garamond" w:hAnsi="Garamond"/>
        </w:rPr>
        <w:t xml:space="preserve"> of</w:t>
      </w:r>
      <w:r w:rsidR="008328AB" w:rsidRPr="00E24306">
        <w:rPr>
          <w:rFonts w:ascii="Garamond" w:hAnsi="Garamond"/>
        </w:rPr>
        <w:t xml:space="preserve"> the biomarker distribution</w:t>
      </w:r>
      <w:r w:rsidR="006E00DE">
        <w:rPr>
          <w:rFonts w:ascii="Garamond" w:hAnsi="Garamond"/>
        </w:rPr>
        <w:t xml:space="preserve"> (every 5 percentiles)</w:t>
      </w:r>
      <w:r w:rsidR="00642D93">
        <w:rPr>
          <w:rFonts w:ascii="Garamond" w:hAnsi="Garamond"/>
        </w:rPr>
        <w:t>,</w:t>
      </w:r>
      <w:r w:rsidR="00C2679E" w:rsidRPr="00E24306">
        <w:rPr>
          <w:rFonts w:ascii="Garamond" w:hAnsi="Garamond"/>
        </w:rPr>
        <w:t xml:space="preserve"> </w:t>
      </w:r>
      <w:r w:rsidR="0087075E">
        <w:rPr>
          <w:rFonts w:ascii="Garamond" w:hAnsi="Garamond"/>
        </w:rPr>
        <w:t xml:space="preserve">along with </w:t>
      </w:r>
      <w:r w:rsidR="00642D93">
        <w:rPr>
          <w:rFonts w:ascii="Garamond" w:hAnsi="Garamond"/>
        </w:rPr>
        <w:t xml:space="preserve">their </w:t>
      </w:r>
      <w:r w:rsidR="0087075E">
        <w:rPr>
          <w:rFonts w:ascii="Garamond" w:hAnsi="Garamond"/>
        </w:rPr>
        <w:t>95% confidence intervals</w:t>
      </w:r>
      <w:r w:rsidR="00642D93">
        <w:rPr>
          <w:rFonts w:ascii="Garamond" w:hAnsi="Garamond"/>
        </w:rPr>
        <w:t>,</w:t>
      </w:r>
      <w:r w:rsidR="0087075E">
        <w:rPr>
          <w:rFonts w:ascii="Garamond" w:hAnsi="Garamond"/>
        </w:rPr>
        <w:t xml:space="preserve"> </w:t>
      </w:r>
      <w:r w:rsidR="00A444A3" w:rsidRPr="00E24306">
        <w:rPr>
          <w:rFonts w:ascii="Garamond" w:hAnsi="Garamond"/>
        </w:rPr>
        <w:t xml:space="preserve">in </w:t>
      </w:r>
      <w:r w:rsidR="00BA4FC2">
        <w:rPr>
          <w:rFonts w:ascii="Garamond" w:hAnsi="Garamond"/>
        </w:rPr>
        <w:t>F</w:t>
      </w:r>
      <w:r w:rsidR="00A444A3" w:rsidRPr="00E24306">
        <w:rPr>
          <w:rFonts w:ascii="Garamond" w:hAnsi="Garamond"/>
        </w:rPr>
        <w:t xml:space="preserve">igures </w:t>
      </w:r>
      <w:r w:rsidR="00B41E8D">
        <w:rPr>
          <w:rFonts w:ascii="Garamond" w:hAnsi="Garamond"/>
        </w:rPr>
        <w:t>1</w:t>
      </w:r>
      <w:r w:rsidR="00A444A3" w:rsidRPr="00E24306">
        <w:rPr>
          <w:rFonts w:ascii="Garamond" w:hAnsi="Garamond"/>
        </w:rPr>
        <w:t>-</w:t>
      </w:r>
      <w:r w:rsidR="00B41E8D">
        <w:rPr>
          <w:rFonts w:ascii="Garamond" w:hAnsi="Garamond"/>
        </w:rPr>
        <w:t>4</w:t>
      </w:r>
      <w:r w:rsidR="00B1015D">
        <w:rPr>
          <w:rStyle w:val="FootnoteReference"/>
          <w:rFonts w:ascii="Garamond" w:hAnsi="Garamond"/>
        </w:rPr>
        <w:footnoteReference w:id="6"/>
      </w:r>
      <w:r w:rsidR="00BE2476" w:rsidRPr="00E24306">
        <w:rPr>
          <w:rFonts w:ascii="Garamond" w:hAnsi="Garamond"/>
        </w:rPr>
        <w:t>.</w:t>
      </w:r>
    </w:p>
    <w:p w14:paraId="25D39CA6" w14:textId="4FC2AB24" w:rsidR="002977EC" w:rsidRDefault="0066788B" w:rsidP="00D428FB">
      <w:pPr>
        <w:jc w:val="both"/>
        <w:rPr>
          <w:rFonts w:ascii="Garamond" w:hAnsi="Garamond"/>
        </w:rPr>
      </w:pPr>
      <w:r>
        <w:rPr>
          <w:rFonts w:ascii="Garamond" w:hAnsi="Garamond"/>
        </w:rPr>
        <w:t xml:space="preserve">Table </w:t>
      </w:r>
      <w:r w:rsidR="00DF26D8">
        <w:rPr>
          <w:rFonts w:ascii="Garamond" w:hAnsi="Garamond"/>
        </w:rPr>
        <w:t xml:space="preserve">3 shows that the relationship between income and cholesterol is </w:t>
      </w:r>
      <w:r w:rsidR="007C6FFC">
        <w:rPr>
          <w:rFonts w:ascii="Garamond" w:hAnsi="Garamond"/>
        </w:rPr>
        <w:t>somewhat</w:t>
      </w:r>
      <w:r w:rsidR="00DF26D8">
        <w:rPr>
          <w:rFonts w:ascii="Garamond" w:hAnsi="Garamond"/>
        </w:rPr>
        <w:t xml:space="preserve"> complex and that analysis at the mean misses important information. Indeed, </w:t>
      </w:r>
      <w:r w:rsidR="00DA34FF">
        <w:rPr>
          <w:rFonts w:ascii="Garamond" w:hAnsi="Garamond"/>
        </w:rPr>
        <w:t xml:space="preserve">the </w:t>
      </w:r>
      <w:r w:rsidR="00DF26D8">
        <w:rPr>
          <w:rFonts w:ascii="Garamond" w:hAnsi="Garamond"/>
        </w:rPr>
        <w:t>OLS estimate s</w:t>
      </w:r>
      <w:r w:rsidR="00DA34FF">
        <w:rPr>
          <w:rFonts w:ascii="Garamond" w:hAnsi="Garamond"/>
        </w:rPr>
        <w:t xml:space="preserve">hows </w:t>
      </w:r>
      <w:r w:rsidR="00DF26D8">
        <w:rPr>
          <w:rFonts w:ascii="Garamond" w:hAnsi="Garamond"/>
        </w:rPr>
        <w:t>a positive income gradient</w:t>
      </w:r>
      <w:r w:rsidR="00DA34FF">
        <w:rPr>
          <w:rFonts w:ascii="Garamond" w:hAnsi="Garamond"/>
        </w:rPr>
        <w:t xml:space="preserve"> </w:t>
      </w:r>
      <w:r w:rsidR="00DF26D8">
        <w:rPr>
          <w:rFonts w:ascii="Garamond" w:hAnsi="Garamond"/>
        </w:rPr>
        <w:t xml:space="preserve">(column 1), while RIF regressions indicate that income-cholesterol relationship varies at different points of </w:t>
      </w:r>
      <w:r w:rsidR="007742D6">
        <w:rPr>
          <w:rFonts w:ascii="Garamond" w:hAnsi="Garamond"/>
        </w:rPr>
        <w:t xml:space="preserve">the </w:t>
      </w:r>
      <w:r w:rsidR="00DF26D8">
        <w:rPr>
          <w:rFonts w:ascii="Garamond" w:hAnsi="Garamond"/>
        </w:rPr>
        <w:t xml:space="preserve">cholesterol distribution. At </w:t>
      </w:r>
      <w:r w:rsidR="007742D6">
        <w:rPr>
          <w:rFonts w:ascii="Garamond" w:hAnsi="Garamond"/>
        </w:rPr>
        <w:t xml:space="preserve">the </w:t>
      </w:r>
      <w:r w:rsidR="00DF26D8">
        <w:rPr>
          <w:rFonts w:ascii="Garamond" w:hAnsi="Garamond"/>
        </w:rPr>
        <w:t xml:space="preserve">lowest quantiles of </w:t>
      </w:r>
      <w:r>
        <w:rPr>
          <w:rFonts w:ascii="Garamond" w:hAnsi="Garamond"/>
        </w:rPr>
        <w:t>the</w:t>
      </w:r>
      <w:r w:rsidR="00DF26D8">
        <w:rPr>
          <w:rFonts w:ascii="Garamond" w:hAnsi="Garamond"/>
        </w:rPr>
        <w:t xml:space="preserve"> distribution, </w:t>
      </w:r>
      <w:r w:rsidR="007742D6">
        <w:rPr>
          <w:rFonts w:ascii="Garamond" w:hAnsi="Garamond"/>
        </w:rPr>
        <w:t xml:space="preserve">the </w:t>
      </w:r>
      <w:r w:rsidR="00DF26D8">
        <w:rPr>
          <w:rFonts w:ascii="Garamond" w:hAnsi="Garamond"/>
        </w:rPr>
        <w:t>income-cholesterol association is positive, while from</w:t>
      </w:r>
      <w:r>
        <w:rPr>
          <w:rFonts w:ascii="Garamond" w:hAnsi="Garamond"/>
        </w:rPr>
        <w:t xml:space="preserve"> the</w:t>
      </w:r>
      <w:r w:rsidR="00DF26D8">
        <w:rPr>
          <w:rFonts w:ascii="Garamond" w:hAnsi="Garamond"/>
        </w:rPr>
        <w:t xml:space="preserve"> 75</w:t>
      </w:r>
      <w:r w:rsidR="00DF26D8" w:rsidRPr="00DF26D8">
        <w:rPr>
          <w:rFonts w:ascii="Garamond" w:hAnsi="Garamond"/>
          <w:vertAlign w:val="superscript"/>
        </w:rPr>
        <w:t>th</w:t>
      </w:r>
      <w:r w:rsidR="00DF26D8">
        <w:rPr>
          <w:rFonts w:ascii="Garamond" w:hAnsi="Garamond"/>
        </w:rPr>
        <w:t xml:space="preserve"> percentile of cholesterol distribution</w:t>
      </w:r>
      <w:r>
        <w:rPr>
          <w:rFonts w:ascii="Garamond" w:hAnsi="Garamond"/>
        </w:rPr>
        <w:t>,</w:t>
      </w:r>
      <w:r w:rsidR="00DF26D8">
        <w:rPr>
          <w:rFonts w:ascii="Garamond" w:hAnsi="Garamond"/>
        </w:rPr>
        <w:t xml:space="preserve"> the relationship </w:t>
      </w:r>
      <w:r w:rsidR="00DA34FF">
        <w:rPr>
          <w:rFonts w:ascii="Garamond" w:hAnsi="Garamond"/>
        </w:rPr>
        <w:t>is</w:t>
      </w:r>
      <w:r w:rsidR="00DF26D8">
        <w:rPr>
          <w:rFonts w:ascii="Garamond" w:hAnsi="Garamond"/>
        </w:rPr>
        <w:t xml:space="preserve"> negative, albeit</w:t>
      </w:r>
      <w:r w:rsidR="00890088">
        <w:rPr>
          <w:rFonts w:ascii="Garamond" w:hAnsi="Garamond"/>
        </w:rPr>
        <w:t xml:space="preserve"> not statistically significant.</w:t>
      </w:r>
      <w:r w:rsidR="00DF26D8">
        <w:rPr>
          <w:rFonts w:ascii="Garamond" w:hAnsi="Garamond"/>
        </w:rPr>
        <w:t xml:space="preserve"> </w:t>
      </w:r>
      <w:r w:rsidR="00365F95">
        <w:rPr>
          <w:rFonts w:ascii="Garamond" w:hAnsi="Garamond"/>
        </w:rPr>
        <w:t xml:space="preserve">More precisely, </w:t>
      </w:r>
      <w:r w:rsidR="007742D6">
        <w:rPr>
          <w:rFonts w:ascii="Garamond" w:hAnsi="Garamond"/>
        </w:rPr>
        <w:t>F</w:t>
      </w:r>
      <w:r w:rsidR="00DF26D8">
        <w:rPr>
          <w:rFonts w:ascii="Garamond" w:hAnsi="Garamond"/>
        </w:rPr>
        <w:t xml:space="preserve">igure </w:t>
      </w:r>
      <w:r w:rsidR="00B41E8D">
        <w:rPr>
          <w:rFonts w:ascii="Garamond" w:hAnsi="Garamond"/>
        </w:rPr>
        <w:t>1</w:t>
      </w:r>
      <w:r w:rsidR="00DF26D8">
        <w:rPr>
          <w:rFonts w:ascii="Garamond" w:hAnsi="Garamond"/>
        </w:rPr>
        <w:t xml:space="preserve"> shows that the “saddle” point is </w:t>
      </w:r>
      <w:r w:rsidR="006E00DE">
        <w:rPr>
          <w:rFonts w:ascii="Garamond" w:hAnsi="Garamond"/>
        </w:rPr>
        <w:t xml:space="preserve">located </w:t>
      </w:r>
      <w:r>
        <w:rPr>
          <w:rFonts w:ascii="Garamond" w:hAnsi="Garamond"/>
        </w:rPr>
        <w:t>a</w:t>
      </w:r>
      <w:r w:rsidR="00DA34FF">
        <w:rPr>
          <w:rFonts w:ascii="Garamond" w:hAnsi="Garamond"/>
        </w:rPr>
        <w:t>round</w:t>
      </w:r>
      <w:r>
        <w:rPr>
          <w:rFonts w:ascii="Garamond" w:hAnsi="Garamond"/>
        </w:rPr>
        <w:t xml:space="preserve"> </w:t>
      </w:r>
      <w:r w:rsidR="00DF26D8">
        <w:rPr>
          <w:rFonts w:ascii="Garamond" w:hAnsi="Garamond"/>
        </w:rPr>
        <w:t>the 80</w:t>
      </w:r>
      <w:r w:rsidR="00DF26D8" w:rsidRPr="00DF26D8">
        <w:rPr>
          <w:rFonts w:ascii="Garamond" w:hAnsi="Garamond"/>
          <w:vertAlign w:val="superscript"/>
        </w:rPr>
        <w:t>th</w:t>
      </w:r>
      <w:r w:rsidR="00DF26D8">
        <w:rPr>
          <w:rFonts w:ascii="Garamond" w:hAnsi="Garamond"/>
        </w:rPr>
        <w:t xml:space="preserve"> percentile, corresponding to </w:t>
      </w:r>
      <w:r w:rsidR="00DA34FF">
        <w:rPr>
          <w:rFonts w:ascii="Garamond" w:hAnsi="Garamond"/>
        </w:rPr>
        <w:t xml:space="preserve">a </w:t>
      </w:r>
      <w:r w:rsidR="00DF26D8">
        <w:rPr>
          <w:rFonts w:ascii="Garamond" w:hAnsi="Garamond"/>
        </w:rPr>
        <w:t xml:space="preserve">cholesterol </w:t>
      </w:r>
      <w:r w:rsidR="00DA34FF">
        <w:rPr>
          <w:rFonts w:ascii="Garamond" w:hAnsi="Garamond"/>
        </w:rPr>
        <w:t>score of</w:t>
      </w:r>
      <w:r w:rsidR="00DF26D8">
        <w:rPr>
          <w:rFonts w:ascii="Garamond" w:hAnsi="Garamond"/>
        </w:rPr>
        <w:t xml:space="preserve"> 6.5, </w:t>
      </w:r>
      <w:r w:rsidR="00135369">
        <w:rPr>
          <w:rFonts w:ascii="Garamond" w:hAnsi="Garamond"/>
        </w:rPr>
        <w:t xml:space="preserve">(30%) </w:t>
      </w:r>
      <w:r w:rsidR="00DF26D8">
        <w:rPr>
          <w:rFonts w:ascii="Garamond" w:hAnsi="Garamond"/>
        </w:rPr>
        <w:t>higher than the clinical cutpoint</w:t>
      </w:r>
      <w:r w:rsidR="006E00DE">
        <w:rPr>
          <w:rFonts w:ascii="Garamond" w:hAnsi="Garamond"/>
        </w:rPr>
        <w:t xml:space="preserve"> of 5</w:t>
      </w:r>
      <w:r w:rsidR="00DF26D8">
        <w:rPr>
          <w:rFonts w:ascii="Garamond" w:hAnsi="Garamond"/>
        </w:rPr>
        <w:t>.</w:t>
      </w:r>
      <w:r w:rsidR="006E00DE">
        <w:rPr>
          <w:rFonts w:ascii="Garamond" w:hAnsi="Garamond"/>
        </w:rPr>
        <w:t xml:space="preserve"> After this threshold, </w:t>
      </w:r>
      <w:r w:rsidR="007742D6">
        <w:rPr>
          <w:rFonts w:ascii="Garamond" w:hAnsi="Garamond"/>
        </w:rPr>
        <w:t xml:space="preserve">the </w:t>
      </w:r>
      <w:r w:rsidR="006E00DE">
        <w:rPr>
          <w:rFonts w:ascii="Garamond" w:hAnsi="Garamond"/>
        </w:rPr>
        <w:t xml:space="preserve">income </w:t>
      </w:r>
      <w:r w:rsidR="001E70E2">
        <w:rPr>
          <w:rFonts w:ascii="Garamond" w:hAnsi="Garamond"/>
        </w:rPr>
        <w:t>gradient</w:t>
      </w:r>
      <w:r w:rsidR="006E00DE">
        <w:rPr>
          <w:rFonts w:ascii="Garamond" w:hAnsi="Garamond"/>
        </w:rPr>
        <w:t xml:space="preserve"> increase</w:t>
      </w:r>
      <w:r w:rsidR="001E70E2">
        <w:rPr>
          <w:rFonts w:ascii="Garamond" w:hAnsi="Garamond"/>
        </w:rPr>
        <w:t>s</w:t>
      </w:r>
      <w:r w:rsidR="006E00DE">
        <w:rPr>
          <w:rFonts w:ascii="Garamond" w:hAnsi="Garamond"/>
        </w:rPr>
        <w:t xml:space="preserve"> in magnitude and</w:t>
      </w:r>
      <w:r w:rsidR="00642D93">
        <w:rPr>
          <w:rFonts w:ascii="Garamond" w:hAnsi="Garamond"/>
        </w:rPr>
        <w:t xml:space="preserve"> i</w:t>
      </w:r>
      <w:r w:rsidR="00135369" w:rsidRPr="00135369">
        <w:rPr>
          <w:rFonts w:ascii="Garamond" w:hAnsi="Garamond"/>
        </w:rPr>
        <w:t xml:space="preserve">s much higher at the extreme points of the cholesterol distribution </w:t>
      </w:r>
      <w:r w:rsidR="00135369">
        <w:rPr>
          <w:rFonts w:ascii="Garamond" w:hAnsi="Garamond"/>
        </w:rPr>
        <w:t>(i.e. around the 95</w:t>
      </w:r>
      <w:r w:rsidR="00135369" w:rsidRPr="00135369">
        <w:rPr>
          <w:rFonts w:ascii="Garamond" w:hAnsi="Garamond"/>
          <w:vertAlign w:val="superscript"/>
        </w:rPr>
        <w:t>th</w:t>
      </w:r>
      <w:r w:rsidR="00135369">
        <w:rPr>
          <w:rFonts w:ascii="Garamond" w:hAnsi="Garamond"/>
        </w:rPr>
        <w:t xml:space="preserve"> percentile)</w:t>
      </w:r>
      <w:r w:rsidR="006E00DE">
        <w:rPr>
          <w:rFonts w:ascii="Garamond" w:hAnsi="Garamond"/>
        </w:rPr>
        <w:t>.</w:t>
      </w:r>
      <w:r w:rsidR="00365F95">
        <w:rPr>
          <w:rFonts w:ascii="Garamond" w:hAnsi="Garamond"/>
        </w:rPr>
        <w:t xml:space="preserve"> Interestingly, this</w:t>
      </w:r>
      <w:r w:rsidR="001E70E2">
        <w:rPr>
          <w:rFonts w:ascii="Garamond" w:hAnsi="Garamond"/>
        </w:rPr>
        <w:t xml:space="preserve"> pattern</w:t>
      </w:r>
      <w:r w:rsidR="00365F95">
        <w:rPr>
          <w:rFonts w:ascii="Garamond" w:hAnsi="Garamond"/>
        </w:rPr>
        <w:t xml:space="preserve"> indicates that the income gradient </w:t>
      </w:r>
      <w:r w:rsidR="00DA34FF">
        <w:rPr>
          <w:rFonts w:ascii="Garamond" w:hAnsi="Garamond"/>
        </w:rPr>
        <w:t>is larger</w:t>
      </w:r>
      <w:r w:rsidR="00365F95">
        <w:rPr>
          <w:rFonts w:ascii="Garamond" w:hAnsi="Garamond"/>
        </w:rPr>
        <w:t xml:space="preserve"> </w:t>
      </w:r>
      <w:r w:rsidR="00DA34FF">
        <w:rPr>
          <w:rFonts w:ascii="Garamond" w:hAnsi="Garamond"/>
        </w:rPr>
        <w:t>in the range where</w:t>
      </w:r>
      <w:r w:rsidR="00365F95">
        <w:rPr>
          <w:rFonts w:ascii="Garamond" w:hAnsi="Garamond"/>
        </w:rPr>
        <w:t xml:space="preserve"> cholesterol levels </w:t>
      </w:r>
      <w:r w:rsidR="007742D6">
        <w:rPr>
          <w:rFonts w:ascii="Garamond" w:hAnsi="Garamond"/>
        </w:rPr>
        <w:t>exceed</w:t>
      </w:r>
      <w:r w:rsidR="00365F95">
        <w:rPr>
          <w:rFonts w:ascii="Garamond" w:hAnsi="Garamond"/>
        </w:rPr>
        <w:t xml:space="preserve"> the normal range and </w:t>
      </w:r>
      <w:r w:rsidR="007742D6">
        <w:rPr>
          <w:rFonts w:ascii="Garamond" w:hAnsi="Garamond"/>
        </w:rPr>
        <w:t>are</w:t>
      </w:r>
      <w:r w:rsidR="006E00DE">
        <w:rPr>
          <w:rFonts w:ascii="Garamond" w:hAnsi="Garamond"/>
        </w:rPr>
        <w:t xml:space="preserve"> indicative</w:t>
      </w:r>
      <w:r w:rsidR="00365F95">
        <w:rPr>
          <w:rFonts w:ascii="Garamond" w:hAnsi="Garamond"/>
        </w:rPr>
        <w:t xml:space="preserve"> of a disease state.</w:t>
      </w:r>
      <w:r w:rsidR="002977EC">
        <w:rPr>
          <w:rFonts w:ascii="Garamond" w:hAnsi="Garamond"/>
        </w:rPr>
        <w:t xml:space="preserve"> </w:t>
      </w:r>
    </w:p>
    <w:p w14:paraId="422D579C" w14:textId="757FD1B8" w:rsidR="00365F95" w:rsidRDefault="00365F95" w:rsidP="00D428FB">
      <w:pPr>
        <w:jc w:val="both"/>
        <w:rPr>
          <w:rFonts w:ascii="Garamond" w:hAnsi="Garamond"/>
        </w:rPr>
      </w:pPr>
      <w:r>
        <w:rPr>
          <w:rFonts w:ascii="Garamond" w:hAnsi="Garamond"/>
        </w:rPr>
        <w:lastRenderedPageBreak/>
        <w:t xml:space="preserve">With respect to the other covariates, we find higher cholesterol levels among </w:t>
      </w:r>
      <w:r w:rsidR="00BA4FC2">
        <w:rPr>
          <w:rFonts w:ascii="Garamond" w:hAnsi="Garamond"/>
        </w:rPr>
        <w:t xml:space="preserve">the </w:t>
      </w:r>
      <w:r>
        <w:rPr>
          <w:rFonts w:ascii="Garamond" w:hAnsi="Garamond"/>
        </w:rPr>
        <w:t>elderly, (e</w:t>
      </w:r>
      <w:r w:rsidR="00BA4FC2">
        <w:rPr>
          <w:rFonts w:ascii="Garamond" w:hAnsi="Garamond"/>
        </w:rPr>
        <w:t>s</w:t>
      </w:r>
      <w:r>
        <w:rPr>
          <w:rFonts w:ascii="Garamond" w:hAnsi="Garamond"/>
        </w:rPr>
        <w:t xml:space="preserve">pecially </w:t>
      </w:r>
      <w:r w:rsidR="00BA4FC2">
        <w:rPr>
          <w:rFonts w:ascii="Garamond" w:hAnsi="Garamond"/>
        </w:rPr>
        <w:t>women</w:t>
      </w:r>
      <w:r>
        <w:rPr>
          <w:rFonts w:ascii="Garamond" w:hAnsi="Garamond"/>
        </w:rPr>
        <w:t xml:space="preserve">) and a </w:t>
      </w:r>
      <w:r w:rsidR="00DA34FF">
        <w:rPr>
          <w:rFonts w:ascii="Garamond" w:hAnsi="Garamond"/>
        </w:rPr>
        <w:t>strong</w:t>
      </w:r>
      <w:r>
        <w:rPr>
          <w:rFonts w:ascii="Garamond" w:hAnsi="Garamond"/>
        </w:rPr>
        <w:t xml:space="preserve"> </w:t>
      </w:r>
      <w:r w:rsidR="00BA4FC2">
        <w:rPr>
          <w:rFonts w:ascii="Garamond" w:hAnsi="Garamond"/>
        </w:rPr>
        <w:t>association with</w:t>
      </w:r>
      <w:r>
        <w:rPr>
          <w:rFonts w:ascii="Garamond" w:hAnsi="Garamond"/>
        </w:rPr>
        <w:t xml:space="preserve"> education at all levels of </w:t>
      </w:r>
      <w:r w:rsidR="00DA34FF">
        <w:rPr>
          <w:rFonts w:ascii="Garamond" w:hAnsi="Garamond"/>
        </w:rPr>
        <w:t xml:space="preserve">the </w:t>
      </w:r>
      <w:r>
        <w:rPr>
          <w:rFonts w:ascii="Garamond" w:hAnsi="Garamond"/>
        </w:rPr>
        <w:t xml:space="preserve">cholesterol distribution. However, while </w:t>
      </w:r>
      <w:r w:rsidR="00BA4FC2">
        <w:rPr>
          <w:rFonts w:ascii="Garamond" w:hAnsi="Garamond"/>
        </w:rPr>
        <w:t xml:space="preserve">the </w:t>
      </w:r>
      <w:r>
        <w:rPr>
          <w:rFonts w:ascii="Garamond" w:hAnsi="Garamond"/>
        </w:rPr>
        <w:t xml:space="preserve">age </w:t>
      </w:r>
      <w:r w:rsidR="00DA34FF">
        <w:rPr>
          <w:rFonts w:ascii="Garamond" w:hAnsi="Garamond"/>
        </w:rPr>
        <w:t>gradient</w:t>
      </w:r>
      <w:r>
        <w:rPr>
          <w:rFonts w:ascii="Garamond" w:hAnsi="Garamond"/>
        </w:rPr>
        <w:t xml:space="preserve"> appears to be marginally decreasing along the cholesterol distribution, </w:t>
      </w:r>
      <w:r w:rsidR="00DA34FF">
        <w:rPr>
          <w:rFonts w:ascii="Garamond" w:hAnsi="Garamond"/>
        </w:rPr>
        <w:t xml:space="preserve">the </w:t>
      </w:r>
      <w:r>
        <w:rPr>
          <w:rFonts w:ascii="Garamond" w:hAnsi="Garamond"/>
        </w:rPr>
        <w:t xml:space="preserve">education </w:t>
      </w:r>
      <w:r w:rsidR="00DA34FF">
        <w:rPr>
          <w:rFonts w:ascii="Garamond" w:hAnsi="Garamond"/>
        </w:rPr>
        <w:t>gradient</w:t>
      </w:r>
      <w:r>
        <w:rPr>
          <w:rFonts w:ascii="Garamond" w:hAnsi="Garamond"/>
        </w:rPr>
        <w:t xml:space="preserve"> is marginally increasing: the cholesterol </w:t>
      </w:r>
      <w:r w:rsidR="0066788B">
        <w:rPr>
          <w:rFonts w:ascii="Garamond" w:hAnsi="Garamond"/>
        </w:rPr>
        <w:t>gradient</w:t>
      </w:r>
      <w:r>
        <w:rPr>
          <w:rFonts w:ascii="Garamond" w:hAnsi="Garamond"/>
        </w:rPr>
        <w:t xml:space="preserve"> between educated (at any level) and individuals without formal education</w:t>
      </w:r>
      <w:r w:rsidR="002977EC">
        <w:rPr>
          <w:rFonts w:ascii="Garamond" w:hAnsi="Garamond"/>
        </w:rPr>
        <w:t xml:space="preserve"> (reference category)</w:t>
      </w:r>
      <w:r>
        <w:rPr>
          <w:rFonts w:ascii="Garamond" w:hAnsi="Garamond"/>
        </w:rPr>
        <w:t xml:space="preserve"> increases along the cholesterol distribution and reach its peak a</w:t>
      </w:r>
      <w:r w:rsidR="00DA34FF">
        <w:rPr>
          <w:rFonts w:ascii="Garamond" w:hAnsi="Garamond"/>
        </w:rPr>
        <w:t>round</w:t>
      </w:r>
      <w:r>
        <w:rPr>
          <w:rFonts w:ascii="Garamond" w:hAnsi="Garamond"/>
        </w:rPr>
        <w:t xml:space="preserve"> the 95</w:t>
      </w:r>
      <w:r w:rsidRPr="00365F95">
        <w:rPr>
          <w:rFonts w:ascii="Garamond" w:hAnsi="Garamond"/>
          <w:vertAlign w:val="superscript"/>
        </w:rPr>
        <w:t>th</w:t>
      </w:r>
      <w:r>
        <w:rPr>
          <w:rFonts w:ascii="Garamond" w:hAnsi="Garamond"/>
        </w:rPr>
        <w:t xml:space="preserve"> percentile of the cholesterol distribution.</w:t>
      </w:r>
    </w:p>
    <w:p w14:paraId="6086C433" w14:textId="63A58CD3" w:rsidR="00D05F7B" w:rsidRDefault="00B30BCD" w:rsidP="00D428FB">
      <w:pPr>
        <w:jc w:val="both"/>
        <w:rPr>
          <w:rFonts w:ascii="Garamond" w:hAnsi="Garamond"/>
        </w:rPr>
      </w:pPr>
      <w:r>
        <w:rPr>
          <w:rFonts w:ascii="Garamond" w:hAnsi="Garamond"/>
        </w:rPr>
        <w:t>T</w:t>
      </w:r>
      <w:r w:rsidR="00365F95">
        <w:rPr>
          <w:rFonts w:ascii="Garamond" w:hAnsi="Garamond"/>
        </w:rPr>
        <w:t>he association between income and glycated haemoglobin (</w:t>
      </w:r>
      <w:r w:rsidR="00D05F7B">
        <w:rPr>
          <w:rFonts w:ascii="Garamond" w:hAnsi="Garamond"/>
        </w:rPr>
        <w:t>GH</w:t>
      </w:r>
      <w:r w:rsidR="00365F95">
        <w:rPr>
          <w:rFonts w:ascii="Garamond" w:hAnsi="Garamond"/>
        </w:rPr>
        <w:t xml:space="preserve">) is negative at all quantiles of </w:t>
      </w:r>
      <w:r w:rsidR="00485996">
        <w:rPr>
          <w:rFonts w:ascii="Garamond" w:hAnsi="Garamond"/>
        </w:rPr>
        <w:t xml:space="preserve">the </w:t>
      </w:r>
      <w:r w:rsidR="00D05F7B">
        <w:rPr>
          <w:rFonts w:ascii="Garamond" w:hAnsi="Garamond"/>
        </w:rPr>
        <w:t xml:space="preserve">distribution but it varies highly in magnitude along the distribution. </w:t>
      </w:r>
      <w:r w:rsidR="002977EC">
        <w:rPr>
          <w:rFonts w:ascii="Garamond" w:hAnsi="Garamond"/>
        </w:rPr>
        <w:t>I</w:t>
      </w:r>
      <w:r w:rsidR="0066788B">
        <w:rPr>
          <w:rFonts w:ascii="Garamond" w:hAnsi="Garamond"/>
        </w:rPr>
        <w:t xml:space="preserve">n this case, </w:t>
      </w:r>
      <w:r w:rsidR="00DA34FF">
        <w:rPr>
          <w:rFonts w:ascii="Garamond" w:hAnsi="Garamond"/>
        </w:rPr>
        <w:t xml:space="preserve">the </w:t>
      </w:r>
      <w:r w:rsidR="00D05F7B">
        <w:rPr>
          <w:rFonts w:ascii="Garamond" w:hAnsi="Garamond"/>
        </w:rPr>
        <w:t>OLS estimate provide</w:t>
      </w:r>
      <w:r w:rsidR="00DA34FF">
        <w:rPr>
          <w:rFonts w:ascii="Garamond" w:hAnsi="Garamond"/>
        </w:rPr>
        <w:t>s</w:t>
      </w:r>
      <w:r w:rsidR="00D05F7B">
        <w:rPr>
          <w:rFonts w:ascii="Garamond" w:hAnsi="Garamond"/>
        </w:rPr>
        <w:t xml:space="preserve"> </w:t>
      </w:r>
      <w:r w:rsidR="002977EC">
        <w:rPr>
          <w:rFonts w:ascii="Garamond" w:hAnsi="Garamond"/>
        </w:rPr>
        <w:t>a poor</w:t>
      </w:r>
      <w:r w:rsidR="00D05F7B">
        <w:rPr>
          <w:rFonts w:ascii="Garamond" w:hAnsi="Garamond"/>
          <w:i/>
        </w:rPr>
        <w:t xml:space="preserve"> </w:t>
      </w:r>
      <w:r w:rsidR="00E474A5">
        <w:rPr>
          <w:rFonts w:ascii="Garamond" w:hAnsi="Garamond"/>
        </w:rPr>
        <w:t>reflection</w:t>
      </w:r>
      <w:r w:rsidR="008F4201">
        <w:rPr>
          <w:rFonts w:ascii="Garamond" w:hAnsi="Garamond"/>
        </w:rPr>
        <w:t xml:space="preserve"> of</w:t>
      </w:r>
      <w:r w:rsidR="00D05F7B">
        <w:rPr>
          <w:rFonts w:ascii="Garamond" w:hAnsi="Garamond"/>
        </w:rPr>
        <w:t xml:space="preserve"> this </w:t>
      </w:r>
      <w:r w:rsidR="00E474A5">
        <w:rPr>
          <w:rFonts w:ascii="Garamond" w:hAnsi="Garamond"/>
        </w:rPr>
        <w:t>pattern</w:t>
      </w:r>
      <w:r w:rsidR="00D05F7B">
        <w:rPr>
          <w:rFonts w:ascii="Garamond" w:hAnsi="Garamond"/>
        </w:rPr>
        <w:t xml:space="preserve"> (column 1 of </w:t>
      </w:r>
      <w:r w:rsidR="00BA4FC2">
        <w:rPr>
          <w:rFonts w:ascii="Garamond" w:hAnsi="Garamond"/>
        </w:rPr>
        <w:t>T</w:t>
      </w:r>
      <w:r w:rsidR="00D05F7B">
        <w:rPr>
          <w:rFonts w:ascii="Garamond" w:hAnsi="Garamond"/>
        </w:rPr>
        <w:t>able 4), while RIF estimates (</w:t>
      </w:r>
      <w:r w:rsidR="002977EC">
        <w:rPr>
          <w:rFonts w:ascii="Garamond" w:hAnsi="Garamond"/>
        </w:rPr>
        <w:t xml:space="preserve">columns 2-5 of </w:t>
      </w:r>
      <w:r w:rsidR="00BA4FC2">
        <w:rPr>
          <w:rFonts w:ascii="Garamond" w:hAnsi="Garamond"/>
        </w:rPr>
        <w:t>T</w:t>
      </w:r>
      <w:r w:rsidR="007C6FFC">
        <w:rPr>
          <w:rFonts w:ascii="Garamond" w:hAnsi="Garamond"/>
        </w:rPr>
        <w:t>able 4) show</w:t>
      </w:r>
      <w:r w:rsidR="00D05F7B">
        <w:rPr>
          <w:rFonts w:ascii="Garamond" w:hAnsi="Garamond"/>
        </w:rPr>
        <w:t xml:space="preserve"> that the income coefficient at 95</w:t>
      </w:r>
      <w:r w:rsidR="00D05F7B" w:rsidRPr="00D05F7B">
        <w:rPr>
          <w:rFonts w:ascii="Garamond" w:hAnsi="Garamond"/>
          <w:vertAlign w:val="superscript"/>
        </w:rPr>
        <w:t>th</w:t>
      </w:r>
      <w:r w:rsidR="00D05F7B">
        <w:rPr>
          <w:rFonts w:ascii="Garamond" w:hAnsi="Garamond"/>
        </w:rPr>
        <w:t xml:space="preserve"> percentile of GH distribution is ten times higher than the income coefficient at the 25</w:t>
      </w:r>
      <w:r w:rsidR="00D05F7B" w:rsidRPr="00D05F7B">
        <w:rPr>
          <w:rFonts w:ascii="Garamond" w:hAnsi="Garamond"/>
          <w:vertAlign w:val="superscript"/>
        </w:rPr>
        <w:t>th</w:t>
      </w:r>
      <w:r w:rsidR="00D05F7B">
        <w:rPr>
          <w:rFonts w:ascii="Garamond" w:hAnsi="Garamond"/>
        </w:rPr>
        <w:t xml:space="preserve"> percentile</w:t>
      </w:r>
      <w:r w:rsidR="001E70E2">
        <w:rPr>
          <w:rFonts w:ascii="Garamond" w:hAnsi="Garamond"/>
        </w:rPr>
        <w:t xml:space="preserve"> (-0.204 vs -0.025)</w:t>
      </w:r>
      <w:r w:rsidR="00D05F7B">
        <w:rPr>
          <w:rFonts w:ascii="Garamond" w:hAnsi="Garamond"/>
        </w:rPr>
        <w:t xml:space="preserve">. Figure </w:t>
      </w:r>
      <w:r w:rsidR="00B41E8D">
        <w:rPr>
          <w:rFonts w:ascii="Garamond" w:hAnsi="Garamond"/>
        </w:rPr>
        <w:t>2</w:t>
      </w:r>
      <w:r w:rsidR="00D05F7B">
        <w:rPr>
          <w:rFonts w:ascii="Garamond" w:hAnsi="Garamond"/>
        </w:rPr>
        <w:t xml:space="preserve"> shows that </w:t>
      </w:r>
      <w:r w:rsidR="00DA34FF">
        <w:rPr>
          <w:rFonts w:ascii="Garamond" w:hAnsi="Garamond"/>
        </w:rPr>
        <w:t xml:space="preserve">the </w:t>
      </w:r>
      <w:r w:rsidR="00D05F7B">
        <w:rPr>
          <w:rFonts w:ascii="Garamond" w:hAnsi="Garamond"/>
        </w:rPr>
        <w:t xml:space="preserve">income gradient reaches </w:t>
      </w:r>
      <w:r w:rsidR="00DA34FF">
        <w:rPr>
          <w:rFonts w:ascii="Garamond" w:hAnsi="Garamond"/>
        </w:rPr>
        <w:t>its</w:t>
      </w:r>
      <w:r w:rsidR="00D05F7B">
        <w:rPr>
          <w:rFonts w:ascii="Garamond" w:hAnsi="Garamond"/>
        </w:rPr>
        <w:t xml:space="preserve"> peak a</w:t>
      </w:r>
      <w:r w:rsidR="00DA34FF">
        <w:rPr>
          <w:rFonts w:ascii="Garamond" w:hAnsi="Garamond"/>
        </w:rPr>
        <w:t>round</w:t>
      </w:r>
      <w:r w:rsidR="00D05F7B">
        <w:rPr>
          <w:rFonts w:ascii="Garamond" w:hAnsi="Garamond"/>
        </w:rPr>
        <w:t xml:space="preserve"> the 95</w:t>
      </w:r>
      <w:r w:rsidR="00D05F7B" w:rsidRPr="00D05F7B">
        <w:rPr>
          <w:rFonts w:ascii="Garamond" w:hAnsi="Garamond"/>
          <w:vertAlign w:val="superscript"/>
        </w:rPr>
        <w:t>th</w:t>
      </w:r>
      <w:r w:rsidR="00D05F7B">
        <w:rPr>
          <w:rFonts w:ascii="Garamond" w:hAnsi="Garamond"/>
        </w:rPr>
        <w:t xml:space="preserve"> percentile of the GH distribution, corresponding to the clinical diagnosis of diabetes (GH &gt;6.5). </w:t>
      </w:r>
      <w:r>
        <w:rPr>
          <w:rFonts w:ascii="Garamond" w:hAnsi="Garamond"/>
        </w:rPr>
        <w:t xml:space="preserve">A similar pattern is observed also for the other covariates: both education and age </w:t>
      </w:r>
      <w:r w:rsidR="00E474A5">
        <w:rPr>
          <w:rFonts w:ascii="Garamond" w:hAnsi="Garamond"/>
        </w:rPr>
        <w:t>gradient</w:t>
      </w:r>
      <w:r>
        <w:rPr>
          <w:rFonts w:ascii="Garamond" w:hAnsi="Garamond"/>
        </w:rPr>
        <w:t>s increase at the highest quantiles of GH distribution</w:t>
      </w:r>
      <w:r w:rsidR="0066788B">
        <w:rPr>
          <w:rFonts w:ascii="Garamond" w:hAnsi="Garamond"/>
        </w:rPr>
        <w:t xml:space="preserve"> and they are particularly high around the clinical threshold</w:t>
      </w:r>
      <w:r>
        <w:rPr>
          <w:rFonts w:ascii="Garamond" w:hAnsi="Garamond"/>
        </w:rPr>
        <w:t>.</w:t>
      </w:r>
    </w:p>
    <w:p w14:paraId="2D21D223" w14:textId="230DD1E5" w:rsidR="00B30BCD" w:rsidRDefault="00135369" w:rsidP="00D428FB">
      <w:pPr>
        <w:jc w:val="both"/>
        <w:rPr>
          <w:rFonts w:ascii="Garamond" w:hAnsi="Garamond"/>
        </w:rPr>
      </w:pPr>
      <w:r w:rsidRPr="00135369">
        <w:rPr>
          <w:rFonts w:ascii="Garamond" w:hAnsi="Garamond"/>
        </w:rPr>
        <w:t xml:space="preserve">The fibrinogen-income relationship is shown in </w:t>
      </w:r>
      <w:r w:rsidR="00642D93">
        <w:rPr>
          <w:rFonts w:ascii="Garamond" w:hAnsi="Garamond"/>
        </w:rPr>
        <w:t>T</w:t>
      </w:r>
      <w:r w:rsidRPr="00135369">
        <w:rPr>
          <w:rFonts w:ascii="Garamond" w:hAnsi="Garamond"/>
        </w:rPr>
        <w:t xml:space="preserve">able 5 (and </w:t>
      </w:r>
      <w:r w:rsidR="00642D93">
        <w:rPr>
          <w:rFonts w:ascii="Garamond" w:hAnsi="Garamond"/>
        </w:rPr>
        <w:t>F</w:t>
      </w:r>
      <w:r w:rsidRPr="00135369">
        <w:rPr>
          <w:rFonts w:ascii="Garamond" w:hAnsi="Garamond"/>
        </w:rPr>
        <w:t xml:space="preserve">igure 3). Similarly to glycated haemoglobin, we find a negative association at all quantiles of the </w:t>
      </w:r>
      <w:r>
        <w:rPr>
          <w:rFonts w:ascii="Garamond" w:hAnsi="Garamond"/>
        </w:rPr>
        <w:t>fibrinogen</w:t>
      </w:r>
      <w:r w:rsidRPr="00135369">
        <w:rPr>
          <w:rFonts w:ascii="Garamond" w:hAnsi="Garamond"/>
        </w:rPr>
        <w:t xml:space="preserve"> distribution and an higher income gradient at </w:t>
      </w:r>
      <w:r>
        <w:rPr>
          <w:rFonts w:ascii="Garamond" w:hAnsi="Garamond"/>
        </w:rPr>
        <w:t xml:space="preserve">the </w:t>
      </w:r>
      <w:r w:rsidR="00890088">
        <w:rPr>
          <w:rFonts w:ascii="Garamond" w:hAnsi="Garamond"/>
        </w:rPr>
        <w:t>top quantiles.</w:t>
      </w:r>
      <w:r w:rsidRPr="00135369">
        <w:rPr>
          <w:rFonts w:ascii="Garamond" w:hAnsi="Garamond"/>
        </w:rPr>
        <w:t xml:space="preserve"> However,  in the case of fibrinogen, we observe two large jumps at the 85th and at the 90th percentile of the distribution. These are associated with fibrinogen values (3.7 and 4) which are 23% and 33% higher than the upper bound of the normal range (</w:t>
      </w:r>
      <w:r>
        <w:rPr>
          <w:rFonts w:ascii="Garamond" w:hAnsi="Garamond"/>
        </w:rPr>
        <w:t xml:space="preserve">equal to </w:t>
      </w:r>
      <w:r w:rsidR="00890088">
        <w:rPr>
          <w:rFonts w:ascii="Garamond" w:hAnsi="Garamond"/>
        </w:rPr>
        <w:t>3), respectively.</w:t>
      </w:r>
      <w:r w:rsidRPr="00135369">
        <w:rPr>
          <w:rFonts w:ascii="Garamond" w:hAnsi="Garamond"/>
        </w:rPr>
        <w:t xml:space="preserve"> These very high fibrinogen levels are generally indicative of many important inflammatory diseases and negative acute shocks in health status. This might explain the jumps in the income-fibrinogen association and it is somewhat different from the other biomarkers analy</w:t>
      </w:r>
      <w:r w:rsidR="00642D93">
        <w:rPr>
          <w:rFonts w:ascii="Garamond" w:hAnsi="Garamond"/>
        </w:rPr>
        <w:t>s</w:t>
      </w:r>
      <w:r w:rsidRPr="00135369">
        <w:rPr>
          <w:rFonts w:ascii="Garamond" w:hAnsi="Garamond"/>
        </w:rPr>
        <w:t>ed which are more related to chronic conditions</w:t>
      </w:r>
      <w:r>
        <w:rPr>
          <w:rFonts w:ascii="Garamond" w:hAnsi="Garamond"/>
        </w:rPr>
        <w:t xml:space="preserve">. </w:t>
      </w:r>
      <w:r w:rsidR="001C5A23">
        <w:rPr>
          <w:rFonts w:ascii="Garamond" w:hAnsi="Garamond"/>
        </w:rPr>
        <w:t xml:space="preserve">However, </w:t>
      </w:r>
      <w:r>
        <w:rPr>
          <w:rFonts w:ascii="Garamond" w:hAnsi="Garamond"/>
        </w:rPr>
        <w:t xml:space="preserve">with the exception of these two jumps, </w:t>
      </w:r>
      <w:r w:rsidR="001C5A23">
        <w:rPr>
          <w:rFonts w:ascii="Garamond" w:hAnsi="Garamond"/>
        </w:rPr>
        <w:t xml:space="preserve">the </w:t>
      </w:r>
      <w:r w:rsidR="007C6FFC">
        <w:rPr>
          <w:rFonts w:ascii="Garamond" w:hAnsi="Garamond"/>
        </w:rPr>
        <w:t>income gradient</w:t>
      </w:r>
      <w:r w:rsidR="001C5A23">
        <w:rPr>
          <w:rFonts w:ascii="Garamond" w:hAnsi="Garamond"/>
        </w:rPr>
        <w:t xml:space="preserve"> is smoothe</w:t>
      </w:r>
      <w:r w:rsidR="00BA4FC2">
        <w:rPr>
          <w:rFonts w:ascii="Garamond" w:hAnsi="Garamond"/>
        </w:rPr>
        <w:t>r</w:t>
      </w:r>
      <w:r w:rsidR="001C5A23">
        <w:rPr>
          <w:rFonts w:ascii="Garamond" w:hAnsi="Garamond"/>
        </w:rPr>
        <w:t xml:space="preserve"> </w:t>
      </w:r>
      <w:r>
        <w:rPr>
          <w:rFonts w:ascii="Garamond" w:hAnsi="Garamond"/>
        </w:rPr>
        <w:t xml:space="preserve">than the other biomarkers: </w:t>
      </w:r>
      <w:r w:rsidR="001E70E2">
        <w:rPr>
          <w:rFonts w:ascii="Garamond" w:hAnsi="Garamond"/>
        </w:rPr>
        <w:t xml:space="preserve">the income coefficient </w:t>
      </w:r>
      <w:r w:rsidR="001C5A23">
        <w:rPr>
          <w:rFonts w:ascii="Garamond" w:hAnsi="Garamond"/>
        </w:rPr>
        <w:t>at the 95</w:t>
      </w:r>
      <w:r w:rsidR="001C5A23" w:rsidRPr="001C5A23">
        <w:rPr>
          <w:rFonts w:ascii="Garamond" w:hAnsi="Garamond"/>
          <w:vertAlign w:val="superscript"/>
        </w:rPr>
        <w:t>th</w:t>
      </w:r>
      <w:r w:rsidR="001C5A23">
        <w:rPr>
          <w:rFonts w:ascii="Garamond" w:hAnsi="Garamond"/>
        </w:rPr>
        <w:t xml:space="preserve"> percentile is “only” twice as much as the income coefficient at the 25</w:t>
      </w:r>
      <w:r w:rsidR="001C5A23" w:rsidRPr="001C5A23">
        <w:rPr>
          <w:rFonts w:ascii="Garamond" w:hAnsi="Garamond"/>
          <w:vertAlign w:val="superscript"/>
        </w:rPr>
        <w:t>th</w:t>
      </w:r>
      <w:r w:rsidR="001C5A23">
        <w:rPr>
          <w:rFonts w:ascii="Garamond" w:hAnsi="Garamond"/>
        </w:rPr>
        <w:t xml:space="preserve"> percentile</w:t>
      </w:r>
      <w:r w:rsidR="001E70E2">
        <w:rPr>
          <w:rFonts w:ascii="Garamond" w:hAnsi="Garamond"/>
        </w:rPr>
        <w:t xml:space="preserve"> (-0.067 vs -0.028)</w:t>
      </w:r>
      <w:r w:rsidR="006C4062">
        <w:rPr>
          <w:rFonts w:ascii="Garamond" w:hAnsi="Garamond"/>
        </w:rPr>
        <w:t>. In this case,</w:t>
      </w:r>
      <w:r w:rsidR="001C5A23">
        <w:rPr>
          <w:rFonts w:ascii="Garamond" w:hAnsi="Garamond"/>
        </w:rPr>
        <w:t xml:space="preserve"> OLS regression (column 1 of </w:t>
      </w:r>
      <w:r w:rsidR="00BA4FC2">
        <w:rPr>
          <w:rFonts w:ascii="Garamond" w:hAnsi="Garamond"/>
        </w:rPr>
        <w:t>T</w:t>
      </w:r>
      <w:r w:rsidR="001C5A23">
        <w:rPr>
          <w:rFonts w:ascii="Garamond" w:hAnsi="Garamond"/>
        </w:rPr>
        <w:t xml:space="preserve">able 5) provides a </w:t>
      </w:r>
      <w:r w:rsidR="00E474A5">
        <w:rPr>
          <w:rFonts w:ascii="Garamond" w:hAnsi="Garamond"/>
        </w:rPr>
        <w:t>closer</w:t>
      </w:r>
      <w:r w:rsidR="001C5A23">
        <w:rPr>
          <w:rFonts w:ascii="Garamond" w:hAnsi="Garamond"/>
        </w:rPr>
        <w:t xml:space="preserve"> approximation of th</w:t>
      </w:r>
      <w:r w:rsidR="001E70E2">
        <w:rPr>
          <w:rFonts w:ascii="Garamond" w:hAnsi="Garamond"/>
        </w:rPr>
        <w:t>e average</w:t>
      </w:r>
      <w:r w:rsidR="001C5A23">
        <w:rPr>
          <w:rFonts w:ascii="Garamond" w:hAnsi="Garamond"/>
        </w:rPr>
        <w:t xml:space="preserve"> relationship</w:t>
      </w:r>
      <w:r w:rsidR="001E70E2">
        <w:rPr>
          <w:rFonts w:ascii="Garamond" w:hAnsi="Garamond"/>
        </w:rPr>
        <w:t xml:space="preserve"> between income and fibrinogen (</w:t>
      </w:r>
      <w:r w:rsidR="00BA4FC2">
        <w:rPr>
          <w:rFonts w:ascii="Garamond" w:hAnsi="Garamond"/>
        </w:rPr>
        <w:t xml:space="preserve">the </w:t>
      </w:r>
      <w:r w:rsidR="001E70E2">
        <w:rPr>
          <w:rFonts w:ascii="Garamond" w:hAnsi="Garamond"/>
        </w:rPr>
        <w:t>OLS coefficient is -0.039)</w:t>
      </w:r>
      <w:r w:rsidR="00890088">
        <w:rPr>
          <w:rFonts w:ascii="Garamond" w:hAnsi="Garamond"/>
        </w:rPr>
        <w:t xml:space="preserve">. </w:t>
      </w:r>
      <w:r w:rsidR="001C5A23">
        <w:rPr>
          <w:rFonts w:ascii="Garamond" w:hAnsi="Garamond"/>
        </w:rPr>
        <w:t xml:space="preserve">As far as the other variables are concerned, </w:t>
      </w:r>
      <w:r w:rsidR="00BA4FC2">
        <w:rPr>
          <w:rFonts w:ascii="Garamond" w:hAnsi="Garamond"/>
        </w:rPr>
        <w:t>T</w:t>
      </w:r>
      <w:r w:rsidR="001C5A23">
        <w:rPr>
          <w:rFonts w:ascii="Garamond" w:hAnsi="Garamond"/>
        </w:rPr>
        <w:t xml:space="preserve">able </w:t>
      </w:r>
      <w:r w:rsidR="00B30BCD">
        <w:rPr>
          <w:rFonts w:ascii="Garamond" w:hAnsi="Garamond"/>
        </w:rPr>
        <w:t>5</w:t>
      </w:r>
      <w:r w:rsidR="001C5A23">
        <w:rPr>
          <w:rFonts w:ascii="Garamond" w:hAnsi="Garamond"/>
        </w:rPr>
        <w:t xml:space="preserve"> shows that both age and education </w:t>
      </w:r>
      <w:r w:rsidR="00E474A5">
        <w:rPr>
          <w:rFonts w:ascii="Garamond" w:hAnsi="Garamond"/>
        </w:rPr>
        <w:t>gradient</w:t>
      </w:r>
      <w:r w:rsidR="001C5A23">
        <w:rPr>
          <w:rFonts w:ascii="Garamond" w:hAnsi="Garamond"/>
        </w:rPr>
        <w:t>s increase along the distribution</w:t>
      </w:r>
      <w:r w:rsidR="00AA2C4C">
        <w:rPr>
          <w:rFonts w:ascii="Garamond" w:hAnsi="Garamond"/>
        </w:rPr>
        <w:t xml:space="preserve"> of fibrinogen</w:t>
      </w:r>
      <w:r w:rsidR="001C5A23">
        <w:rPr>
          <w:rFonts w:ascii="Garamond" w:hAnsi="Garamond"/>
        </w:rPr>
        <w:t>, in a manner consistent with the other biomarkers</w:t>
      </w:r>
      <w:r w:rsidR="001E70E2">
        <w:rPr>
          <w:rFonts w:ascii="Garamond" w:hAnsi="Garamond"/>
        </w:rPr>
        <w:t xml:space="preserve"> analy</w:t>
      </w:r>
      <w:r w:rsidR="00485996">
        <w:rPr>
          <w:rFonts w:ascii="Garamond" w:hAnsi="Garamond"/>
        </w:rPr>
        <w:t>s</w:t>
      </w:r>
      <w:r w:rsidR="001E70E2">
        <w:rPr>
          <w:rFonts w:ascii="Garamond" w:hAnsi="Garamond"/>
        </w:rPr>
        <w:t>ed</w:t>
      </w:r>
      <w:r w:rsidR="001C5A23">
        <w:rPr>
          <w:rFonts w:ascii="Garamond" w:hAnsi="Garamond"/>
        </w:rPr>
        <w:t>.</w:t>
      </w:r>
    </w:p>
    <w:p w14:paraId="05875AFD" w14:textId="5DBB0BAB" w:rsidR="00EC34FE" w:rsidRDefault="006A1DF6" w:rsidP="00D428FB">
      <w:pPr>
        <w:jc w:val="both"/>
        <w:rPr>
          <w:rFonts w:ascii="Garamond" w:hAnsi="Garamond"/>
        </w:rPr>
      </w:pPr>
      <w:r>
        <w:rPr>
          <w:rFonts w:ascii="Garamond" w:hAnsi="Garamond"/>
        </w:rPr>
        <w:t>W</w:t>
      </w:r>
      <w:r w:rsidR="00AA2C4C">
        <w:rPr>
          <w:rFonts w:ascii="Garamond" w:hAnsi="Garamond"/>
        </w:rPr>
        <w:t>ith respect to ferritin, we find that a positive income gradient</w:t>
      </w:r>
      <w:r w:rsidR="006C4062">
        <w:rPr>
          <w:rFonts w:ascii="Garamond" w:hAnsi="Garamond"/>
        </w:rPr>
        <w:t xml:space="preserve"> at all points of </w:t>
      </w:r>
      <w:r w:rsidR="00485996">
        <w:rPr>
          <w:rFonts w:ascii="Garamond" w:hAnsi="Garamond"/>
        </w:rPr>
        <w:t>the</w:t>
      </w:r>
      <w:r w:rsidR="006C4062">
        <w:rPr>
          <w:rFonts w:ascii="Garamond" w:hAnsi="Garamond"/>
        </w:rPr>
        <w:t xml:space="preserve"> distribution</w:t>
      </w:r>
      <w:r w:rsidR="00AA2C4C">
        <w:rPr>
          <w:rFonts w:ascii="Garamond" w:hAnsi="Garamond"/>
        </w:rPr>
        <w:t xml:space="preserve"> (Table 6)</w:t>
      </w:r>
      <w:r w:rsidR="00BE1F3E">
        <w:rPr>
          <w:rStyle w:val="FootnoteReference"/>
          <w:rFonts w:ascii="Garamond" w:hAnsi="Garamond"/>
        </w:rPr>
        <w:footnoteReference w:id="7"/>
      </w:r>
      <w:r w:rsidR="006C4062">
        <w:rPr>
          <w:rFonts w:ascii="Garamond" w:hAnsi="Garamond"/>
        </w:rPr>
        <w:t>.</w:t>
      </w:r>
      <w:r w:rsidR="00AA2C4C">
        <w:rPr>
          <w:rFonts w:ascii="Garamond" w:hAnsi="Garamond"/>
        </w:rPr>
        <w:t xml:space="preserve"> </w:t>
      </w:r>
      <w:r w:rsidR="006C4062" w:rsidRPr="001A1B2F">
        <w:rPr>
          <w:rFonts w:ascii="Garamond" w:hAnsi="Garamond"/>
        </w:rPr>
        <w:t>This is consistent with the fact that higher ferritin values generally indicate better health, with the exception of very extreme values which may also indicate the presence of health problems.</w:t>
      </w:r>
      <w:r w:rsidR="00814DB7">
        <w:rPr>
          <w:rFonts w:ascii="Garamond" w:hAnsi="Garamond"/>
        </w:rPr>
        <w:t xml:space="preserve"> </w:t>
      </w:r>
      <w:r w:rsidR="00BA4FC2" w:rsidRPr="001A1B2F">
        <w:rPr>
          <w:rFonts w:ascii="Garamond" w:hAnsi="Garamond"/>
        </w:rPr>
        <w:t>The i</w:t>
      </w:r>
      <w:r w:rsidR="006C4062" w:rsidRPr="001A1B2F">
        <w:rPr>
          <w:rFonts w:ascii="Garamond" w:hAnsi="Garamond"/>
        </w:rPr>
        <w:t>ncome-ferritin relationship reflects this pattern</w:t>
      </w:r>
      <w:r w:rsidR="00814DB7">
        <w:rPr>
          <w:rFonts w:ascii="Garamond" w:hAnsi="Garamond"/>
        </w:rPr>
        <w:t>. Indeed, w</w:t>
      </w:r>
      <w:r w:rsidR="006C4062" w:rsidRPr="001A1B2F">
        <w:rPr>
          <w:rFonts w:ascii="Garamond" w:hAnsi="Garamond"/>
        </w:rPr>
        <w:t xml:space="preserve">e find that income gradient increases </w:t>
      </w:r>
      <w:r w:rsidR="00E35EC5">
        <w:rPr>
          <w:rFonts w:ascii="Garamond" w:hAnsi="Garamond"/>
        </w:rPr>
        <w:t xml:space="preserve">almost linearly </w:t>
      </w:r>
      <w:r w:rsidR="006C4062" w:rsidRPr="001A1B2F">
        <w:rPr>
          <w:rFonts w:ascii="Garamond" w:hAnsi="Garamond"/>
        </w:rPr>
        <w:t>up to the 75</w:t>
      </w:r>
      <w:r w:rsidR="006C4062" w:rsidRPr="001A1B2F">
        <w:rPr>
          <w:rFonts w:ascii="Garamond" w:hAnsi="Garamond"/>
          <w:vertAlign w:val="superscript"/>
        </w:rPr>
        <w:t>th</w:t>
      </w:r>
      <w:r w:rsidR="006C4062" w:rsidRPr="001A1B2F">
        <w:rPr>
          <w:rFonts w:ascii="Garamond" w:hAnsi="Garamond"/>
        </w:rPr>
        <w:t xml:space="preserve"> percentile</w:t>
      </w:r>
      <w:r w:rsidR="00E35EC5">
        <w:rPr>
          <w:rFonts w:ascii="Garamond" w:hAnsi="Garamond"/>
        </w:rPr>
        <w:t xml:space="preserve"> and less than proportionally </w:t>
      </w:r>
      <w:r w:rsidR="006C4062" w:rsidRPr="001A1B2F">
        <w:rPr>
          <w:rFonts w:ascii="Garamond" w:hAnsi="Garamond"/>
        </w:rPr>
        <w:t xml:space="preserve"> after this threshold</w:t>
      </w:r>
      <w:r w:rsidR="00550796">
        <w:rPr>
          <w:rFonts w:ascii="Garamond" w:hAnsi="Garamond"/>
        </w:rPr>
        <w:t xml:space="preserve"> </w:t>
      </w:r>
      <w:r w:rsidR="00E474A5">
        <w:rPr>
          <w:rFonts w:ascii="Garamond" w:hAnsi="Garamond"/>
        </w:rPr>
        <w:t>and the estimate</w:t>
      </w:r>
      <w:r w:rsidR="00E05B3A">
        <w:rPr>
          <w:rFonts w:ascii="Garamond" w:hAnsi="Garamond"/>
        </w:rPr>
        <w:t>s</w:t>
      </w:r>
      <w:r w:rsidR="00E474A5">
        <w:rPr>
          <w:rFonts w:ascii="Garamond" w:hAnsi="Garamond"/>
        </w:rPr>
        <w:t xml:space="preserve"> </w:t>
      </w:r>
      <w:r w:rsidR="0087075E">
        <w:rPr>
          <w:rFonts w:ascii="Garamond" w:hAnsi="Garamond"/>
        </w:rPr>
        <w:t>are</w:t>
      </w:r>
      <w:r w:rsidR="00890088">
        <w:rPr>
          <w:rFonts w:ascii="Garamond" w:hAnsi="Garamond"/>
        </w:rPr>
        <w:t xml:space="preserve"> less statistically significant</w:t>
      </w:r>
      <w:r w:rsidR="006C4062" w:rsidRPr="001A1B2F">
        <w:rPr>
          <w:rFonts w:ascii="Garamond" w:hAnsi="Garamond"/>
        </w:rPr>
        <w:t xml:space="preserve"> at the 95</w:t>
      </w:r>
      <w:r w:rsidR="006C4062" w:rsidRPr="001A1B2F">
        <w:rPr>
          <w:rFonts w:ascii="Garamond" w:hAnsi="Garamond"/>
          <w:vertAlign w:val="superscript"/>
        </w:rPr>
        <w:t>th</w:t>
      </w:r>
      <w:r w:rsidR="006C4062" w:rsidRPr="001A1B2F">
        <w:rPr>
          <w:rFonts w:ascii="Garamond" w:hAnsi="Garamond"/>
        </w:rPr>
        <w:t xml:space="preserve"> </w:t>
      </w:r>
      <w:r w:rsidR="006C4062" w:rsidRPr="001A1B2F">
        <w:rPr>
          <w:rFonts w:ascii="Garamond" w:hAnsi="Garamond"/>
        </w:rPr>
        <w:lastRenderedPageBreak/>
        <w:t xml:space="preserve">percentile of ferritin distribution. </w:t>
      </w:r>
      <w:r w:rsidRPr="001A1B2F">
        <w:rPr>
          <w:rFonts w:ascii="Garamond" w:hAnsi="Garamond"/>
        </w:rPr>
        <w:t>This</w:t>
      </w:r>
      <w:r w:rsidR="00701641" w:rsidRPr="001A1B2F">
        <w:rPr>
          <w:rFonts w:ascii="Garamond" w:hAnsi="Garamond"/>
        </w:rPr>
        <w:t xml:space="preserve"> pattern is depicted </w:t>
      </w:r>
      <w:r w:rsidR="00814DB7">
        <w:rPr>
          <w:rFonts w:ascii="Garamond" w:hAnsi="Garamond"/>
        </w:rPr>
        <w:t xml:space="preserve">more clearly </w:t>
      </w:r>
      <w:r w:rsidR="00701641" w:rsidRPr="001A1B2F">
        <w:rPr>
          <w:rFonts w:ascii="Garamond" w:hAnsi="Garamond"/>
        </w:rPr>
        <w:t xml:space="preserve">in </w:t>
      </w:r>
      <w:r w:rsidR="00F457FA" w:rsidRPr="001A1B2F">
        <w:rPr>
          <w:rFonts w:ascii="Garamond" w:hAnsi="Garamond"/>
        </w:rPr>
        <w:t>F</w:t>
      </w:r>
      <w:r w:rsidR="00701641" w:rsidRPr="001A1B2F">
        <w:rPr>
          <w:rFonts w:ascii="Garamond" w:hAnsi="Garamond"/>
        </w:rPr>
        <w:t xml:space="preserve">igure </w:t>
      </w:r>
      <w:r w:rsidR="00B41E8D" w:rsidRPr="001A1B2F">
        <w:rPr>
          <w:rFonts w:ascii="Garamond" w:hAnsi="Garamond"/>
        </w:rPr>
        <w:t>4</w:t>
      </w:r>
      <w:r w:rsidR="00701641" w:rsidRPr="001A1B2F">
        <w:rPr>
          <w:rFonts w:ascii="Garamond" w:hAnsi="Garamond"/>
        </w:rPr>
        <w:t>. The income coefficient increases almost linearly up to the 75</w:t>
      </w:r>
      <w:r w:rsidR="00701641" w:rsidRPr="001A1B2F">
        <w:rPr>
          <w:rFonts w:ascii="Garamond" w:hAnsi="Garamond"/>
          <w:vertAlign w:val="superscript"/>
        </w:rPr>
        <w:t>th</w:t>
      </w:r>
      <w:r w:rsidR="00701641" w:rsidRPr="001A1B2F">
        <w:rPr>
          <w:rFonts w:ascii="Garamond" w:hAnsi="Garamond"/>
        </w:rPr>
        <w:t xml:space="preserve"> percentile </w:t>
      </w:r>
      <w:r w:rsidR="0035788F">
        <w:rPr>
          <w:rFonts w:ascii="Garamond" w:hAnsi="Garamond"/>
        </w:rPr>
        <w:t>(the income coefficient at the 7</w:t>
      </w:r>
      <w:r w:rsidR="00701641" w:rsidRPr="001A1B2F">
        <w:rPr>
          <w:rFonts w:ascii="Garamond" w:hAnsi="Garamond"/>
        </w:rPr>
        <w:t>5</w:t>
      </w:r>
      <w:r w:rsidR="00701641" w:rsidRPr="001A1B2F">
        <w:rPr>
          <w:rFonts w:ascii="Garamond" w:hAnsi="Garamond"/>
          <w:vertAlign w:val="superscript"/>
        </w:rPr>
        <w:t>th</w:t>
      </w:r>
      <w:r w:rsidR="00701641" w:rsidRPr="001A1B2F">
        <w:rPr>
          <w:rFonts w:ascii="Garamond" w:hAnsi="Garamond"/>
        </w:rPr>
        <w:t xml:space="preserve"> percentile is</w:t>
      </w:r>
      <w:r w:rsidR="001A1B2F" w:rsidRPr="001A1B2F">
        <w:rPr>
          <w:rFonts w:ascii="Garamond" w:hAnsi="Garamond"/>
        </w:rPr>
        <w:t xml:space="preserve"> </w:t>
      </w:r>
      <w:r w:rsidR="0035788F">
        <w:rPr>
          <w:rFonts w:ascii="Garamond" w:hAnsi="Garamond"/>
        </w:rPr>
        <w:t xml:space="preserve">about two </w:t>
      </w:r>
      <w:r w:rsidR="00814DB7">
        <w:rPr>
          <w:rFonts w:ascii="Garamond" w:hAnsi="Garamond"/>
        </w:rPr>
        <w:t xml:space="preserve">and </w:t>
      </w:r>
      <w:r w:rsidR="002B35A0">
        <w:rPr>
          <w:rFonts w:ascii="Garamond" w:hAnsi="Garamond"/>
        </w:rPr>
        <w:t xml:space="preserve">a </w:t>
      </w:r>
      <w:r w:rsidR="00814DB7">
        <w:rPr>
          <w:rFonts w:ascii="Garamond" w:hAnsi="Garamond"/>
        </w:rPr>
        <w:t xml:space="preserve">half </w:t>
      </w:r>
      <w:r w:rsidR="002B35A0">
        <w:rPr>
          <w:rFonts w:ascii="Garamond" w:hAnsi="Garamond"/>
        </w:rPr>
        <w:t xml:space="preserve">times </w:t>
      </w:r>
      <w:r w:rsidR="00701641" w:rsidRPr="001A1B2F">
        <w:rPr>
          <w:rFonts w:ascii="Garamond" w:hAnsi="Garamond"/>
        </w:rPr>
        <w:t>higher than the coefficient at the 25</w:t>
      </w:r>
      <w:r w:rsidR="00701641" w:rsidRPr="001A1B2F">
        <w:rPr>
          <w:rFonts w:ascii="Garamond" w:hAnsi="Garamond"/>
          <w:vertAlign w:val="superscript"/>
        </w:rPr>
        <w:t>th</w:t>
      </w:r>
      <w:r w:rsidR="00550796">
        <w:rPr>
          <w:rFonts w:ascii="Garamond" w:hAnsi="Garamond"/>
        </w:rPr>
        <w:t xml:space="preserve"> percentile). </w:t>
      </w:r>
      <w:r w:rsidR="003713DB" w:rsidRPr="001A1B2F">
        <w:rPr>
          <w:rFonts w:ascii="Garamond" w:hAnsi="Garamond"/>
        </w:rPr>
        <w:t>After this threshold</w:t>
      </w:r>
      <w:r w:rsidR="00550796">
        <w:rPr>
          <w:rFonts w:ascii="Garamond" w:hAnsi="Garamond"/>
        </w:rPr>
        <w:t xml:space="preserve"> </w:t>
      </w:r>
      <w:r w:rsidR="007C6FFC" w:rsidRPr="001A1B2F">
        <w:rPr>
          <w:rFonts w:ascii="Garamond" w:hAnsi="Garamond"/>
        </w:rPr>
        <w:t xml:space="preserve">(corresponding to ferritin </w:t>
      </w:r>
      <w:r w:rsidR="00F457FA" w:rsidRPr="001A1B2F">
        <w:rPr>
          <w:rFonts w:ascii="Garamond" w:hAnsi="Garamond"/>
        </w:rPr>
        <w:t>level</w:t>
      </w:r>
      <w:r w:rsidR="007C6FFC" w:rsidRPr="001A1B2F">
        <w:rPr>
          <w:rFonts w:ascii="Garamond" w:hAnsi="Garamond"/>
        </w:rPr>
        <w:t xml:space="preserve"> </w:t>
      </w:r>
      <w:r w:rsidR="00F457FA" w:rsidRPr="001A1B2F">
        <w:rPr>
          <w:rFonts w:ascii="Garamond" w:hAnsi="Garamond"/>
        </w:rPr>
        <w:t>of</w:t>
      </w:r>
      <w:r w:rsidR="007C6FFC" w:rsidRPr="001A1B2F">
        <w:rPr>
          <w:rFonts w:ascii="Garamond" w:hAnsi="Garamond"/>
        </w:rPr>
        <w:t xml:space="preserve"> 100)</w:t>
      </w:r>
      <w:r w:rsidR="003713DB" w:rsidRPr="001A1B2F">
        <w:rPr>
          <w:rFonts w:ascii="Garamond" w:hAnsi="Garamond"/>
        </w:rPr>
        <w:t xml:space="preserve">, </w:t>
      </w:r>
      <w:r w:rsidR="00631E25">
        <w:rPr>
          <w:rFonts w:ascii="Garamond" w:hAnsi="Garamond"/>
        </w:rPr>
        <w:t xml:space="preserve">the </w:t>
      </w:r>
      <w:r w:rsidR="00814DB7">
        <w:rPr>
          <w:rFonts w:ascii="Garamond" w:hAnsi="Garamond"/>
        </w:rPr>
        <w:t xml:space="preserve">income coefficient </w:t>
      </w:r>
      <w:r w:rsidR="000B111B">
        <w:rPr>
          <w:rFonts w:ascii="Garamond" w:hAnsi="Garamond"/>
        </w:rPr>
        <w:t xml:space="preserve">remains stable </w:t>
      </w:r>
      <w:r w:rsidR="00814DB7">
        <w:rPr>
          <w:rFonts w:ascii="Garamond" w:hAnsi="Garamond"/>
        </w:rPr>
        <w:t>at the 80</w:t>
      </w:r>
      <w:r w:rsidR="00814DB7" w:rsidRPr="00814DB7">
        <w:rPr>
          <w:rFonts w:ascii="Garamond" w:hAnsi="Garamond"/>
          <w:vertAlign w:val="superscript"/>
        </w:rPr>
        <w:t>th</w:t>
      </w:r>
      <w:r w:rsidR="00814DB7">
        <w:rPr>
          <w:rFonts w:ascii="Garamond" w:hAnsi="Garamond"/>
        </w:rPr>
        <w:t xml:space="preserve"> and 85</w:t>
      </w:r>
      <w:r w:rsidR="00814DB7" w:rsidRPr="00814DB7">
        <w:rPr>
          <w:rFonts w:ascii="Garamond" w:hAnsi="Garamond"/>
          <w:vertAlign w:val="superscript"/>
        </w:rPr>
        <w:t>th</w:t>
      </w:r>
      <w:r w:rsidR="00814DB7">
        <w:rPr>
          <w:rFonts w:ascii="Garamond" w:hAnsi="Garamond"/>
        </w:rPr>
        <w:t xml:space="preserve"> percentile</w:t>
      </w:r>
      <w:r w:rsidR="000B111B">
        <w:rPr>
          <w:rFonts w:ascii="Garamond" w:hAnsi="Garamond"/>
        </w:rPr>
        <w:t xml:space="preserve"> and increases at the 90</w:t>
      </w:r>
      <w:r w:rsidR="000B111B" w:rsidRPr="000B111B">
        <w:rPr>
          <w:rFonts w:ascii="Garamond" w:hAnsi="Garamond"/>
          <w:vertAlign w:val="superscript"/>
        </w:rPr>
        <w:t>th</w:t>
      </w:r>
      <w:r w:rsidR="000B111B">
        <w:rPr>
          <w:rFonts w:ascii="Garamond" w:hAnsi="Garamond"/>
        </w:rPr>
        <w:t xml:space="preserve"> and 95</w:t>
      </w:r>
      <w:r w:rsidR="000B111B" w:rsidRPr="000B111B">
        <w:rPr>
          <w:rFonts w:ascii="Garamond" w:hAnsi="Garamond"/>
          <w:vertAlign w:val="superscript"/>
        </w:rPr>
        <w:t>th</w:t>
      </w:r>
      <w:r w:rsidR="000B111B">
        <w:rPr>
          <w:rFonts w:ascii="Garamond" w:hAnsi="Garamond"/>
        </w:rPr>
        <w:t xml:space="preserve"> percentile but with</w:t>
      </w:r>
      <w:r w:rsidR="00814DB7">
        <w:rPr>
          <w:rFonts w:ascii="Garamond" w:hAnsi="Garamond"/>
        </w:rPr>
        <w:t xml:space="preserve"> </w:t>
      </w:r>
      <w:r w:rsidR="002B35A0">
        <w:rPr>
          <w:rFonts w:ascii="Garamond" w:hAnsi="Garamond"/>
        </w:rPr>
        <w:t>less</w:t>
      </w:r>
      <w:r w:rsidR="0087075E">
        <w:rPr>
          <w:rFonts w:ascii="Garamond" w:hAnsi="Garamond"/>
        </w:rPr>
        <w:t xml:space="preserve"> </w:t>
      </w:r>
      <w:r w:rsidR="000B111B">
        <w:rPr>
          <w:rFonts w:ascii="Garamond" w:hAnsi="Garamond"/>
        </w:rPr>
        <w:t xml:space="preserve">precision </w:t>
      </w:r>
      <w:r w:rsidR="0087075E">
        <w:rPr>
          <w:rFonts w:ascii="Garamond" w:hAnsi="Garamond"/>
        </w:rPr>
        <w:t>in the estimates</w:t>
      </w:r>
      <w:r w:rsidRPr="001A1B2F">
        <w:rPr>
          <w:rFonts w:ascii="Garamond" w:hAnsi="Garamond"/>
        </w:rPr>
        <w:t>.</w:t>
      </w:r>
      <w:r w:rsidR="0087075E">
        <w:rPr>
          <w:rFonts w:ascii="Garamond" w:hAnsi="Garamond"/>
        </w:rPr>
        <w:t xml:space="preserve"> </w:t>
      </w:r>
      <w:r w:rsidR="00E474A5">
        <w:rPr>
          <w:rFonts w:ascii="Garamond" w:hAnsi="Garamond"/>
        </w:rPr>
        <w:t>T</w:t>
      </w:r>
      <w:r w:rsidR="003713DB" w:rsidRPr="001A1B2F">
        <w:rPr>
          <w:rFonts w:ascii="Garamond" w:hAnsi="Garamond"/>
        </w:rPr>
        <w:t xml:space="preserve">he other covariates exhibit a similar pattern: both age and education </w:t>
      </w:r>
      <w:r w:rsidR="00E474A5">
        <w:rPr>
          <w:rFonts w:ascii="Garamond" w:hAnsi="Garamond"/>
        </w:rPr>
        <w:t>gradient</w:t>
      </w:r>
      <w:r w:rsidR="00DD15D6" w:rsidRPr="001A1B2F">
        <w:rPr>
          <w:rFonts w:ascii="Garamond" w:hAnsi="Garamond"/>
        </w:rPr>
        <w:t>s</w:t>
      </w:r>
      <w:r w:rsidR="003713DB" w:rsidRPr="001A1B2F">
        <w:rPr>
          <w:rFonts w:ascii="Garamond" w:hAnsi="Garamond"/>
        </w:rPr>
        <w:t xml:space="preserve"> reduce in magnitude at </w:t>
      </w:r>
      <w:r w:rsidR="00F457FA" w:rsidRPr="001A1B2F">
        <w:rPr>
          <w:rFonts w:ascii="Garamond" w:hAnsi="Garamond"/>
        </w:rPr>
        <w:t xml:space="preserve">the </w:t>
      </w:r>
      <w:r w:rsidR="003713DB" w:rsidRPr="001A1B2F">
        <w:rPr>
          <w:rFonts w:ascii="Garamond" w:hAnsi="Garamond"/>
        </w:rPr>
        <w:t xml:space="preserve">top quantiles of </w:t>
      </w:r>
      <w:r w:rsidR="00F457FA" w:rsidRPr="001A1B2F">
        <w:rPr>
          <w:rFonts w:ascii="Garamond" w:hAnsi="Garamond"/>
        </w:rPr>
        <w:t xml:space="preserve">the </w:t>
      </w:r>
      <w:r w:rsidR="003713DB" w:rsidRPr="001A1B2F">
        <w:rPr>
          <w:rFonts w:ascii="Garamond" w:hAnsi="Garamond"/>
        </w:rPr>
        <w:t xml:space="preserve">ferritin distribution and </w:t>
      </w:r>
      <w:r w:rsidR="005E6895">
        <w:rPr>
          <w:rFonts w:ascii="Garamond" w:hAnsi="Garamond"/>
        </w:rPr>
        <w:t>an</w:t>
      </w:r>
      <w:r w:rsidR="00F457FA" w:rsidRPr="001A1B2F">
        <w:rPr>
          <w:rFonts w:ascii="Garamond" w:hAnsi="Garamond"/>
        </w:rPr>
        <w:t xml:space="preserve"> </w:t>
      </w:r>
      <w:r w:rsidR="003713DB" w:rsidRPr="001A1B2F">
        <w:rPr>
          <w:rFonts w:ascii="Garamond" w:hAnsi="Garamond"/>
        </w:rPr>
        <w:t xml:space="preserve">education gradient </w:t>
      </w:r>
      <w:r w:rsidR="005E6895">
        <w:rPr>
          <w:rFonts w:ascii="Garamond" w:hAnsi="Garamond"/>
        </w:rPr>
        <w:t>is not apparent</w:t>
      </w:r>
      <w:r w:rsidR="003713DB" w:rsidRPr="001A1B2F">
        <w:rPr>
          <w:rFonts w:ascii="Garamond" w:hAnsi="Garamond"/>
        </w:rPr>
        <w:t xml:space="preserve"> at the 95</w:t>
      </w:r>
      <w:r w:rsidR="003713DB" w:rsidRPr="001A1B2F">
        <w:rPr>
          <w:rFonts w:ascii="Garamond" w:hAnsi="Garamond"/>
          <w:vertAlign w:val="superscript"/>
        </w:rPr>
        <w:t>th</w:t>
      </w:r>
      <w:r w:rsidR="003713DB" w:rsidRPr="001A1B2F">
        <w:rPr>
          <w:rFonts w:ascii="Garamond" w:hAnsi="Garamond"/>
        </w:rPr>
        <w:t xml:space="preserve"> percentile of </w:t>
      </w:r>
      <w:r w:rsidR="005E6895">
        <w:rPr>
          <w:rFonts w:ascii="Garamond" w:hAnsi="Garamond"/>
        </w:rPr>
        <w:t xml:space="preserve">the </w:t>
      </w:r>
      <w:r w:rsidR="003713DB" w:rsidRPr="001A1B2F">
        <w:rPr>
          <w:rFonts w:ascii="Garamond" w:hAnsi="Garamond"/>
        </w:rPr>
        <w:t>distribution.</w:t>
      </w:r>
    </w:p>
    <w:p w14:paraId="34BA6052" w14:textId="77777777" w:rsidR="008F4201" w:rsidRDefault="008F4201" w:rsidP="00D428FB">
      <w:pPr>
        <w:jc w:val="both"/>
        <w:rPr>
          <w:rFonts w:ascii="Garamond" w:hAnsi="Garamond"/>
        </w:rPr>
      </w:pPr>
    </w:p>
    <w:p w14:paraId="6D0DFD68" w14:textId="77777777" w:rsidR="00C2679E" w:rsidRPr="00EC34FE" w:rsidRDefault="000204DF" w:rsidP="00D428FB">
      <w:pPr>
        <w:jc w:val="both"/>
        <w:rPr>
          <w:rFonts w:ascii="Garamond" w:hAnsi="Garamond"/>
          <w:b/>
        </w:rPr>
      </w:pPr>
      <w:r w:rsidRPr="000204DF">
        <w:rPr>
          <w:rFonts w:ascii="Garamond" w:hAnsi="Garamond"/>
          <w:b/>
        </w:rPr>
        <w:t xml:space="preserve">4.2 Oaxaca-Blinder decomposition of </w:t>
      </w:r>
      <w:r w:rsidR="001728FA">
        <w:rPr>
          <w:rFonts w:ascii="Garamond" w:hAnsi="Garamond"/>
          <w:b/>
        </w:rPr>
        <w:t xml:space="preserve">gender differentials </w:t>
      </w:r>
      <w:r w:rsidR="00F457FA">
        <w:rPr>
          <w:rFonts w:ascii="Garamond" w:hAnsi="Garamond"/>
          <w:b/>
        </w:rPr>
        <w:t xml:space="preserve">in </w:t>
      </w:r>
      <w:r w:rsidRPr="000204DF">
        <w:rPr>
          <w:rFonts w:ascii="Garamond" w:hAnsi="Garamond"/>
          <w:b/>
        </w:rPr>
        <w:t xml:space="preserve">biomarkers </w:t>
      </w:r>
    </w:p>
    <w:p w14:paraId="4CBF73E5" w14:textId="317E4BF4" w:rsidR="001728FA" w:rsidRDefault="00C2679E" w:rsidP="00D428FB">
      <w:pPr>
        <w:jc w:val="both"/>
        <w:rPr>
          <w:rFonts w:ascii="Garamond" w:hAnsi="Garamond"/>
        </w:rPr>
      </w:pPr>
      <w:r w:rsidRPr="00432FBF">
        <w:rPr>
          <w:rFonts w:ascii="Garamond" w:hAnsi="Garamond"/>
        </w:rPr>
        <w:t xml:space="preserve">The results of Oaxaca-Blinder </w:t>
      </w:r>
      <w:r w:rsidR="00FA7873">
        <w:rPr>
          <w:rFonts w:ascii="Garamond" w:hAnsi="Garamond"/>
        </w:rPr>
        <w:t xml:space="preserve">(OB) </w:t>
      </w:r>
      <w:r w:rsidRPr="00432FBF">
        <w:rPr>
          <w:rFonts w:ascii="Garamond" w:hAnsi="Garamond"/>
        </w:rPr>
        <w:t>decomposition at the 25</w:t>
      </w:r>
      <w:r w:rsidRPr="00432FBF">
        <w:rPr>
          <w:rFonts w:ascii="Garamond" w:hAnsi="Garamond"/>
          <w:vertAlign w:val="superscript"/>
        </w:rPr>
        <w:t>th</w:t>
      </w:r>
      <w:r w:rsidRPr="00432FBF">
        <w:rPr>
          <w:rFonts w:ascii="Garamond" w:hAnsi="Garamond"/>
        </w:rPr>
        <w:t>, 50</w:t>
      </w:r>
      <w:r w:rsidRPr="00432FBF">
        <w:rPr>
          <w:rFonts w:ascii="Garamond" w:hAnsi="Garamond"/>
          <w:vertAlign w:val="superscript"/>
        </w:rPr>
        <w:t>th</w:t>
      </w:r>
      <w:r w:rsidRPr="00432FBF">
        <w:rPr>
          <w:rFonts w:ascii="Garamond" w:hAnsi="Garamond"/>
        </w:rPr>
        <w:t>, 75</w:t>
      </w:r>
      <w:r w:rsidRPr="00432FBF">
        <w:rPr>
          <w:rFonts w:ascii="Garamond" w:hAnsi="Garamond"/>
          <w:vertAlign w:val="superscript"/>
        </w:rPr>
        <w:t>th</w:t>
      </w:r>
      <w:r w:rsidRPr="00432FBF">
        <w:rPr>
          <w:rFonts w:ascii="Garamond" w:hAnsi="Garamond"/>
        </w:rPr>
        <w:t>, 90</w:t>
      </w:r>
      <w:r w:rsidRPr="00432FBF">
        <w:rPr>
          <w:rFonts w:ascii="Garamond" w:hAnsi="Garamond"/>
          <w:vertAlign w:val="superscript"/>
        </w:rPr>
        <w:t>th</w:t>
      </w:r>
      <w:r w:rsidRPr="00432FBF">
        <w:rPr>
          <w:rFonts w:ascii="Garamond" w:hAnsi="Garamond"/>
        </w:rPr>
        <w:t xml:space="preserve"> and 95</w:t>
      </w:r>
      <w:r w:rsidRPr="00432FBF">
        <w:rPr>
          <w:rFonts w:ascii="Garamond" w:hAnsi="Garamond"/>
          <w:vertAlign w:val="superscript"/>
        </w:rPr>
        <w:t>th</w:t>
      </w:r>
      <w:r w:rsidRPr="00432FBF">
        <w:rPr>
          <w:rFonts w:ascii="Garamond" w:hAnsi="Garamond"/>
        </w:rPr>
        <w:t xml:space="preserve"> percentile distribution of </w:t>
      </w:r>
      <w:r w:rsidR="006A1DF6">
        <w:rPr>
          <w:rFonts w:ascii="Garamond" w:hAnsi="Garamond"/>
        </w:rPr>
        <w:t xml:space="preserve">cholesterol, glycated haemoglobin, fibrinogen and ferritin </w:t>
      </w:r>
      <w:r w:rsidRPr="00432FBF">
        <w:rPr>
          <w:rFonts w:ascii="Garamond" w:hAnsi="Garamond"/>
        </w:rPr>
        <w:t xml:space="preserve">are shown in </w:t>
      </w:r>
      <w:r w:rsidR="00F457FA">
        <w:rPr>
          <w:rFonts w:ascii="Garamond" w:hAnsi="Garamond"/>
        </w:rPr>
        <w:t>T</w:t>
      </w:r>
      <w:r w:rsidRPr="00432FBF">
        <w:rPr>
          <w:rFonts w:ascii="Garamond" w:hAnsi="Garamond"/>
        </w:rPr>
        <w:t>ables 7-10</w:t>
      </w:r>
      <w:r w:rsidR="006A1DF6">
        <w:rPr>
          <w:rFonts w:ascii="Garamond" w:hAnsi="Garamond"/>
        </w:rPr>
        <w:t>, respectively</w:t>
      </w:r>
      <w:r w:rsidRPr="00432FBF">
        <w:rPr>
          <w:rFonts w:ascii="Garamond" w:hAnsi="Garamond"/>
        </w:rPr>
        <w:t xml:space="preserve">. </w:t>
      </w:r>
      <w:r w:rsidR="00B20A93">
        <w:rPr>
          <w:rFonts w:ascii="Garamond" w:hAnsi="Garamond"/>
        </w:rPr>
        <w:t>D</w:t>
      </w:r>
      <w:r w:rsidRPr="00432FBF">
        <w:rPr>
          <w:rFonts w:ascii="Garamond" w:hAnsi="Garamond"/>
        </w:rPr>
        <w:t>ecomposition is expressed</w:t>
      </w:r>
      <w:r w:rsidR="00B20A93">
        <w:rPr>
          <w:rFonts w:ascii="Garamond" w:hAnsi="Garamond"/>
        </w:rPr>
        <w:t xml:space="preserve"> always</w:t>
      </w:r>
      <w:r w:rsidRPr="00432FBF">
        <w:rPr>
          <w:rFonts w:ascii="Garamond" w:hAnsi="Garamond"/>
        </w:rPr>
        <w:t xml:space="preserve"> as a difference between levels </w:t>
      </w:r>
      <w:r w:rsidR="00485996">
        <w:rPr>
          <w:rFonts w:ascii="Garamond" w:hAnsi="Garamond"/>
        </w:rPr>
        <w:t>for</w:t>
      </w:r>
      <w:r w:rsidR="00F54587">
        <w:rPr>
          <w:rFonts w:ascii="Garamond" w:hAnsi="Garamond"/>
        </w:rPr>
        <w:t xml:space="preserve"> males</w:t>
      </w:r>
      <w:r w:rsidRPr="00432FBF">
        <w:rPr>
          <w:rFonts w:ascii="Garamond" w:hAnsi="Garamond"/>
        </w:rPr>
        <w:t xml:space="preserve"> “minus” levels </w:t>
      </w:r>
      <w:r w:rsidR="00485996">
        <w:rPr>
          <w:rFonts w:ascii="Garamond" w:hAnsi="Garamond"/>
        </w:rPr>
        <w:t>for</w:t>
      </w:r>
      <w:r w:rsidR="00F54587">
        <w:rPr>
          <w:rFonts w:ascii="Garamond" w:hAnsi="Garamond"/>
        </w:rPr>
        <w:t xml:space="preserve"> females</w:t>
      </w:r>
      <w:r w:rsidRPr="00432FBF">
        <w:rPr>
          <w:rFonts w:ascii="Garamond" w:hAnsi="Garamond"/>
        </w:rPr>
        <w:t xml:space="preserve">. Thus a positive (negative) difference means that a given </w:t>
      </w:r>
      <w:r w:rsidR="00BE3839">
        <w:rPr>
          <w:rFonts w:ascii="Garamond" w:hAnsi="Garamond"/>
        </w:rPr>
        <w:t xml:space="preserve">biomarker </w:t>
      </w:r>
      <w:r w:rsidRPr="00432FBF">
        <w:rPr>
          <w:rFonts w:ascii="Garamond" w:hAnsi="Garamond"/>
        </w:rPr>
        <w:t xml:space="preserve">value </w:t>
      </w:r>
      <w:r w:rsidR="00F54587">
        <w:rPr>
          <w:rFonts w:ascii="Garamond" w:hAnsi="Garamond"/>
        </w:rPr>
        <w:t xml:space="preserve">is </w:t>
      </w:r>
      <w:r w:rsidRPr="00432FBF">
        <w:rPr>
          <w:rFonts w:ascii="Garamond" w:hAnsi="Garamond"/>
        </w:rPr>
        <w:t>higher (lower)</w:t>
      </w:r>
      <w:r w:rsidR="00F54587">
        <w:rPr>
          <w:rFonts w:ascii="Garamond" w:hAnsi="Garamond"/>
        </w:rPr>
        <w:t xml:space="preserve"> among males</w:t>
      </w:r>
      <w:r w:rsidRPr="00432FBF">
        <w:rPr>
          <w:rFonts w:ascii="Garamond" w:hAnsi="Garamond"/>
        </w:rPr>
        <w:t xml:space="preserve">. </w:t>
      </w:r>
      <w:r w:rsidR="00F54587">
        <w:rPr>
          <w:rFonts w:ascii="Garamond" w:hAnsi="Garamond"/>
        </w:rPr>
        <w:t>Tables 7-10</w:t>
      </w:r>
      <w:r w:rsidR="00745F89">
        <w:rPr>
          <w:rFonts w:ascii="Garamond" w:hAnsi="Garamond"/>
        </w:rPr>
        <w:t xml:space="preserve"> include</w:t>
      </w:r>
      <w:r w:rsidRPr="00432FBF">
        <w:rPr>
          <w:rFonts w:ascii="Garamond" w:hAnsi="Garamond"/>
        </w:rPr>
        <w:t xml:space="preserve"> total differences, the explained and the unexplained part</w:t>
      </w:r>
      <w:r w:rsidR="00432FBF" w:rsidRPr="00432FBF">
        <w:rPr>
          <w:rFonts w:ascii="Garamond" w:hAnsi="Garamond"/>
        </w:rPr>
        <w:t xml:space="preserve"> and their respective standard errors</w:t>
      </w:r>
      <w:r w:rsidRPr="00432FBF">
        <w:rPr>
          <w:rFonts w:ascii="Garamond" w:hAnsi="Garamond"/>
        </w:rPr>
        <w:t xml:space="preserve">. </w:t>
      </w:r>
      <w:r w:rsidR="0087530A">
        <w:rPr>
          <w:rFonts w:ascii="Garamond" w:hAnsi="Garamond"/>
        </w:rPr>
        <w:t>The d</w:t>
      </w:r>
      <w:r w:rsidRPr="00432FBF">
        <w:rPr>
          <w:rFonts w:ascii="Garamond" w:hAnsi="Garamond"/>
        </w:rPr>
        <w:t xml:space="preserve">etailed decomposition is </w:t>
      </w:r>
      <w:r w:rsidR="00F54587">
        <w:rPr>
          <w:rFonts w:ascii="Garamond" w:hAnsi="Garamond"/>
        </w:rPr>
        <w:t>shown</w:t>
      </w:r>
      <w:r w:rsidRPr="00432FBF">
        <w:rPr>
          <w:rFonts w:ascii="Garamond" w:hAnsi="Garamond"/>
        </w:rPr>
        <w:t xml:space="preserve"> </w:t>
      </w:r>
      <w:r w:rsidR="00F54587">
        <w:rPr>
          <w:rFonts w:ascii="Garamond" w:hAnsi="Garamond"/>
        </w:rPr>
        <w:t xml:space="preserve">in </w:t>
      </w:r>
      <w:r w:rsidR="00485996">
        <w:rPr>
          <w:rFonts w:ascii="Garamond" w:hAnsi="Garamond"/>
        </w:rPr>
        <w:t>F</w:t>
      </w:r>
      <w:r w:rsidR="00F54587">
        <w:rPr>
          <w:rFonts w:ascii="Garamond" w:hAnsi="Garamond"/>
        </w:rPr>
        <w:t xml:space="preserve">igures </w:t>
      </w:r>
      <w:r w:rsidR="00D27D0A">
        <w:rPr>
          <w:rFonts w:ascii="Garamond" w:hAnsi="Garamond"/>
        </w:rPr>
        <w:t>5</w:t>
      </w:r>
      <w:r w:rsidR="00F54587">
        <w:rPr>
          <w:rFonts w:ascii="Garamond" w:hAnsi="Garamond"/>
        </w:rPr>
        <w:t>-</w:t>
      </w:r>
      <w:r w:rsidR="00D27D0A">
        <w:rPr>
          <w:rFonts w:ascii="Garamond" w:hAnsi="Garamond"/>
        </w:rPr>
        <w:t>8</w:t>
      </w:r>
      <w:r w:rsidR="00F54587">
        <w:rPr>
          <w:rFonts w:ascii="Garamond" w:hAnsi="Garamond"/>
        </w:rPr>
        <w:t xml:space="preserve">, where we </w:t>
      </w:r>
      <w:r w:rsidR="008627B2">
        <w:rPr>
          <w:rFonts w:ascii="Garamond" w:hAnsi="Garamond"/>
        </w:rPr>
        <w:t>highlight</w:t>
      </w:r>
      <w:r w:rsidR="00F54587">
        <w:rPr>
          <w:rFonts w:ascii="Garamond" w:hAnsi="Garamond"/>
        </w:rPr>
        <w:t xml:space="preserve"> the contribution of main factors (income, education, demographics and year fixed effects) to the explained and unexplained part at </w:t>
      </w:r>
      <w:r w:rsidR="00F54587" w:rsidRPr="00432FBF">
        <w:rPr>
          <w:rFonts w:ascii="Garamond" w:hAnsi="Garamond"/>
        </w:rPr>
        <w:t>25</w:t>
      </w:r>
      <w:r w:rsidR="00F54587" w:rsidRPr="00432FBF">
        <w:rPr>
          <w:rFonts w:ascii="Garamond" w:hAnsi="Garamond"/>
          <w:vertAlign w:val="superscript"/>
        </w:rPr>
        <w:t>th</w:t>
      </w:r>
      <w:r w:rsidR="00F54587" w:rsidRPr="00432FBF">
        <w:rPr>
          <w:rFonts w:ascii="Garamond" w:hAnsi="Garamond"/>
        </w:rPr>
        <w:t>, 50</w:t>
      </w:r>
      <w:r w:rsidR="00F54587" w:rsidRPr="00432FBF">
        <w:rPr>
          <w:rFonts w:ascii="Garamond" w:hAnsi="Garamond"/>
          <w:vertAlign w:val="superscript"/>
        </w:rPr>
        <w:t>th</w:t>
      </w:r>
      <w:r w:rsidR="00F54587" w:rsidRPr="00432FBF">
        <w:rPr>
          <w:rFonts w:ascii="Garamond" w:hAnsi="Garamond"/>
        </w:rPr>
        <w:t>, 75</w:t>
      </w:r>
      <w:r w:rsidR="00F54587" w:rsidRPr="00432FBF">
        <w:rPr>
          <w:rFonts w:ascii="Garamond" w:hAnsi="Garamond"/>
          <w:vertAlign w:val="superscript"/>
        </w:rPr>
        <w:t>th</w:t>
      </w:r>
      <w:r w:rsidR="00F54587" w:rsidRPr="00432FBF">
        <w:rPr>
          <w:rFonts w:ascii="Garamond" w:hAnsi="Garamond"/>
        </w:rPr>
        <w:t>, 90</w:t>
      </w:r>
      <w:r w:rsidR="00F54587" w:rsidRPr="00432FBF">
        <w:rPr>
          <w:rFonts w:ascii="Garamond" w:hAnsi="Garamond"/>
          <w:vertAlign w:val="superscript"/>
        </w:rPr>
        <w:t>th</w:t>
      </w:r>
      <w:r w:rsidR="00F54587" w:rsidRPr="00432FBF">
        <w:rPr>
          <w:rFonts w:ascii="Garamond" w:hAnsi="Garamond"/>
        </w:rPr>
        <w:t xml:space="preserve"> and 95</w:t>
      </w:r>
      <w:r w:rsidR="00F54587" w:rsidRPr="00432FBF">
        <w:rPr>
          <w:rFonts w:ascii="Garamond" w:hAnsi="Garamond"/>
          <w:vertAlign w:val="superscript"/>
        </w:rPr>
        <w:t>th</w:t>
      </w:r>
      <w:r w:rsidR="00F54587" w:rsidRPr="00432FBF">
        <w:rPr>
          <w:rFonts w:ascii="Garamond" w:hAnsi="Garamond"/>
        </w:rPr>
        <w:t xml:space="preserve"> percentile distribution</w:t>
      </w:r>
      <w:r w:rsidR="00F54587">
        <w:rPr>
          <w:rFonts w:ascii="Garamond" w:hAnsi="Garamond"/>
        </w:rPr>
        <w:t xml:space="preserve"> of each biomarker.</w:t>
      </w:r>
    </w:p>
    <w:p w14:paraId="67CDEE6F" w14:textId="06473205" w:rsidR="0075362C" w:rsidRDefault="0075362C" w:rsidP="00D428FB">
      <w:pPr>
        <w:jc w:val="both"/>
        <w:rPr>
          <w:rFonts w:ascii="Garamond" w:hAnsi="Garamond"/>
        </w:rPr>
      </w:pPr>
      <w:r w:rsidRPr="0075362C">
        <w:rPr>
          <w:rFonts w:ascii="Garamond" w:hAnsi="Garamond"/>
        </w:rPr>
        <w:t>We illustrate and explain</w:t>
      </w:r>
      <w:r>
        <w:rPr>
          <w:rFonts w:ascii="Garamond" w:hAnsi="Garamond"/>
        </w:rPr>
        <w:t xml:space="preserve"> </w:t>
      </w:r>
      <w:r w:rsidRPr="0075362C">
        <w:rPr>
          <w:rFonts w:ascii="Garamond" w:hAnsi="Garamond"/>
        </w:rPr>
        <w:t xml:space="preserve">the mechanics of the decomposition using cholesterol results as </w:t>
      </w:r>
      <w:r w:rsidR="00F457FA">
        <w:rPr>
          <w:rFonts w:ascii="Garamond" w:hAnsi="Garamond"/>
        </w:rPr>
        <w:t xml:space="preserve">an </w:t>
      </w:r>
      <w:r w:rsidRPr="0075362C">
        <w:rPr>
          <w:rFonts w:ascii="Garamond" w:hAnsi="Garamond"/>
        </w:rPr>
        <w:t>example and discuss the main findings for all other biomarkers.</w:t>
      </w:r>
      <w:r w:rsidR="009F64D8">
        <w:rPr>
          <w:rFonts w:ascii="Garamond" w:hAnsi="Garamond"/>
        </w:rPr>
        <w:t xml:space="preserve"> </w:t>
      </w:r>
      <w:r>
        <w:rPr>
          <w:rFonts w:ascii="Garamond" w:hAnsi="Garamond"/>
        </w:rPr>
        <w:t xml:space="preserve">Table 7 shows </w:t>
      </w:r>
      <w:r w:rsidR="004631AE">
        <w:rPr>
          <w:rFonts w:ascii="Garamond" w:hAnsi="Garamond"/>
        </w:rPr>
        <w:t>that females have generally higher values of cholesterol</w:t>
      </w:r>
      <w:r>
        <w:rPr>
          <w:rFonts w:ascii="Garamond" w:hAnsi="Garamond"/>
        </w:rPr>
        <w:t xml:space="preserve"> </w:t>
      </w:r>
      <w:r w:rsidR="00505BAB">
        <w:rPr>
          <w:rFonts w:ascii="Garamond" w:hAnsi="Garamond"/>
        </w:rPr>
        <w:t xml:space="preserve">at </w:t>
      </w:r>
      <w:r w:rsidR="0087530A">
        <w:rPr>
          <w:rFonts w:ascii="Garamond" w:hAnsi="Garamond"/>
        </w:rPr>
        <w:t>most</w:t>
      </w:r>
      <w:r w:rsidR="00505BAB">
        <w:rPr>
          <w:rFonts w:ascii="Garamond" w:hAnsi="Garamond"/>
        </w:rPr>
        <w:t xml:space="preserve"> quantiles</w:t>
      </w:r>
      <w:r w:rsidR="004631AE">
        <w:rPr>
          <w:rFonts w:ascii="Garamond" w:hAnsi="Garamond"/>
        </w:rPr>
        <w:t xml:space="preserve"> of </w:t>
      </w:r>
      <w:r w:rsidR="0087530A">
        <w:rPr>
          <w:rFonts w:ascii="Garamond" w:hAnsi="Garamond"/>
        </w:rPr>
        <w:t xml:space="preserve">the </w:t>
      </w:r>
      <w:r w:rsidR="004631AE">
        <w:rPr>
          <w:rFonts w:ascii="Garamond" w:hAnsi="Garamond"/>
        </w:rPr>
        <w:t>distribution</w:t>
      </w:r>
      <w:r>
        <w:rPr>
          <w:rFonts w:ascii="Garamond" w:hAnsi="Garamond"/>
        </w:rPr>
        <w:t>.</w:t>
      </w:r>
      <w:r w:rsidR="00817D81">
        <w:rPr>
          <w:rFonts w:ascii="Garamond" w:hAnsi="Garamond"/>
        </w:rPr>
        <w:t xml:space="preserve"> </w:t>
      </w:r>
      <w:r w:rsidR="00A13DC4">
        <w:rPr>
          <w:rFonts w:ascii="Garamond" w:hAnsi="Garamond"/>
        </w:rPr>
        <w:t>This is not surprising and this is partly explained by</w:t>
      </w:r>
      <w:r w:rsidR="00817D81">
        <w:rPr>
          <w:rFonts w:ascii="Garamond" w:hAnsi="Garamond"/>
        </w:rPr>
        <w:t xml:space="preserve"> </w:t>
      </w:r>
      <w:r w:rsidR="00A13DC4" w:rsidRPr="00A13DC4">
        <w:rPr>
          <w:rFonts w:ascii="Garamond" w:hAnsi="Garamond"/>
        </w:rPr>
        <w:t xml:space="preserve">the female sex hormone </w:t>
      </w:r>
      <w:r w:rsidR="00485996">
        <w:rPr>
          <w:rFonts w:ascii="Garamond" w:hAnsi="Garamond"/>
        </w:rPr>
        <w:t>o</w:t>
      </w:r>
      <w:r w:rsidR="00A13DC4" w:rsidRPr="00A13DC4">
        <w:rPr>
          <w:rFonts w:ascii="Garamond" w:hAnsi="Garamond"/>
        </w:rPr>
        <w:t>estrogen which tends to raise </w:t>
      </w:r>
      <w:hyperlink r:id="rId9" w:history="1">
        <w:r w:rsidR="00A13DC4" w:rsidRPr="00A13DC4">
          <w:rPr>
            <w:rFonts w:ascii="Garamond" w:hAnsi="Garamond"/>
          </w:rPr>
          <w:t>HDL cholesterol</w:t>
        </w:r>
      </w:hyperlink>
      <w:r w:rsidR="00A13DC4" w:rsidRPr="00A13DC4">
        <w:rPr>
          <w:rFonts w:ascii="Garamond" w:hAnsi="Garamond"/>
        </w:rPr>
        <w:t xml:space="preserve"> (</w:t>
      </w:r>
      <w:r w:rsidR="00745F89">
        <w:rPr>
          <w:rFonts w:ascii="Garamond" w:hAnsi="Garamond"/>
        </w:rPr>
        <w:t>“</w:t>
      </w:r>
      <w:r w:rsidR="00A13DC4" w:rsidRPr="00A13DC4">
        <w:rPr>
          <w:rFonts w:ascii="Garamond" w:hAnsi="Garamond"/>
        </w:rPr>
        <w:t>good cholesterol</w:t>
      </w:r>
      <w:r w:rsidR="00745F89">
        <w:rPr>
          <w:rFonts w:ascii="Garamond" w:hAnsi="Garamond"/>
        </w:rPr>
        <w:t>”)</w:t>
      </w:r>
      <w:r w:rsidR="00A13DC4" w:rsidRPr="00A13DC4">
        <w:rPr>
          <w:rFonts w:ascii="Garamond" w:hAnsi="Garamond"/>
        </w:rPr>
        <w:t>.</w:t>
      </w:r>
      <w:r w:rsidR="00A13DC4">
        <w:rPr>
          <w:rStyle w:val="apple-converted-space"/>
          <w:rFonts w:ascii="Arial" w:hAnsi="Arial" w:cs="Arial"/>
          <w:color w:val="000000"/>
          <w:sz w:val="14"/>
          <w:szCs w:val="14"/>
        </w:rPr>
        <w:t> </w:t>
      </w:r>
      <w:r>
        <w:rPr>
          <w:rFonts w:ascii="Garamond" w:hAnsi="Garamond"/>
        </w:rPr>
        <w:t xml:space="preserve"> </w:t>
      </w:r>
      <w:r w:rsidR="00505BAB">
        <w:rPr>
          <w:rFonts w:ascii="Garamond" w:hAnsi="Garamond"/>
        </w:rPr>
        <w:t>However</w:t>
      </w:r>
      <w:r w:rsidR="004600EB">
        <w:rPr>
          <w:rFonts w:ascii="Garamond" w:hAnsi="Garamond"/>
        </w:rPr>
        <w:t xml:space="preserve">, </w:t>
      </w:r>
      <w:r w:rsidR="00A13DC4">
        <w:rPr>
          <w:rFonts w:ascii="Garamond" w:hAnsi="Garamond"/>
        </w:rPr>
        <w:t xml:space="preserve">according to our results, </w:t>
      </w:r>
      <w:r w:rsidR="004600EB">
        <w:rPr>
          <w:rFonts w:ascii="Garamond" w:hAnsi="Garamond"/>
        </w:rPr>
        <w:t>gender differentials are</w:t>
      </w:r>
      <w:r w:rsidR="00933402">
        <w:rPr>
          <w:rFonts w:ascii="Garamond" w:hAnsi="Garamond"/>
        </w:rPr>
        <w:t xml:space="preserve"> not the same along the entire distribution. They are</w:t>
      </w:r>
      <w:r w:rsidR="004600EB">
        <w:rPr>
          <w:rFonts w:ascii="Garamond" w:hAnsi="Garamond"/>
        </w:rPr>
        <w:t xml:space="preserve"> negligible and not statistically significant at the 25</w:t>
      </w:r>
      <w:r w:rsidR="004600EB" w:rsidRPr="004600EB">
        <w:rPr>
          <w:rFonts w:ascii="Garamond" w:hAnsi="Garamond"/>
          <w:vertAlign w:val="superscript"/>
        </w:rPr>
        <w:t>th</w:t>
      </w:r>
      <w:r w:rsidR="004600EB">
        <w:rPr>
          <w:rFonts w:ascii="Garamond" w:hAnsi="Garamond"/>
        </w:rPr>
        <w:t xml:space="preserve"> and 50</w:t>
      </w:r>
      <w:r w:rsidR="004600EB" w:rsidRPr="004600EB">
        <w:rPr>
          <w:rFonts w:ascii="Garamond" w:hAnsi="Garamond"/>
          <w:vertAlign w:val="superscript"/>
        </w:rPr>
        <w:t>th</w:t>
      </w:r>
      <w:r w:rsidR="004600EB">
        <w:rPr>
          <w:rFonts w:ascii="Garamond" w:hAnsi="Garamond"/>
        </w:rPr>
        <w:t xml:space="preserve"> percentile</w:t>
      </w:r>
      <w:r w:rsidR="0087530A">
        <w:rPr>
          <w:rFonts w:ascii="Garamond" w:hAnsi="Garamond"/>
        </w:rPr>
        <w:t>s</w:t>
      </w:r>
      <w:r w:rsidR="00BC5D0B">
        <w:rPr>
          <w:rFonts w:ascii="Garamond" w:hAnsi="Garamond"/>
        </w:rPr>
        <w:t>,</w:t>
      </w:r>
      <w:r w:rsidR="004600EB">
        <w:rPr>
          <w:rFonts w:ascii="Garamond" w:hAnsi="Garamond"/>
        </w:rPr>
        <w:t xml:space="preserve"> while they are high and statistically significant at the 90</w:t>
      </w:r>
      <w:r w:rsidR="004600EB" w:rsidRPr="004600EB">
        <w:rPr>
          <w:rFonts w:ascii="Garamond" w:hAnsi="Garamond"/>
          <w:vertAlign w:val="superscript"/>
        </w:rPr>
        <w:t>th</w:t>
      </w:r>
      <w:r w:rsidR="004600EB">
        <w:rPr>
          <w:rFonts w:ascii="Garamond" w:hAnsi="Garamond"/>
        </w:rPr>
        <w:t xml:space="preserve"> (0.2</w:t>
      </w:r>
      <w:r w:rsidR="00105002">
        <w:rPr>
          <w:rFonts w:ascii="Garamond" w:hAnsi="Garamond"/>
        </w:rPr>
        <w:t>3</w:t>
      </w:r>
      <w:r w:rsidR="004600EB">
        <w:rPr>
          <w:rFonts w:ascii="Garamond" w:hAnsi="Garamond"/>
        </w:rPr>
        <w:t xml:space="preserve"> points</w:t>
      </w:r>
      <w:r w:rsidR="004033FE">
        <w:rPr>
          <w:rFonts w:ascii="Garamond" w:hAnsi="Garamond"/>
        </w:rPr>
        <w:t xml:space="preserve"> is the total gender differential</w:t>
      </w:r>
      <w:r w:rsidR="004600EB">
        <w:rPr>
          <w:rFonts w:ascii="Garamond" w:hAnsi="Garamond"/>
        </w:rPr>
        <w:t>) and 95</w:t>
      </w:r>
      <w:r w:rsidR="004600EB" w:rsidRPr="004600EB">
        <w:rPr>
          <w:rFonts w:ascii="Garamond" w:hAnsi="Garamond"/>
          <w:vertAlign w:val="superscript"/>
        </w:rPr>
        <w:t>th</w:t>
      </w:r>
      <w:r w:rsidR="004600EB">
        <w:rPr>
          <w:rFonts w:ascii="Garamond" w:hAnsi="Garamond"/>
        </w:rPr>
        <w:t xml:space="preserve"> percentile (around 0.28 points). </w:t>
      </w:r>
      <w:r w:rsidR="00FA7873">
        <w:rPr>
          <w:rFonts w:ascii="Garamond" w:hAnsi="Garamond"/>
        </w:rPr>
        <w:t>The s</w:t>
      </w:r>
      <w:r w:rsidR="009F64D8">
        <w:rPr>
          <w:rFonts w:ascii="Garamond" w:hAnsi="Garamond"/>
        </w:rPr>
        <w:t>econd and third row</w:t>
      </w:r>
      <w:r w:rsidR="00FA7873">
        <w:rPr>
          <w:rFonts w:ascii="Garamond" w:hAnsi="Garamond"/>
        </w:rPr>
        <w:t>s</w:t>
      </w:r>
      <w:r w:rsidR="009F64D8">
        <w:rPr>
          <w:rFonts w:ascii="Garamond" w:hAnsi="Garamond"/>
        </w:rPr>
        <w:t xml:space="preserve"> of </w:t>
      </w:r>
      <w:r w:rsidR="00F457FA">
        <w:rPr>
          <w:rFonts w:ascii="Garamond" w:hAnsi="Garamond"/>
        </w:rPr>
        <w:t>T</w:t>
      </w:r>
      <w:r w:rsidR="009F64D8">
        <w:rPr>
          <w:rFonts w:ascii="Garamond" w:hAnsi="Garamond"/>
        </w:rPr>
        <w:t xml:space="preserve">able 7 shows that this is </w:t>
      </w:r>
      <w:r w:rsidR="004600EB">
        <w:rPr>
          <w:rFonts w:ascii="Garamond" w:hAnsi="Garamond"/>
        </w:rPr>
        <w:t>explained both by a</w:t>
      </w:r>
      <w:r w:rsidR="009F64D8">
        <w:rPr>
          <w:rFonts w:ascii="Garamond" w:hAnsi="Garamond"/>
        </w:rPr>
        <w:t xml:space="preserve"> </w:t>
      </w:r>
      <w:r w:rsidR="004600EB">
        <w:rPr>
          <w:rFonts w:ascii="Garamond" w:hAnsi="Garamond"/>
        </w:rPr>
        <w:t xml:space="preserve">difference in </w:t>
      </w:r>
      <w:r w:rsidR="009F64D8">
        <w:rPr>
          <w:rFonts w:ascii="Garamond" w:hAnsi="Garamond"/>
        </w:rPr>
        <w:t>the impact of covariates</w:t>
      </w:r>
      <w:r w:rsidR="004600EB">
        <w:rPr>
          <w:rFonts w:ascii="Garamond" w:hAnsi="Garamond"/>
        </w:rPr>
        <w:t xml:space="preserve"> on cholesterol</w:t>
      </w:r>
      <w:r w:rsidR="009F64D8">
        <w:rPr>
          <w:rFonts w:ascii="Garamond" w:hAnsi="Garamond"/>
        </w:rPr>
        <w:t xml:space="preserve"> (“unexplained part”) </w:t>
      </w:r>
      <w:r w:rsidR="004600EB">
        <w:rPr>
          <w:rFonts w:ascii="Garamond" w:hAnsi="Garamond"/>
        </w:rPr>
        <w:t xml:space="preserve">and by </w:t>
      </w:r>
      <w:r w:rsidR="009F64D8">
        <w:rPr>
          <w:rFonts w:ascii="Garamond" w:hAnsi="Garamond"/>
        </w:rPr>
        <w:t>compositional differences in covariates (“explained part”).</w:t>
      </w:r>
      <w:r w:rsidR="004600EB">
        <w:rPr>
          <w:rFonts w:ascii="Garamond" w:hAnsi="Garamond"/>
        </w:rPr>
        <w:t xml:space="preserve"> At high levels of cholesterol (at the 75</w:t>
      </w:r>
      <w:r w:rsidR="004600EB" w:rsidRPr="004600EB">
        <w:rPr>
          <w:rFonts w:ascii="Garamond" w:hAnsi="Garamond"/>
          <w:vertAlign w:val="superscript"/>
        </w:rPr>
        <w:t>th</w:t>
      </w:r>
      <w:r w:rsidR="004600EB">
        <w:rPr>
          <w:rFonts w:ascii="Garamond" w:hAnsi="Garamond"/>
        </w:rPr>
        <w:t xml:space="preserve"> and 90</w:t>
      </w:r>
      <w:r w:rsidR="004600EB" w:rsidRPr="004600EB">
        <w:rPr>
          <w:rFonts w:ascii="Garamond" w:hAnsi="Garamond"/>
          <w:vertAlign w:val="superscript"/>
        </w:rPr>
        <w:t>th</w:t>
      </w:r>
      <w:r w:rsidR="004600EB">
        <w:rPr>
          <w:rFonts w:ascii="Garamond" w:hAnsi="Garamond"/>
        </w:rPr>
        <w:t xml:space="preserve"> percentile) compositional differences are predominant, while at extreme levels of cholesterol (at the 95</w:t>
      </w:r>
      <w:r w:rsidR="004600EB" w:rsidRPr="004600EB">
        <w:rPr>
          <w:rFonts w:ascii="Garamond" w:hAnsi="Garamond"/>
          <w:vertAlign w:val="superscript"/>
        </w:rPr>
        <w:t>th</w:t>
      </w:r>
      <w:r w:rsidR="004600EB">
        <w:rPr>
          <w:rFonts w:ascii="Garamond" w:hAnsi="Garamond"/>
        </w:rPr>
        <w:t xml:space="preserve"> percentile), the unexplained part is more important to explain gender differentials. </w:t>
      </w:r>
    </w:p>
    <w:p w14:paraId="6240F4C9" w14:textId="567A53DC" w:rsidR="009F64D8" w:rsidRDefault="009F64D8" w:rsidP="00D428FB">
      <w:pPr>
        <w:jc w:val="both"/>
        <w:rPr>
          <w:rFonts w:ascii="Garamond" w:hAnsi="Garamond"/>
        </w:rPr>
      </w:pPr>
      <w:r>
        <w:rPr>
          <w:rFonts w:ascii="Garamond" w:hAnsi="Garamond"/>
        </w:rPr>
        <w:t xml:space="preserve">The detailed contribution of income and the other covariates is presented </w:t>
      </w:r>
      <w:r w:rsidR="00A13DC4">
        <w:rPr>
          <w:rFonts w:ascii="Garamond" w:hAnsi="Garamond"/>
        </w:rPr>
        <w:t xml:space="preserve">in </w:t>
      </w:r>
      <w:r w:rsidR="00485996">
        <w:rPr>
          <w:rFonts w:ascii="Garamond" w:hAnsi="Garamond"/>
        </w:rPr>
        <w:t>F</w:t>
      </w:r>
      <w:r w:rsidR="00A13DC4">
        <w:rPr>
          <w:rFonts w:ascii="Garamond" w:hAnsi="Garamond"/>
        </w:rPr>
        <w:t xml:space="preserve">igure </w:t>
      </w:r>
      <w:r w:rsidR="00D27D0A">
        <w:rPr>
          <w:rFonts w:ascii="Garamond" w:hAnsi="Garamond"/>
        </w:rPr>
        <w:t>5</w:t>
      </w:r>
      <w:r w:rsidR="00A13DC4">
        <w:rPr>
          <w:rFonts w:ascii="Garamond" w:hAnsi="Garamond"/>
        </w:rPr>
        <w:t xml:space="preserve">. </w:t>
      </w:r>
      <w:r w:rsidR="00485996">
        <w:rPr>
          <w:rFonts w:ascii="Garamond" w:hAnsi="Garamond"/>
        </w:rPr>
        <w:t>The d</w:t>
      </w:r>
      <w:r w:rsidR="00A13DC4">
        <w:rPr>
          <w:rFonts w:ascii="Garamond" w:hAnsi="Garamond"/>
        </w:rPr>
        <w:t xml:space="preserve">ecomposition </w:t>
      </w:r>
      <w:r w:rsidR="00933402">
        <w:rPr>
          <w:rFonts w:ascii="Garamond" w:hAnsi="Garamond"/>
        </w:rPr>
        <w:t>exercise</w:t>
      </w:r>
      <w:r w:rsidR="00A13DC4">
        <w:rPr>
          <w:rFonts w:ascii="Garamond" w:hAnsi="Garamond"/>
        </w:rPr>
        <w:t xml:space="preserve"> show</w:t>
      </w:r>
      <w:r w:rsidR="00933402">
        <w:rPr>
          <w:rFonts w:ascii="Garamond" w:hAnsi="Garamond"/>
        </w:rPr>
        <w:t>s</w:t>
      </w:r>
      <w:r w:rsidR="00A13DC4">
        <w:rPr>
          <w:rFonts w:ascii="Garamond" w:hAnsi="Garamond"/>
        </w:rPr>
        <w:t xml:space="preserve"> a large contribution of demographics (red bar) at </w:t>
      </w:r>
      <w:r w:rsidR="00485996">
        <w:rPr>
          <w:rFonts w:ascii="Garamond" w:hAnsi="Garamond"/>
        </w:rPr>
        <w:t xml:space="preserve">the </w:t>
      </w:r>
      <w:r w:rsidR="00A13DC4">
        <w:rPr>
          <w:rFonts w:ascii="Garamond" w:hAnsi="Garamond"/>
        </w:rPr>
        <w:t>low</w:t>
      </w:r>
      <w:r w:rsidR="00933402">
        <w:rPr>
          <w:rFonts w:ascii="Garamond" w:hAnsi="Garamond"/>
        </w:rPr>
        <w:t>est</w:t>
      </w:r>
      <w:r w:rsidR="00A13DC4">
        <w:rPr>
          <w:rFonts w:ascii="Garamond" w:hAnsi="Garamond"/>
        </w:rPr>
        <w:t xml:space="preserve"> levels of cholesterol. This contribution is mainly due to a difference in the associa</w:t>
      </w:r>
      <w:r w:rsidR="00FA0A6F">
        <w:rPr>
          <w:rFonts w:ascii="Garamond" w:hAnsi="Garamond"/>
        </w:rPr>
        <w:t xml:space="preserve">tion of health to demographics </w:t>
      </w:r>
      <w:r w:rsidR="00A13DC4">
        <w:rPr>
          <w:rFonts w:ascii="Garamond" w:hAnsi="Garamond"/>
        </w:rPr>
        <w:t xml:space="preserve">while compositional differences are less important. The contribution of education is important </w:t>
      </w:r>
      <w:r w:rsidR="006536D3">
        <w:rPr>
          <w:rFonts w:ascii="Garamond" w:hAnsi="Garamond"/>
        </w:rPr>
        <w:t>especially from the 75</w:t>
      </w:r>
      <w:r w:rsidR="006536D3" w:rsidRPr="006536D3">
        <w:rPr>
          <w:rFonts w:ascii="Garamond" w:hAnsi="Garamond"/>
          <w:vertAlign w:val="superscript"/>
        </w:rPr>
        <w:t>th</w:t>
      </w:r>
      <w:r w:rsidR="006536D3">
        <w:rPr>
          <w:rFonts w:ascii="Garamond" w:hAnsi="Garamond"/>
        </w:rPr>
        <w:t xml:space="preserve"> percentile and it is also due to differences in the association of health to education across genders. The contribution of income is predominant from the 25</w:t>
      </w:r>
      <w:r w:rsidR="006536D3" w:rsidRPr="006536D3">
        <w:rPr>
          <w:rFonts w:ascii="Garamond" w:hAnsi="Garamond"/>
          <w:vertAlign w:val="superscript"/>
        </w:rPr>
        <w:t>th</w:t>
      </w:r>
      <w:r w:rsidR="006536D3">
        <w:rPr>
          <w:rFonts w:ascii="Garamond" w:hAnsi="Garamond"/>
        </w:rPr>
        <w:t xml:space="preserve"> percentile of the cholesterol distribution and it is </w:t>
      </w:r>
      <w:r w:rsidR="004033FE">
        <w:rPr>
          <w:rFonts w:ascii="Garamond" w:hAnsi="Garamond"/>
        </w:rPr>
        <w:t>particularly</w:t>
      </w:r>
      <w:r w:rsidR="006536D3">
        <w:rPr>
          <w:rFonts w:ascii="Garamond" w:hAnsi="Garamond"/>
        </w:rPr>
        <w:t xml:space="preserve"> high </w:t>
      </w:r>
      <w:r w:rsidR="006536D3">
        <w:rPr>
          <w:rFonts w:ascii="Garamond" w:hAnsi="Garamond"/>
        </w:rPr>
        <w:lastRenderedPageBreak/>
        <w:t>at the extreme levels of cholesterol (95</w:t>
      </w:r>
      <w:r w:rsidR="006536D3" w:rsidRPr="006536D3">
        <w:rPr>
          <w:rFonts w:ascii="Garamond" w:hAnsi="Garamond"/>
          <w:vertAlign w:val="superscript"/>
        </w:rPr>
        <w:t>th</w:t>
      </w:r>
      <w:r w:rsidR="006536D3">
        <w:rPr>
          <w:rFonts w:ascii="Garamond" w:hAnsi="Garamond"/>
        </w:rPr>
        <w:t xml:space="preserve"> percentile). Also in the case of income, gender differentials in </w:t>
      </w:r>
      <w:r w:rsidR="002E027D">
        <w:rPr>
          <w:rFonts w:ascii="Garamond" w:hAnsi="Garamond"/>
        </w:rPr>
        <w:t xml:space="preserve">the </w:t>
      </w:r>
      <w:r w:rsidR="006536D3">
        <w:rPr>
          <w:rFonts w:ascii="Garamond" w:hAnsi="Garamond"/>
        </w:rPr>
        <w:t xml:space="preserve">income-health association (“elasticity effect”) are much more important than compositional differences (“compositional effect”) to explain total differentials. </w:t>
      </w:r>
      <w:r w:rsidR="001B7B6C" w:rsidRPr="009051F1">
        <w:rPr>
          <w:rFonts w:ascii="Garamond" w:hAnsi="Garamond"/>
        </w:rPr>
        <w:t xml:space="preserve">The interpretation of the elasticity effect deserves more attention. The sign of the </w:t>
      </w:r>
      <w:r w:rsidR="00505BAB">
        <w:rPr>
          <w:rFonts w:ascii="Garamond" w:hAnsi="Garamond"/>
        </w:rPr>
        <w:t>elasticity effect</w:t>
      </w:r>
      <w:r w:rsidR="001B7B6C" w:rsidRPr="009051F1">
        <w:rPr>
          <w:rFonts w:ascii="Garamond" w:hAnsi="Garamond"/>
        </w:rPr>
        <w:t xml:space="preserve"> of any covariate</w:t>
      </w:r>
      <w:r w:rsidR="003366A8">
        <w:rPr>
          <w:rFonts w:ascii="Garamond" w:hAnsi="Garamond"/>
        </w:rPr>
        <w:t>s</w:t>
      </w:r>
      <w:r w:rsidR="001B7B6C" w:rsidRPr="009051F1">
        <w:rPr>
          <w:rFonts w:ascii="Garamond" w:hAnsi="Garamond"/>
        </w:rPr>
        <w:t xml:space="preserve"> in our OB decomposition</w:t>
      </w:r>
      <w:r w:rsidR="00B52F16">
        <w:rPr>
          <w:rFonts w:ascii="Garamond" w:hAnsi="Garamond"/>
        </w:rPr>
        <w:t xml:space="preserve"> c</w:t>
      </w:r>
      <w:r w:rsidR="00505BAB">
        <w:rPr>
          <w:rFonts w:ascii="Garamond" w:hAnsi="Garamond"/>
        </w:rPr>
        <w:t xml:space="preserve">omes from </w:t>
      </w:r>
      <w:r w:rsidR="00421DDE">
        <w:rPr>
          <w:rFonts w:ascii="Garamond" w:hAnsi="Garamond"/>
        </w:rPr>
        <w:t xml:space="preserve">the second term in </w:t>
      </w:r>
      <w:r w:rsidR="00505BAB">
        <w:rPr>
          <w:rFonts w:ascii="Garamond" w:hAnsi="Garamond"/>
        </w:rPr>
        <w:t xml:space="preserve">equation (5) and it </w:t>
      </w:r>
      <w:r w:rsidR="001B7B6C" w:rsidRPr="009051F1">
        <w:rPr>
          <w:rFonts w:ascii="Garamond" w:hAnsi="Garamond"/>
        </w:rPr>
        <w:t>depends on two factors</w:t>
      </w:r>
      <w:r w:rsidR="001B7B6C" w:rsidRPr="00B36F3E">
        <w:rPr>
          <w:rFonts w:ascii="Garamond" w:hAnsi="Garamond"/>
          <w:i/>
        </w:rPr>
        <w:t xml:space="preserve">: </w:t>
      </w:r>
      <w:r w:rsidR="001B7B6C" w:rsidRPr="009051F1">
        <w:rPr>
          <w:rFonts w:ascii="Garamond" w:hAnsi="Garamond"/>
        </w:rPr>
        <w:t>the sign of the coefficient</w:t>
      </w:r>
      <w:r w:rsidR="000E5DD0">
        <w:rPr>
          <w:rFonts w:ascii="Garamond" w:hAnsi="Garamond"/>
        </w:rPr>
        <w:t>s (</w:t>
      </w:r>
      <m:oMath>
        <m:sSub>
          <m:sSubPr>
            <m:ctrlPr>
              <w:rPr>
                <w:rFonts w:ascii="Cambria Math" w:hAnsi="Cambria Math"/>
                <w:i/>
              </w:rPr>
            </m:ctrlPr>
          </m:sSubPr>
          <m:e>
            <m:r>
              <w:rPr>
                <w:rFonts w:ascii="Cambria Math" w:hAnsi="Cambria Math"/>
              </w:rPr>
              <m:t>δ</m:t>
            </m:r>
          </m:e>
          <m:sub>
            <m:r>
              <w:rPr>
                <w:rFonts w:ascii="Cambria Math" w:hAnsi="Cambria Math"/>
              </w:rPr>
              <m:t>F</m:t>
            </m:r>
          </m:sub>
        </m:sSub>
      </m:oMath>
      <w:r w:rsidR="000E5DD0">
        <w:rPr>
          <w:rFonts w:ascii="Garamond" w:hAnsi="Garamond"/>
        </w:rPr>
        <w:t xml:space="preserve">and </w:t>
      </w:r>
      <m:oMath>
        <m:sSub>
          <m:sSubPr>
            <m:ctrlPr>
              <w:rPr>
                <w:rFonts w:ascii="Cambria Math" w:hAnsi="Cambria Math"/>
                <w:i/>
              </w:rPr>
            </m:ctrlPr>
          </m:sSubPr>
          <m:e>
            <m:r>
              <w:rPr>
                <w:rFonts w:ascii="Cambria Math" w:hAnsi="Cambria Math"/>
              </w:rPr>
              <m:t>δ</m:t>
            </m:r>
          </m:e>
          <m:sub>
            <m:r>
              <w:rPr>
                <w:rFonts w:ascii="Cambria Math" w:hAnsi="Cambria Math"/>
              </w:rPr>
              <m:t>M</m:t>
            </m:r>
          </m:sub>
        </m:sSub>
      </m:oMath>
      <w:r w:rsidR="000E5DD0">
        <w:rPr>
          <w:rFonts w:ascii="Garamond" w:hAnsi="Garamond"/>
        </w:rPr>
        <w:t>)</w:t>
      </w:r>
      <w:r w:rsidR="002E027D">
        <w:rPr>
          <w:rFonts w:ascii="Garamond" w:hAnsi="Garamond"/>
        </w:rPr>
        <w:t>; and</w:t>
      </w:r>
      <w:r w:rsidR="001B7B6C" w:rsidRPr="009051F1">
        <w:rPr>
          <w:rFonts w:ascii="Garamond" w:hAnsi="Garamond"/>
        </w:rPr>
        <w:t xml:space="preserve"> the differences in coefficients between </w:t>
      </w:r>
      <w:r w:rsidR="006536D3">
        <w:rPr>
          <w:rFonts w:ascii="Garamond" w:hAnsi="Garamond"/>
        </w:rPr>
        <w:t>the regression on the subsample</w:t>
      </w:r>
      <w:r w:rsidR="008627B2">
        <w:rPr>
          <w:rFonts w:ascii="Garamond" w:hAnsi="Garamond"/>
        </w:rPr>
        <w:t xml:space="preserve"> of</w:t>
      </w:r>
      <w:r w:rsidR="006536D3">
        <w:rPr>
          <w:rFonts w:ascii="Garamond" w:hAnsi="Garamond"/>
        </w:rPr>
        <w:t xml:space="preserve"> males and the subsample of females</w:t>
      </w:r>
      <w:r w:rsidR="000E5DD0">
        <w:rPr>
          <w:rFonts w:ascii="Garamond" w:hAnsi="Garamond"/>
        </w:rPr>
        <w:t xml:space="preserve"> (</w:t>
      </w:r>
      <m:oMath>
        <m:sSub>
          <m:sSubPr>
            <m:ctrlPr>
              <w:rPr>
                <w:rFonts w:ascii="Cambria Math" w:hAnsi="Cambria Math"/>
                <w:i/>
              </w:rPr>
            </m:ctrlPr>
          </m:sSubPr>
          <m:e>
            <m:r>
              <w:rPr>
                <w:rFonts w:ascii="Cambria Math" w:hAnsi="Cambria Math"/>
              </w:rPr>
              <m:t>δ</m:t>
            </m:r>
          </m:e>
          <m:sub>
            <m:r>
              <w:rPr>
                <w:rFonts w:ascii="Cambria Math" w:hAnsi="Cambria Math"/>
              </w:rPr>
              <m:t>F</m:t>
            </m:r>
          </m:sub>
        </m:sSub>
      </m:oMath>
      <w:r w:rsidR="000E5DD0">
        <w:rPr>
          <w:rFonts w:ascii="Garamond" w:hAnsi="Garamond"/>
        </w:rPr>
        <w:t xml:space="preserve">- </w:t>
      </w:r>
      <m:oMath>
        <m:sSub>
          <m:sSubPr>
            <m:ctrlPr>
              <w:rPr>
                <w:rFonts w:ascii="Cambria Math" w:hAnsi="Cambria Math"/>
                <w:i/>
              </w:rPr>
            </m:ctrlPr>
          </m:sSubPr>
          <m:e>
            <m:r>
              <w:rPr>
                <w:rFonts w:ascii="Cambria Math" w:hAnsi="Cambria Math"/>
              </w:rPr>
              <m:t>δ</m:t>
            </m:r>
          </m:e>
          <m:sub>
            <m:r>
              <w:rPr>
                <w:rFonts w:ascii="Cambria Math" w:hAnsi="Cambria Math"/>
              </w:rPr>
              <m:t>M</m:t>
            </m:r>
          </m:sub>
        </m:sSub>
      </m:oMath>
      <w:r w:rsidR="000E5DD0">
        <w:rPr>
          <w:rFonts w:ascii="Garamond" w:hAnsi="Garamond"/>
        </w:rPr>
        <w:t>)</w:t>
      </w:r>
      <w:r w:rsidR="001B7B6C" w:rsidRPr="009051F1">
        <w:rPr>
          <w:rFonts w:ascii="Garamond" w:hAnsi="Garamond"/>
        </w:rPr>
        <w:t xml:space="preserve">. </w:t>
      </w:r>
      <w:r w:rsidR="009B10A8" w:rsidRPr="009051F1">
        <w:rPr>
          <w:rFonts w:ascii="Garamond" w:hAnsi="Garamond"/>
        </w:rPr>
        <w:t>W</w:t>
      </w:r>
      <w:r w:rsidR="001B7B6C" w:rsidRPr="009051F1">
        <w:rPr>
          <w:rFonts w:ascii="Garamond" w:hAnsi="Garamond"/>
        </w:rPr>
        <w:t>hen the coefficient</w:t>
      </w:r>
      <w:r w:rsidR="000E5DD0">
        <w:rPr>
          <w:rFonts w:ascii="Garamond" w:hAnsi="Garamond"/>
        </w:rPr>
        <w:t>s</w:t>
      </w:r>
      <w:r w:rsidR="00421DDE">
        <w:rPr>
          <w:rFonts w:ascii="Garamond" w:hAnsi="Garamond"/>
        </w:rPr>
        <w:t xml:space="preserve"> </w:t>
      </w:r>
      <w:r w:rsidR="000E5DD0">
        <w:rPr>
          <w:rFonts w:ascii="Garamond" w:hAnsi="Garamond"/>
        </w:rPr>
        <w:t>are</w:t>
      </w:r>
      <w:r w:rsidR="001B7B6C" w:rsidRPr="009051F1">
        <w:rPr>
          <w:rFonts w:ascii="Garamond" w:hAnsi="Garamond"/>
        </w:rPr>
        <w:t xml:space="preserve"> negative, a positive</w:t>
      </w:r>
      <w:r w:rsidR="009B10A8" w:rsidRPr="009051F1">
        <w:rPr>
          <w:rFonts w:ascii="Garamond" w:hAnsi="Garamond"/>
        </w:rPr>
        <w:t xml:space="preserve"> (negative)</w:t>
      </w:r>
      <w:r w:rsidR="001B7B6C" w:rsidRPr="009051F1">
        <w:rPr>
          <w:rFonts w:ascii="Garamond" w:hAnsi="Garamond"/>
        </w:rPr>
        <w:t xml:space="preserve"> </w:t>
      </w:r>
      <w:r w:rsidR="008F6FF0">
        <w:rPr>
          <w:rFonts w:ascii="Garamond" w:hAnsi="Garamond"/>
        </w:rPr>
        <w:t>elasticity effect</w:t>
      </w:r>
      <w:r w:rsidR="001B7B6C" w:rsidRPr="009051F1">
        <w:rPr>
          <w:rFonts w:ascii="Garamond" w:hAnsi="Garamond"/>
        </w:rPr>
        <w:t xml:space="preserve"> arises </w:t>
      </w:r>
      <w:r w:rsidR="009B10A8" w:rsidRPr="009051F1">
        <w:rPr>
          <w:rFonts w:ascii="Garamond" w:hAnsi="Garamond"/>
        </w:rPr>
        <w:t>when</w:t>
      </w:r>
      <w:r w:rsidR="001B7B6C" w:rsidRPr="009051F1">
        <w:rPr>
          <w:rFonts w:ascii="Garamond" w:hAnsi="Garamond"/>
        </w:rPr>
        <w:t xml:space="preserve"> the </w:t>
      </w:r>
      <w:r w:rsidR="009B10A8" w:rsidRPr="009051F1">
        <w:rPr>
          <w:rFonts w:ascii="Garamond" w:hAnsi="Garamond"/>
        </w:rPr>
        <w:t xml:space="preserve">coefficient </w:t>
      </w:r>
      <w:r w:rsidR="006536D3">
        <w:rPr>
          <w:rFonts w:ascii="Garamond" w:hAnsi="Garamond"/>
        </w:rPr>
        <w:t>of female regression is</w:t>
      </w:r>
      <w:r w:rsidR="009B10A8" w:rsidRPr="009051F1">
        <w:rPr>
          <w:rFonts w:ascii="Garamond" w:hAnsi="Garamond"/>
        </w:rPr>
        <w:t xml:space="preserve"> larger (smaller) in magnitude than the coefficient </w:t>
      </w:r>
      <w:r w:rsidR="006536D3">
        <w:rPr>
          <w:rFonts w:ascii="Garamond" w:hAnsi="Garamond"/>
        </w:rPr>
        <w:t>of male regression</w:t>
      </w:r>
      <w:r w:rsidR="009B10A8" w:rsidRPr="009051F1">
        <w:rPr>
          <w:rFonts w:ascii="Garamond" w:hAnsi="Garamond"/>
        </w:rPr>
        <w:t>. On the contrary, when the coefficient</w:t>
      </w:r>
      <w:r w:rsidR="000E5DD0">
        <w:rPr>
          <w:rFonts w:ascii="Garamond" w:hAnsi="Garamond"/>
        </w:rPr>
        <w:t>s</w:t>
      </w:r>
      <w:r w:rsidR="009B10A8" w:rsidRPr="009051F1">
        <w:rPr>
          <w:rFonts w:ascii="Garamond" w:hAnsi="Garamond"/>
        </w:rPr>
        <w:t xml:space="preserve"> </w:t>
      </w:r>
      <w:r w:rsidR="000E5DD0">
        <w:rPr>
          <w:rFonts w:ascii="Garamond" w:hAnsi="Garamond"/>
        </w:rPr>
        <w:t>are</w:t>
      </w:r>
      <w:r w:rsidR="009B10A8" w:rsidRPr="009051F1">
        <w:rPr>
          <w:rFonts w:ascii="Garamond" w:hAnsi="Garamond"/>
        </w:rPr>
        <w:t xml:space="preserve"> positive, a positive</w:t>
      </w:r>
      <w:r w:rsidR="009051F1" w:rsidRPr="009051F1">
        <w:rPr>
          <w:rFonts w:ascii="Garamond" w:hAnsi="Garamond"/>
        </w:rPr>
        <w:t xml:space="preserve"> (negative)</w:t>
      </w:r>
      <w:r w:rsidR="009B10A8" w:rsidRPr="009051F1">
        <w:rPr>
          <w:rFonts w:ascii="Garamond" w:hAnsi="Garamond"/>
        </w:rPr>
        <w:t xml:space="preserve"> </w:t>
      </w:r>
      <w:r w:rsidR="008F6FF0">
        <w:rPr>
          <w:rFonts w:ascii="Garamond" w:hAnsi="Garamond"/>
        </w:rPr>
        <w:t>elasticity effect</w:t>
      </w:r>
      <w:r w:rsidR="009B10A8" w:rsidRPr="009051F1">
        <w:rPr>
          <w:rFonts w:ascii="Garamond" w:hAnsi="Garamond"/>
        </w:rPr>
        <w:t xml:space="preserve"> arises when the coefficient in the </w:t>
      </w:r>
      <w:r w:rsidR="00421DDE">
        <w:rPr>
          <w:rFonts w:ascii="Garamond" w:hAnsi="Garamond"/>
        </w:rPr>
        <w:t>female regression is smaller</w:t>
      </w:r>
      <w:r w:rsidR="009051F1" w:rsidRPr="009051F1">
        <w:rPr>
          <w:rFonts w:ascii="Garamond" w:hAnsi="Garamond"/>
        </w:rPr>
        <w:t xml:space="preserve"> (larger) than the coefficient in the </w:t>
      </w:r>
      <w:r w:rsidR="00421DDE">
        <w:rPr>
          <w:rFonts w:ascii="Garamond" w:hAnsi="Garamond"/>
        </w:rPr>
        <w:t>male regression</w:t>
      </w:r>
      <w:r w:rsidR="009051F1" w:rsidRPr="009051F1">
        <w:rPr>
          <w:rFonts w:ascii="Garamond" w:hAnsi="Garamond"/>
        </w:rPr>
        <w:t>.</w:t>
      </w:r>
      <w:r w:rsidR="00421DDE" w:rsidRPr="00421DDE">
        <w:rPr>
          <w:rFonts w:ascii="Garamond" w:hAnsi="Garamond"/>
          <w:vertAlign w:val="superscript"/>
        </w:rPr>
        <w:t xml:space="preserve"> </w:t>
      </w:r>
      <w:r w:rsidR="00421DDE" w:rsidRPr="009051F1">
        <w:rPr>
          <w:rFonts w:ascii="Garamond" w:hAnsi="Garamond"/>
          <w:vertAlign w:val="superscript"/>
        </w:rPr>
        <w:footnoteReference w:id="8"/>
      </w:r>
      <w:r w:rsidR="00B36F3E">
        <w:rPr>
          <w:rFonts w:ascii="Garamond" w:hAnsi="Garamond"/>
        </w:rPr>
        <w:t xml:space="preserve"> In the case of cholesterol, as shown in the previous section, the income coefficient </w:t>
      </w:r>
      <w:r w:rsidR="00C1430F">
        <w:rPr>
          <w:rFonts w:ascii="Garamond" w:hAnsi="Garamond"/>
        </w:rPr>
        <w:t xml:space="preserve">in the pooled regression </w:t>
      </w:r>
      <w:r w:rsidR="00B36F3E">
        <w:rPr>
          <w:rFonts w:ascii="Garamond" w:hAnsi="Garamond"/>
        </w:rPr>
        <w:t xml:space="preserve">is positive at </w:t>
      </w:r>
      <w:r w:rsidR="00FA7873">
        <w:rPr>
          <w:rFonts w:ascii="Garamond" w:hAnsi="Garamond"/>
        </w:rPr>
        <w:t xml:space="preserve">the </w:t>
      </w:r>
      <w:r w:rsidR="00B36F3E">
        <w:rPr>
          <w:rFonts w:ascii="Garamond" w:hAnsi="Garamond"/>
        </w:rPr>
        <w:t>lowest quantiles of cholesterol and negative from the 80</w:t>
      </w:r>
      <w:r w:rsidR="00B36F3E" w:rsidRPr="00B36F3E">
        <w:rPr>
          <w:rFonts w:ascii="Garamond" w:hAnsi="Garamond"/>
          <w:vertAlign w:val="superscript"/>
        </w:rPr>
        <w:t>th</w:t>
      </w:r>
      <w:r w:rsidR="00B36F3E">
        <w:rPr>
          <w:rFonts w:ascii="Garamond" w:hAnsi="Garamond"/>
        </w:rPr>
        <w:t xml:space="preserve"> percentile of cholesterol.</w:t>
      </w:r>
      <w:r w:rsidR="00B03575">
        <w:rPr>
          <w:rFonts w:ascii="Garamond" w:hAnsi="Garamond"/>
        </w:rPr>
        <w:t xml:space="preserve"> Thus, </w:t>
      </w:r>
      <w:r w:rsidR="00485996">
        <w:rPr>
          <w:rFonts w:ascii="Garamond" w:hAnsi="Garamond"/>
        </w:rPr>
        <w:t>F</w:t>
      </w:r>
      <w:r w:rsidR="00B03575">
        <w:rPr>
          <w:rFonts w:ascii="Garamond" w:hAnsi="Garamond"/>
        </w:rPr>
        <w:t>igure</w:t>
      </w:r>
      <w:r w:rsidR="00983B7B">
        <w:rPr>
          <w:rFonts w:ascii="Garamond" w:hAnsi="Garamond"/>
        </w:rPr>
        <w:t xml:space="preserve"> </w:t>
      </w:r>
      <w:r w:rsidR="00D27D0A">
        <w:rPr>
          <w:rFonts w:ascii="Garamond" w:hAnsi="Garamond"/>
        </w:rPr>
        <w:t>5</w:t>
      </w:r>
      <w:r w:rsidR="00B03575">
        <w:rPr>
          <w:rFonts w:ascii="Garamond" w:hAnsi="Garamond"/>
        </w:rPr>
        <w:t xml:space="preserve"> shows that </w:t>
      </w:r>
      <w:r w:rsidR="00B03575" w:rsidRPr="002B71F2">
        <w:rPr>
          <w:rFonts w:ascii="Garamond" w:hAnsi="Garamond"/>
        </w:rPr>
        <w:t xml:space="preserve">there is an important heterogeneity in the association of </w:t>
      </w:r>
      <w:r w:rsidR="00B03575">
        <w:rPr>
          <w:rFonts w:ascii="Garamond" w:hAnsi="Garamond"/>
        </w:rPr>
        <w:t>cholesterol</w:t>
      </w:r>
      <w:r w:rsidR="00B03575" w:rsidRPr="002B71F2">
        <w:rPr>
          <w:rFonts w:ascii="Garamond" w:hAnsi="Garamond"/>
        </w:rPr>
        <w:t xml:space="preserve"> to income which varies significantly along the </w:t>
      </w:r>
      <w:r w:rsidR="00B03575">
        <w:rPr>
          <w:rFonts w:ascii="Garamond" w:hAnsi="Garamond"/>
        </w:rPr>
        <w:t>cholesterol</w:t>
      </w:r>
      <w:r w:rsidR="00B03575" w:rsidRPr="002B71F2">
        <w:rPr>
          <w:rFonts w:ascii="Garamond" w:hAnsi="Garamond"/>
        </w:rPr>
        <w:t xml:space="preserve"> distribution</w:t>
      </w:r>
      <w:r w:rsidR="00B03575">
        <w:rPr>
          <w:rFonts w:ascii="Garamond" w:hAnsi="Garamond"/>
        </w:rPr>
        <w:t>. From the 25</w:t>
      </w:r>
      <w:r w:rsidR="00B03575" w:rsidRPr="00B03575">
        <w:rPr>
          <w:rFonts w:ascii="Garamond" w:hAnsi="Garamond"/>
          <w:vertAlign w:val="superscript"/>
        </w:rPr>
        <w:t>th</w:t>
      </w:r>
      <w:r w:rsidR="00B03575">
        <w:rPr>
          <w:rFonts w:ascii="Garamond" w:hAnsi="Garamond"/>
        </w:rPr>
        <w:t xml:space="preserve"> to the 75</w:t>
      </w:r>
      <w:r w:rsidR="00B03575" w:rsidRPr="00B03575">
        <w:rPr>
          <w:rFonts w:ascii="Garamond" w:hAnsi="Garamond"/>
          <w:vertAlign w:val="superscript"/>
        </w:rPr>
        <w:t>th</w:t>
      </w:r>
      <w:r w:rsidR="00B03575">
        <w:rPr>
          <w:rFonts w:ascii="Garamond" w:hAnsi="Garamond"/>
        </w:rPr>
        <w:t xml:space="preserve"> percentile of </w:t>
      </w:r>
      <w:r w:rsidR="002E027D">
        <w:rPr>
          <w:rFonts w:ascii="Garamond" w:hAnsi="Garamond"/>
        </w:rPr>
        <w:t xml:space="preserve">the </w:t>
      </w:r>
      <w:r w:rsidR="00B03575">
        <w:rPr>
          <w:rFonts w:ascii="Garamond" w:hAnsi="Garamond"/>
        </w:rPr>
        <w:t>distribution</w:t>
      </w:r>
      <w:r w:rsidR="00933402">
        <w:rPr>
          <w:rFonts w:ascii="Garamond" w:hAnsi="Garamond"/>
        </w:rPr>
        <w:t>,</w:t>
      </w:r>
      <w:r w:rsidR="00B03575">
        <w:rPr>
          <w:rFonts w:ascii="Garamond" w:hAnsi="Garamond"/>
        </w:rPr>
        <w:t xml:space="preserve"> the positive contribution of income means a higher (positive) association of income to cholesterol among males, while at the 90</w:t>
      </w:r>
      <w:r w:rsidR="00B03575" w:rsidRPr="00B03575">
        <w:rPr>
          <w:rFonts w:ascii="Garamond" w:hAnsi="Garamond"/>
          <w:vertAlign w:val="superscript"/>
        </w:rPr>
        <w:t>th</w:t>
      </w:r>
      <w:r w:rsidR="00B03575">
        <w:rPr>
          <w:rFonts w:ascii="Garamond" w:hAnsi="Garamond"/>
        </w:rPr>
        <w:t xml:space="preserve"> percentile</w:t>
      </w:r>
      <w:r w:rsidR="008F4201">
        <w:rPr>
          <w:rFonts w:ascii="Garamond" w:hAnsi="Garamond"/>
        </w:rPr>
        <w:t>,</w:t>
      </w:r>
      <w:r w:rsidR="00B03575">
        <w:rPr>
          <w:rFonts w:ascii="Garamond" w:hAnsi="Garamond"/>
        </w:rPr>
        <w:t xml:space="preserve"> the positive contribution means </w:t>
      </w:r>
      <w:r w:rsidR="00DF5AA3">
        <w:rPr>
          <w:rFonts w:ascii="Garamond" w:hAnsi="Garamond"/>
        </w:rPr>
        <w:t xml:space="preserve">that there is a higher income gradient </w:t>
      </w:r>
      <w:r w:rsidR="00B03575">
        <w:rPr>
          <w:rFonts w:ascii="Garamond" w:hAnsi="Garamond"/>
        </w:rPr>
        <w:t xml:space="preserve">among females. However, it is interesting to observe that at very </w:t>
      </w:r>
      <w:r w:rsidR="00745F89">
        <w:rPr>
          <w:rFonts w:ascii="Garamond" w:hAnsi="Garamond"/>
        </w:rPr>
        <w:t>high</w:t>
      </w:r>
      <w:r w:rsidR="00B03575">
        <w:rPr>
          <w:rFonts w:ascii="Garamond" w:hAnsi="Garamond"/>
        </w:rPr>
        <w:t xml:space="preserve"> and dangerous levels of cholesterol (at the 95</w:t>
      </w:r>
      <w:r w:rsidR="00B03575" w:rsidRPr="00B03575">
        <w:rPr>
          <w:rFonts w:ascii="Garamond" w:hAnsi="Garamond"/>
          <w:vertAlign w:val="superscript"/>
        </w:rPr>
        <w:t>th</w:t>
      </w:r>
      <w:r w:rsidR="00B03575">
        <w:rPr>
          <w:rFonts w:ascii="Garamond" w:hAnsi="Garamond"/>
        </w:rPr>
        <w:t xml:space="preserve"> percentile)</w:t>
      </w:r>
      <w:r w:rsidR="00C1430F">
        <w:rPr>
          <w:rFonts w:ascii="Garamond" w:hAnsi="Garamond"/>
        </w:rPr>
        <w:t xml:space="preserve"> we </w:t>
      </w:r>
      <w:r w:rsidR="002E027D">
        <w:rPr>
          <w:rFonts w:ascii="Garamond" w:hAnsi="Garamond"/>
        </w:rPr>
        <w:t>see</w:t>
      </w:r>
      <w:r w:rsidR="00C1430F">
        <w:rPr>
          <w:rFonts w:ascii="Garamond" w:hAnsi="Garamond"/>
        </w:rPr>
        <w:t xml:space="preserve"> </w:t>
      </w:r>
      <w:r w:rsidR="00B03575">
        <w:rPr>
          <w:rFonts w:ascii="Garamond" w:hAnsi="Garamond"/>
        </w:rPr>
        <w:t xml:space="preserve">a negative contribution </w:t>
      </w:r>
      <w:r w:rsidR="00C1430F">
        <w:rPr>
          <w:rFonts w:ascii="Garamond" w:hAnsi="Garamond"/>
        </w:rPr>
        <w:t>which indicate</w:t>
      </w:r>
      <w:r w:rsidR="00485996">
        <w:rPr>
          <w:rFonts w:ascii="Garamond" w:hAnsi="Garamond"/>
        </w:rPr>
        <w:t>s</w:t>
      </w:r>
      <w:r w:rsidR="00C1430F">
        <w:rPr>
          <w:rFonts w:ascii="Garamond" w:hAnsi="Garamond"/>
        </w:rPr>
        <w:t xml:space="preserve"> </w:t>
      </w:r>
      <w:r w:rsidR="00B03575">
        <w:rPr>
          <w:rFonts w:ascii="Garamond" w:hAnsi="Garamond"/>
        </w:rPr>
        <w:t xml:space="preserve">a higher </w:t>
      </w:r>
      <w:r w:rsidR="00DF5AA3">
        <w:rPr>
          <w:rFonts w:ascii="Garamond" w:hAnsi="Garamond"/>
        </w:rPr>
        <w:t>income gradient</w:t>
      </w:r>
      <w:r w:rsidR="00B03575">
        <w:rPr>
          <w:rFonts w:ascii="Garamond" w:hAnsi="Garamond"/>
        </w:rPr>
        <w:t xml:space="preserve"> among males.</w:t>
      </w:r>
    </w:p>
    <w:p w14:paraId="70FBA267" w14:textId="7323ED44" w:rsidR="001D43D1" w:rsidRDefault="00485996" w:rsidP="00D428FB">
      <w:pPr>
        <w:jc w:val="both"/>
        <w:rPr>
          <w:rFonts w:ascii="Garamond" w:hAnsi="Garamond"/>
        </w:rPr>
      </w:pPr>
      <w:r>
        <w:rPr>
          <w:rFonts w:ascii="Garamond" w:hAnsi="Garamond"/>
        </w:rPr>
        <w:t xml:space="preserve">The </w:t>
      </w:r>
      <w:r w:rsidR="001D43D1">
        <w:rPr>
          <w:rFonts w:ascii="Garamond" w:hAnsi="Garamond"/>
        </w:rPr>
        <w:t xml:space="preserve">OB decomposition of glycated haemoglobin (GH) is reported in </w:t>
      </w:r>
      <w:r w:rsidR="00FA7873">
        <w:rPr>
          <w:rFonts w:ascii="Garamond" w:hAnsi="Garamond"/>
        </w:rPr>
        <w:t>T</w:t>
      </w:r>
      <w:r w:rsidR="00550B70">
        <w:rPr>
          <w:rFonts w:ascii="Garamond" w:hAnsi="Garamond"/>
        </w:rPr>
        <w:t>able 8.</w:t>
      </w:r>
      <w:r w:rsidR="001D43D1">
        <w:rPr>
          <w:rFonts w:ascii="Garamond" w:hAnsi="Garamond"/>
        </w:rPr>
        <w:t xml:space="preserve"> </w:t>
      </w:r>
      <w:r w:rsidR="00550B70">
        <w:rPr>
          <w:rFonts w:ascii="Garamond" w:hAnsi="Garamond"/>
        </w:rPr>
        <w:t>Results indicate higher values of GH among males alo</w:t>
      </w:r>
      <w:r w:rsidR="00D21ED2">
        <w:rPr>
          <w:rFonts w:ascii="Garamond" w:hAnsi="Garamond"/>
        </w:rPr>
        <w:t>ng the entire distribution and especially at the extreme levels (at the 95</w:t>
      </w:r>
      <w:r w:rsidR="00D21ED2" w:rsidRPr="00D21ED2">
        <w:rPr>
          <w:rFonts w:ascii="Garamond" w:hAnsi="Garamond"/>
        </w:rPr>
        <w:t>th</w:t>
      </w:r>
      <w:r w:rsidR="00D21ED2">
        <w:rPr>
          <w:rFonts w:ascii="Garamond" w:hAnsi="Garamond"/>
        </w:rPr>
        <w:t xml:space="preserve"> percentile)</w:t>
      </w:r>
      <w:r w:rsidR="00550B70">
        <w:rPr>
          <w:rFonts w:ascii="Garamond" w:hAnsi="Garamond"/>
        </w:rPr>
        <w:t xml:space="preserve">. </w:t>
      </w:r>
      <w:r w:rsidR="00D21ED2">
        <w:rPr>
          <w:rFonts w:ascii="Garamond" w:hAnsi="Garamond"/>
        </w:rPr>
        <w:t xml:space="preserve">The higher prevalence of diabetes among males is a recent finding of the medical literature and </w:t>
      </w:r>
      <w:r w:rsidR="008F4201">
        <w:rPr>
          <w:rFonts w:ascii="Garamond" w:hAnsi="Garamond"/>
        </w:rPr>
        <w:t xml:space="preserve">it is </w:t>
      </w:r>
      <w:r w:rsidR="00D21ED2">
        <w:rPr>
          <w:rFonts w:ascii="Garamond" w:hAnsi="Garamond"/>
        </w:rPr>
        <w:t xml:space="preserve">mainly </w:t>
      </w:r>
      <w:r w:rsidR="00DF5AA3">
        <w:rPr>
          <w:rFonts w:ascii="Garamond" w:hAnsi="Garamond"/>
        </w:rPr>
        <w:t>attributed</w:t>
      </w:r>
      <w:r w:rsidR="00D21ED2">
        <w:rPr>
          <w:rFonts w:ascii="Garamond" w:hAnsi="Garamond"/>
        </w:rPr>
        <w:t xml:space="preserve"> to a higher a</w:t>
      </w:r>
      <w:r w:rsidR="00D21ED2" w:rsidRPr="00D21ED2">
        <w:rPr>
          <w:rFonts w:ascii="Garamond" w:hAnsi="Garamond"/>
        </w:rPr>
        <w:t>bdominal visceral fat which represent</w:t>
      </w:r>
      <w:r w:rsidR="00DF5AA3">
        <w:rPr>
          <w:rFonts w:ascii="Garamond" w:hAnsi="Garamond"/>
        </w:rPr>
        <w:t>s</w:t>
      </w:r>
      <w:r w:rsidR="00D21ED2" w:rsidRPr="00D21ED2">
        <w:rPr>
          <w:rFonts w:ascii="Garamond" w:hAnsi="Garamond"/>
        </w:rPr>
        <w:t xml:space="preserve"> one of the main risk factor</w:t>
      </w:r>
      <w:r w:rsidR="00DF5AA3">
        <w:rPr>
          <w:rFonts w:ascii="Garamond" w:hAnsi="Garamond"/>
        </w:rPr>
        <w:t>s</w:t>
      </w:r>
      <w:r w:rsidR="00D21ED2" w:rsidRPr="00D21ED2">
        <w:rPr>
          <w:rFonts w:ascii="Garamond" w:hAnsi="Garamond"/>
        </w:rPr>
        <w:t xml:space="preserve"> for diabetes</w:t>
      </w:r>
      <w:r w:rsidR="002D191E">
        <w:rPr>
          <w:rFonts w:ascii="Garamond" w:hAnsi="Garamond"/>
        </w:rPr>
        <w:t xml:space="preserve"> (s</w:t>
      </w:r>
      <w:r w:rsidR="00D21ED2">
        <w:rPr>
          <w:rFonts w:ascii="Garamond" w:hAnsi="Garamond"/>
        </w:rPr>
        <w:t>ee for instance Perreault et al.</w:t>
      </w:r>
      <w:r w:rsidR="002E027D">
        <w:rPr>
          <w:rFonts w:ascii="Garamond" w:hAnsi="Garamond"/>
        </w:rPr>
        <w:t>,</w:t>
      </w:r>
      <w:r w:rsidR="00D21ED2">
        <w:rPr>
          <w:rFonts w:ascii="Garamond" w:hAnsi="Garamond"/>
        </w:rPr>
        <w:t xml:space="preserve"> 2008). </w:t>
      </w:r>
      <w:r w:rsidR="00DF5AA3">
        <w:rPr>
          <w:rFonts w:ascii="Garamond" w:hAnsi="Garamond"/>
        </w:rPr>
        <w:t>Contrary</w:t>
      </w:r>
      <w:r w:rsidR="00B346A9">
        <w:rPr>
          <w:rFonts w:ascii="Garamond" w:hAnsi="Garamond"/>
        </w:rPr>
        <w:t xml:space="preserve"> to</w:t>
      </w:r>
      <w:r w:rsidR="001D43D1">
        <w:rPr>
          <w:rFonts w:ascii="Garamond" w:hAnsi="Garamond"/>
        </w:rPr>
        <w:t xml:space="preserve"> cholesterol, </w:t>
      </w:r>
      <w:r w:rsidR="008F4201">
        <w:rPr>
          <w:rFonts w:ascii="Garamond" w:hAnsi="Garamond"/>
        </w:rPr>
        <w:t>gender differentials</w:t>
      </w:r>
      <w:r w:rsidR="00B346A9">
        <w:rPr>
          <w:rFonts w:ascii="Garamond" w:hAnsi="Garamond"/>
        </w:rPr>
        <w:t xml:space="preserve"> </w:t>
      </w:r>
      <w:r w:rsidR="00550B70">
        <w:rPr>
          <w:rFonts w:ascii="Garamond" w:hAnsi="Garamond"/>
        </w:rPr>
        <w:t xml:space="preserve">in </w:t>
      </w:r>
      <w:r w:rsidR="00B346A9">
        <w:rPr>
          <w:rFonts w:ascii="Garamond" w:hAnsi="Garamond"/>
        </w:rPr>
        <w:t>GH</w:t>
      </w:r>
      <w:r w:rsidR="001D43D1">
        <w:rPr>
          <w:rFonts w:ascii="Garamond" w:hAnsi="Garamond"/>
        </w:rPr>
        <w:t xml:space="preserve"> are largely due </w:t>
      </w:r>
      <w:r w:rsidR="00550B70">
        <w:rPr>
          <w:rFonts w:ascii="Garamond" w:hAnsi="Garamond"/>
        </w:rPr>
        <w:t>a different association of GH to</w:t>
      </w:r>
      <w:r w:rsidR="001D43D1">
        <w:rPr>
          <w:rFonts w:ascii="Garamond" w:hAnsi="Garamond"/>
        </w:rPr>
        <w:t xml:space="preserve"> </w:t>
      </w:r>
      <w:r w:rsidR="00550B70">
        <w:rPr>
          <w:rFonts w:ascii="Garamond" w:hAnsi="Garamond"/>
        </w:rPr>
        <w:t xml:space="preserve">the </w:t>
      </w:r>
      <w:r w:rsidR="001D43D1">
        <w:rPr>
          <w:rFonts w:ascii="Garamond" w:hAnsi="Garamond"/>
        </w:rPr>
        <w:t>covariates</w:t>
      </w:r>
      <w:r w:rsidR="00DF5AA3">
        <w:rPr>
          <w:rFonts w:ascii="Garamond" w:hAnsi="Garamond"/>
        </w:rPr>
        <w:t xml:space="preserve"> (row 3 of T</w:t>
      </w:r>
      <w:r w:rsidR="006D2339">
        <w:rPr>
          <w:rFonts w:ascii="Garamond" w:hAnsi="Garamond"/>
        </w:rPr>
        <w:t>able 8)</w:t>
      </w:r>
      <w:r w:rsidR="001D43D1">
        <w:rPr>
          <w:rFonts w:ascii="Garamond" w:hAnsi="Garamond"/>
        </w:rPr>
        <w:t xml:space="preserve">, </w:t>
      </w:r>
      <w:r w:rsidR="00550B70">
        <w:rPr>
          <w:rFonts w:ascii="Garamond" w:hAnsi="Garamond"/>
        </w:rPr>
        <w:t>while compositional differences are much less important to explain total gender differentials</w:t>
      </w:r>
      <w:r w:rsidR="006D2339">
        <w:rPr>
          <w:rFonts w:ascii="Garamond" w:hAnsi="Garamond"/>
        </w:rPr>
        <w:t xml:space="preserve"> (row 2)</w:t>
      </w:r>
      <w:r w:rsidR="001D43D1">
        <w:rPr>
          <w:rFonts w:ascii="Garamond" w:hAnsi="Garamond"/>
        </w:rPr>
        <w:t xml:space="preserve">. Detailed </w:t>
      </w:r>
      <w:r w:rsidR="00550B70">
        <w:rPr>
          <w:rFonts w:ascii="Garamond" w:hAnsi="Garamond"/>
        </w:rPr>
        <w:t xml:space="preserve">contribution analysis in </w:t>
      </w:r>
      <w:r w:rsidR="00D27D0A">
        <w:rPr>
          <w:rFonts w:ascii="Garamond" w:hAnsi="Garamond"/>
        </w:rPr>
        <w:t>F</w:t>
      </w:r>
      <w:r w:rsidR="00550B70">
        <w:rPr>
          <w:rFonts w:ascii="Garamond" w:hAnsi="Garamond"/>
        </w:rPr>
        <w:t xml:space="preserve">igure </w:t>
      </w:r>
      <w:r w:rsidR="00D27D0A">
        <w:rPr>
          <w:rFonts w:ascii="Garamond" w:hAnsi="Garamond"/>
        </w:rPr>
        <w:t>6</w:t>
      </w:r>
      <w:r w:rsidR="00550B70">
        <w:rPr>
          <w:rFonts w:ascii="Garamond" w:hAnsi="Garamond"/>
        </w:rPr>
        <w:t xml:space="preserve"> suggests a marginal role of demographics and a strong contribution of education (mainly due to an elasticity effect) to gender differentials. </w:t>
      </w:r>
      <w:r w:rsidR="001D43D1">
        <w:rPr>
          <w:rFonts w:ascii="Garamond" w:hAnsi="Garamond"/>
        </w:rPr>
        <w:t xml:space="preserve">With respect to income, </w:t>
      </w:r>
      <w:r w:rsidR="00550B70">
        <w:rPr>
          <w:rFonts w:ascii="Garamond" w:hAnsi="Garamond"/>
        </w:rPr>
        <w:t xml:space="preserve">Figure </w:t>
      </w:r>
      <w:r w:rsidR="00D27D0A">
        <w:rPr>
          <w:rFonts w:ascii="Garamond" w:hAnsi="Garamond"/>
        </w:rPr>
        <w:t>6</w:t>
      </w:r>
      <w:r w:rsidR="001D43D1">
        <w:rPr>
          <w:rFonts w:ascii="Garamond" w:hAnsi="Garamond"/>
        </w:rPr>
        <w:t xml:space="preserve"> indicates that its contribution becomes predominant after the 7</w:t>
      </w:r>
      <w:r w:rsidR="00550B70">
        <w:rPr>
          <w:rFonts w:ascii="Garamond" w:hAnsi="Garamond"/>
        </w:rPr>
        <w:t>5</w:t>
      </w:r>
      <w:r w:rsidR="001D43D1" w:rsidRPr="001D43D1">
        <w:rPr>
          <w:rFonts w:ascii="Garamond" w:hAnsi="Garamond"/>
          <w:vertAlign w:val="superscript"/>
        </w:rPr>
        <w:t>th</w:t>
      </w:r>
      <w:r w:rsidR="00550B70">
        <w:rPr>
          <w:rFonts w:ascii="Garamond" w:hAnsi="Garamond"/>
        </w:rPr>
        <w:t xml:space="preserve"> percentile of </w:t>
      </w:r>
      <w:r w:rsidR="009A19A3">
        <w:rPr>
          <w:rFonts w:ascii="Garamond" w:hAnsi="Garamond"/>
        </w:rPr>
        <w:t>the</w:t>
      </w:r>
      <w:r w:rsidR="00550B70">
        <w:rPr>
          <w:rFonts w:ascii="Garamond" w:hAnsi="Garamond"/>
        </w:rPr>
        <w:t xml:space="preserve"> distrib</w:t>
      </w:r>
      <w:r w:rsidR="00890088">
        <w:rPr>
          <w:rFonts w:ascii="Garamond" w:hAnsi="Garamond"/>
        </w:rPr>
        <w:t xml:space="preserve">ution. Also in the case of GH, </w:t>
      </w:r>
      <w:r w:rsidR="000C3A77">
        <w:rPr>
          <w:rFonts w:ascii="Garamond" w:hAnsi="Garamond"/>
        </w:rPr>
        <w:t>t</w:t>
      </w:r>
      <w:r w:rsidR="00550B70">
        <w:rPr>
          <w:rFonts w:ascii="Garamond" w:hAnsi="Garamond"/>
        </w:rPr>
        <w:t xml:space="preserve">he contribution of income is largely due to </w:t>
      </w:r>
      <w:r w:rsidR="008627B2">
        <w:rPr>
          <w:rFonts w:ascii="Garamond" w:hAnsi="Garamond"/>
        </w:rPr>
        <w:t>gender-related differences</w:t>
      </w:r>
      <w:r w:rsidR="000C3A77" w:rsidRPr="002B71F2">
        <w:rPr>
          <w:rFonts w:ascii="Garamond" w:hAnsi="Garamond"/>
        </w:rPr>
        <w:t xml:space="preserve"> in the association of </w:t>
      </w:r>
      <w:r w:rsidR="000C3A77">
        <w:rPr>
          <w:rFonts w:ascii="Garamond" w:hAnsi="Garamond"/>
        </w:rPr>
        <w:t>the biomarker</w:t>
      </w:r>
      <w:r w:rsidR="008627B2">
        <w:rPr>
          <w:rFonts w:ascii="Garamond" w:hAnsi="Garamond"/>
        </w:rPr>
        <w:t xml:space="preserve"> to income which vary</w:t>
      </w:r>
      <w:r w:rsidR="000C3A77" w:rsidRPr="002B71F2">
        <w:rPr>
          <w:rFonts w:ascii="Garamond" w:hAnsi="Garamond"/>
        </w:rPr>
        <w:t xml:space="preserve"> significantly along the</w:t>
      </w:r>
      <w:r w:rsidR="009A19A3">
        <w:rPr>
          <w:rFonts w:ascii="Garamond" w:hAnsi="Garamond"/>
        </w:rPr>
        <w:t xml:space="preserve"> </w:t>
      </w:r>
      <w:r w:rsidR="000C3A77" w:rsidRPr="002B71F2">
        <w:rPr>
          <w:rFonts w:ascii="Garamond" w:hAnsi="Garamond"/>
        </w:rPr>
        <w:t>distribution</w:t>
      </w:r>
      <w:r w:rsidR="000C3A77">
        <w:rPr>
          <w:rFonts w:ascii="Garamond" w:hAnsi="Garamond"/>
        </w:rPr>
        <w:t xml:space="preserve">. For instance, while at </w:t>
      </w:r>
      <w:r w:rsidR="009A19A3">
        <w:rPr>
          <w:rFonts w:ascii="Garamond" w:hAnsi="Garamond"/>
        </w:rPr>
        <w:t xml:space="preserve">the </w:t>
      </w:r>
      <w:r w:rsidR="000C3A77">
        <w:rPr>
          <w:rFonts w:ascii="Garamond" w:hAnsi="Garamond"/>
        </w:rPr>
        <w:t>90</w:t>
      </w:r>
      <w:r w:rsidR="000C3A77" w:rsidRPr="000C3A77">
        <w:rPr>
          <w:rFonts w:ascii="Garamond" w:hAnsi="Garamond"/>
          <w:vertAlign w:val="superscript"/>
        </w:rPr>
        <w:t>th</w:t>
      </w:r>
      <w:r w:rsidR="000C3A77">
        <w:rPr>
          <w:rFonts w:ascii="Garamond" w:hAnsi="Garamond"/>
        </w:rPr>
        <w:t xml:space="preserve"> percentile of</w:t>
      </w:r>
      <w:r w:rsidR="009A19A3">
        <w:rPr>
          <w:rFonts w:ascii="Garamond" w:hAnsi="Garamond"/>
        </w:rPr>
        <w:t xml:space="preserve"> the</w:t>
      </w:r>
      <w:r w:rsidR="000C3A77">
        <w:rPr>
          <w:rFonts w:ascii="Garamond" w:hAnsi="Garamond"/>
        </w:rPr>
        <w:t xml:space="preserve"> distribution we found a</w:t>
      </w:r>
      <w:r w:rsidR="00DF5AA3">
        <w:rPr>
          <w:rFonts w:ascii="Garamond" w:hAnsi="Garamond"/>
        </w:rPr>
        <w:t>n</w:t>
      </w:r>
      <w:r w:rsidR="000C3A77">
        <w:rPr>
          <w:rFonts w:ascii="Garamond" w:hAnsi="Garamond"/>
        </w:rPr>
        <w:t xml:space="preserve"> higher </w:t>
      </w:r>
      <w:r w:rsidR="00DF5AA3">
        <w:rPr>
          <w:rFonts w:ascii="Garamond" w:hAnsi="Garamond"/>
        </w:rPr>
        <w:t>income gradient</w:t>
      </w:r>
      <w:r w:rsidR="000C3A77">
        <w:rPr>
          <w:rFonts w:ascii="Garamond" w:hAnsi="Garamond"/>
        </w:rPr>
        <w:t xml:space="preserve"> among males, we found the opposite (but less important in magnitude) at the 95</w:t>
      </w:r>
      <w:r w:rsidR="000C3A77" w:rsidRPr="000C3A77">
        <w:rPr>
          <w:rFonts w:ascii="Garamond" w:hAnsi="Garamond"/>
          <w:vertAlign w:val="superscript"/>
        </w:rPr>
        <w:t>th</w:t>
      </w:r>
      <w:r w:rsidR="000C3A77">
        <w:rPr>
          <w:rFonts w:ascii="Garamond" w:hAnsi="Garamond"/>
        </w:rPr>
        <w:t xml:space="preserve"> percentile of the distribution. </w:t>
      </w:r>
    </w:p>
    <w:p w14:paraId="00922C07" w14:textId="57962A4F" w:rsidR="00B346A9" w:rsidRDefault="00A70C25" w:rsidP="00D428FB">
      <w:pPr>
        <w:jc w:val="both"/>
        <w:rPr>
          <w:rFonts w:ascii="Garamond" w:hAnsi="Garamond"/>
        </w:rPr>
      </w:pPr>
      <w:r>
        <w:rPr>
          <w:rFonts w:ascii="Garamond" w:hAnsi="Garamond"/>
        </w:rPr>
        <w:t>Table 9 indicates</w:t>
      </w:r>
      <w:r w:rsidR="006D2339">
        <w:rPr>
          <w:rFonts w:ascii="Garamond" w:hAnsi="Garamond"/>
        </w:rPr>
        <w:t xml:space="preserve"> higher levels of fibrinogen among women </w:t>
      </w:r>
      <w:r w:rsidR="008F4201">
        <w:rPr>
          <w:rFonts w:ascii="Garamond" w:hAnsi="Garamond"/>
        </w:rPr>
        <w:t xml:space="preserve">especially </w:t>
      </w:r>
      <w:r w:rsidR="009A19A3">
        <w:rPr>
          <w:rFonts w:ascii="Garamond" w:hAnsi="Garamond"/>
        </w:rPr>
        <w:t>in the lower part of the distribution</w:t>
      </w:r>
      <w:r w:rsidR="006D2339">
        <w:rPr>
          <w:rFonts w:ascii="Garamond" w:hAnsi="Garamond"/>
        </w:rPr>
        <w:t xml:space="preserve"> wh</w:t>
      </w:r>
      <w:r w:rsidR="009A19A3">
        <w:rPr>
          <w:rFonts w:ascii="Garamond" w:hAnsi="Garamond"/>
        </w:rPr>
        <w:t>ere</w:t>
      </w:r>
      <w:r w:rsidR="006D2339">
        <w:rPr>
          <w:rFonts w:ascii="Garamond" w:hAnsi="Garamond"/>
        </w:rPr>
        <w:t xml:space="preserve"> </w:t>
      </w:r>
      <w:r w:rsidR="009A19A3">
        <w:rPr>
          <w:rFonts w:ascii="Garamond" w:hAnsi="Garamond"/>
        </w:rPr>
        <w:t>levels are</w:t>
      </w:r>
      <w:r w:rsidR="006D2339">
        <w:rPr>
          <w:rFonts w:ascii="Garamond" w:hAnsi="Garamond"/>
        </w:rPr>
        <w:t xml:space="preserve"> not indicative of a pathological state</w:t>
      </w:r>
      <w:r>
        <w:rPr>
          <w:rFonts w:ascii="Garamond" w:hAnsi="Garamond"/>
        </w:rPr>
        <w:t xml:space="preserve">. </w:t>
      </w:r>
      <w:r w:rsidR="006D2339">
        <w:rPr>
          <w:rFonts w:ascii="Garamond" w:hAnsi="Garamond"/>
        </w:rPr>
        <w:t xml:space="preserve">Differences are largely explained by gender differentials in the association of fibrinogen </w:t>
      </w:r>
      <w:r w:rsidR="009A19A3">
        <w:rPr>
          <w:rFonts w:ascii="Garamond" w:hAnsi="Garamond"/>
        </w:rPr>
        <w:t>with</w:t>
      </w:r>
      <w:r w:rsidR="006D2339">
        <w:rPr>
          <w:rFonts w:ascii="Garamond" w:hAnsi="Garamond"/>
        </w:rPr>
        <w:t xml:space="preserve"> </w:t>
      </w:r>
      <w:r w:rsidR="009A19A3">
        <w:rPr>
          <w:rFonts w:ascii="Garamond" w:hAnsi="Garamond"/>
        </w:rPr>
        <w:t xml:space="preserve">the </w:t>
      </w:r>
      <w:r w:rsidR="006D2339">
        <w:rPr>
          <w:rFonts w:ascii="Garamond" w:hAnsi="Garamond"/>
        </w:rPr>
        <w:t xml:space="preserve">covariates </w:t>
      </w:r>
      <w:r>
        <w:rPr>
          <w:rFonts w:ascii="Garamond" w:hAnsi="Garamond"/>
        </w:rPr>
        <w:t>while compositional differences are</w:t>
      </w:r>
      <w:r w:rsidR="006D2339">
        <w:rPr>
          <w:rFonts w:ascii="Garamond" w:hAnsi="Garamond"/>
        </w:rPr>
        <w:t xml:space="preserve"> much </w:t>
      </w:r>
      <w:r>
        <w:rPr>
          <w:rFonts w:ascii="Garamond" w:hAnsi="Garamond"/>
        </w:rPr>
        <w:t xml:space="preserve">less important. </w:t>
      </w:r>
      <w:r w:rsidR="009A19A3">
        <w:rPr>
          <w:rFonts w:ascii="Garamond" w:hAnsi="Garamond"/>
        </w:rPr>
        <w:t>The d</w:t>
      </w:r>
      <w:r w:rsidR="006D2339">
        <w:rPr>
          <w:rFonts w:ascii="Garamond" w:hAnsi="Garamond"/>
        </w:rPr>
        <w:t xml:space="preserve">etailed decomposition presented in </w:t>
      </w:r>
      <w:r w:rsidR="00FE572F">
        <w:rPr>
          <w:rFonts w:ascii="Garamond" w:hAnsi="Garamond"/>
        </w:rPr>
        <w:lastRenderedPageBreak/>
        <w:t>F</w:t>
      </w:r>
      <w:r w:rsidR="006D2339">
        <w:rPr>
          <w:rFonts w:ascii="Garamond" w:hAnsi="Garamond"/>
        </w:rPr>
        <w:t xml:space="preserve">igure </w:t>
      </w:r>
      <w:r w:rsidR="00D27D0A">
        <w:rPr>
          <w:rFonts w:ascii="Garamond" w:hAnsi="Garamond"/>
        </w:rPr>
        <w:t>7</w:t>
      </w:r>
      <w:r w:rsidR="006D2339">
        <w:rPr>
          <w:rFonts w:ascii="Garamond" w:hAnsi="Garamond"/>
        </w:rPr>
        <w:t xml:space="preserve"> shows that gender differentials in fibrinogen are largely explained</w:t>
      </w:r>
      <w:r w:rsidR="004D196E">
        <w:rPr>
          <w:rFonts w:ascii="Garamond" w:hAnsi="Garamond"/>
        </w:rPr>
        <w:t xml:space="preserve"> by income, and by demographics</w:t>
      </w:r>
      <w:r w:rsidR="006D2339">
        <w:rPr>
          <w:rFonts w:ascii="Garamond" w:hAnsi="Garamond"/>
        </w:rPr>
        <w:t xml:space="preserve"> </w:t>
      </w:r>
      <w:r w:rsidR="004D196E">
        <w:rPr>
          <w:rFonts w:ascii="Garamond" w:hAnsi="Garamond"/>
        </w:rPr>
        <w:t>(</w:t>
      </w:r>
      <w:r w:rsidR="006D2339">
        <w:rPr>
          <w:rFonts w:ascii="Garamond" w:hAnsi="Garamond"/>
        </w:rPr>
        <w:t xml:space="preserve">to </w:t>
      </w:r>
      <w:r w:rsidR="004D196E">
        <w:rPr>
          <w:rFonts w:ascii="Garamond" w:hAnsi="Garamond"/>
        </w:rPr>
        <w:t xml:space="preserve">a </w:t>
      </w:r>
      <w:r w:rsidR="006D2339">
        <w:rPr>
          <w:rFonts w:ascii="Garamond" w:hAnsi="Garamond"/>
        </w:rPr>
        <w:t>less extent</w:t>
      </w:r>
      <w:r w:rsidR="004D196E">
        <w:rPr>
          <w:rFonts w:ascii="Garamond" w:hAnsi="Garamond"/>
        </w:rPr>
        <w:t>),</w:t>
      </w:r>
      <w:r w:rsidR="006D2339">
        <w:rPr>
          <w:rFonts w:ascii="Garamond" w:hAnsi="Garamond"/>
        </w:rPr>
        <w:t xml:space="preserve"> while education plays a less important role</w:t>
      </w:r>
      <w:r w:rsidR="006D2339" w:rsidRPr="006C2C58">
        <w:rPr>
          <w:rFonts w:ascii="Garamond" w:hAnsi="Garamond"/>
        </w:rPr>
        <w:t>.</w:t>
      </w:r>
      <w:r w:rsidR="002648D5" w:rsidRPr="006C2C58">
        <w:rPr>
          <w:rFonts w:ascii="Garamond" w:hAnsi="Garamond"/>
        </w:rPr>
        <w:t xml:space="preserve"> </w:t>
      </w:r>
      <w:r w:rsidR="000100D1" w:rsidRPr="006C2C58">
        <w:rPr>
          <w:rFonts w:ascii="Garamond" w:hAnsi="Garamond"/>
        </w:rPr>
        <w:t>F</w:t>
      </w:r>
      <w:r w:rsidR="006D2339" w:rsidRPr="006C2C58">
        <w:rPr>
          <w:rFonts w:ascii="Garamond" w:hAnsi="Garamond"/>
        </w:rPr>
        <w:t xml:space="preserve">igure </w:t>
      </w:r>
      <w:r w:rsidR="00D27D0A">
        <w:rPr>
          <w:rFonts w:ascii="Garamond" w:hAnsi="Garamond"/>
        </w:rPr>
        <w:t>7</w:t>
      </w:r>
      <w:r w:rsidR="002648D5" w:rsidRPr="006C2C58">
        <w:rPr>
          <w:rFonts w:ascii="Garamond" w:hAnsi="Garamond"/>
        </w:rPr>
        <w:t xml:space="preserve"> </w:t>
      </w:r>
      <w:r w:rsidR="006D2339" w:rsidRPr="006C2C58">
        <w:rPr>
          <w:rFonts w:ascii="Garamond" w:hAnsi="Garamond"/>
        </w:rPr>
        <w:t>also</w:t>
      </w:r>
      <w:r w:rsidR="006D2339">
        <w:rPr>
          <w:rFonts w:ascii="Garamond" w:hAnsi="Garamond"/>
        </w:rPr>
        <w:t xml:space="preserve"> </w:t>
      </w:r>
      <w:r w:rsidR="002648D5">
        <w:rPr>
          <w:rFonts w:ascii="Garamond" w:hAnsi="Garamond"/>
        </w:rPr>
        <w:t xml:space="preserve">shows that the contribution of income is largely explained by an elasticity effect, a pattern observed also for the other biomarkers. Moreover, similarly to the other biomarkers, </w:t>
      </w:r>
      <w:r w:rsidR="000100D1">
        <w:rPr>
          <w:rFonts w:ascii="Garamond" w:hAnsi="Garamond"/>
        </w:rPr>
        <w:t xml:space="preserve">the </w:t>
      </w:r>
      <w:r w:rsidR="002648D5">
        <w:rPr>
          <w:rFonts w:ascii="Garamond" w:hAnsi="Garamond"/>
        </w:rPr>
        <w:t xml:space="preserve">elasticity is </w:t>
      </w:r>
      <w:r w:rsidR="006C2C58">
        <w:rPr>
          <w:rFonts w:ascii="Garamond" w:hAnsi="Garamond"/>
        </w:rPr>
        <w:t>heterogeneous</w:t>
      </w:r>
      <w:r w:rsidR="006D2339">
        <w:rPr>
          <w:rFonts w:ascii="Garamond" w:hAnsi="Garamond"/>
        </w:rPr>
        <w:t xml:space="preserve"> along the distribution. Up to the 90</w:t>
      </w:r>
      <w:r w:rsidR="004D196E" w:rsidRPr="004D196E">
        <w:rPr>
          <w:rFonts w:ascii="Garamond" w:hAnsi="Garamond"/>
          <w:vertAlign w:val="superscript"/>
        </w:rPr>
        <w:t>th</w:t>
      </w:r>
      <w:r w:rsidR="004D196E">
        <w:rPr>
          <w:rFonts w:ascii="Garamond" w:hAnsi="Garamond"/>
        </w:rPr>
        <w:t xml:space="preserve"> percentile </w:t>
      </w:r>
      <w:r w:rsidR="006C2C58">
        <w:rPr>
          <w:rFonts w:ascii="Garamond" w:hAnsi="Garamond"/>
        </w:rPr>
        <w:t xml:space="preserve">of </w:t>
      </w:r>
      <w:r w:rsidR="004D196E">
        <w:rPr>
          <w:rFonts w:ascii="Garamond" w:hAnsi="Garamond"/>
        </w:rPr>
        <w:t xml:space="preserve">the </w:t>
      </w:r>
      <w:r w:rsidR="006C2C58">
        <w:rPr>
          <w:rFonts w:ascii="Garamond" w:hAnsi="Garamond"/>
        </w:rPr>
        <w:t xml:space="preserve"> distribution, </w:t>
      </w:r>
      <w:r w:rsidR="006D2339">
        <w:rPr>
          <w:rFonts w:ascii="Garamond" w:hAnsi="Garamond"/>
        </w:rPr>
        <w:t xml:space="preserve"> the </w:t>
      </w:r>
      <w:r w:rsidR="00DF5AA3">
        <w:rPr>
          <w:rFonts w:ascii="Garamond" w:hAnsi="Garamond"/>
        </w:rPr>
        <w:t>income gradient</w:t>
      </w:r>
      <w:r w:rsidR="006D2339">
        <w:rPr>
          <w:rFonts w:ascii="Garamond" w:hAnsi="Garamond"/>
        </w:rPr>
        <w:t xml:space="preserve"> is higher among females while at very extreme levels of fibrinogen</w:t>
      </w:r>
      <w:r w:rsidR="00DF5AA3">
        <w:rPr>
          <w:rFonts w:ascii="Garamond" w:hAnsi="Garamond"/>
        </w:rPr>
        <w:t xml:space="preserve"> the</w:t>
      </w:r>
      <w:r w:rsidR="006D2339">
        <w:rPr>
          <w:rFonts w:ascii="Garamond" w:hAnsi="Garamond"/>
        </w:rPr>
        <w:t xml:space="preserve"> </w:t>
      </w:r>
      <w:r w:rsidR="00DF5AA3">
        <w:rPr>
          <w:rFonts w:ascii="Garamond" w:hAnsi="Garamond"/>
        </w:rPr>
        <w:t>income gradient</w:t>
      </w:r>
      <w:r w:rsidR="006D2339">
        <w:rPr>
          <w:rFonts w:ascii="Garamond" w:hAnsi="Garamond"/>
        </w:rPr>
        <w:t xml:space="preserve"> </w:t>
      </w:r>
      <w:r w:rsidR="00DF5AA3">
        <w:rPr>
          <w:rFonts w:ascii="Garamond" w:hAnsi="Garamond"/>
        </w:rPr>
        <w:t xml:space="preserve">is higher </w:t>
      </w:r>
      <w:r w:rsidR="006D2339">
        <w:rPr>
          <w:rFonts w:ascii="Garamond" w:hAnsi="Garamond"/>
        </w:rPr>
        <w:t xml:space="preserve">among males. </w:t>
      </w:r>
    </w:p>
    <w:p w14:paraId="02AFBD85" w14:textId="18F1CA7E" w:rsidR="00D428FB" w:rsidRPr="00432FBF" w:rsidRDefault="00D668BA" w:rsidP="00781366">
      <w:pPr>
        <w:jc w:val="both"/>
        <w:rPr>
          <w:rFonts w:ascii="Garamond" w:hAnsi="Garamond"/>
        </w:rPr>
      </w:pPr>
      <w:r>
        <w:rPr>
          <w:rFonts w:ascii="Garamond" w:hAnsi="Garamond"/>
        </w:rPr>
        <w:t xml:space="preserve">Lastly, we report the </w:t>
      </w:r>
      <w:r w:rsidR="003366A8">
        <w:rPr>
          <w:rFonts w:ascii="Garamond" w:hAnsi="Garamond"/>
        </w:rPr>
        <w:t xml:space="preserve">OB decomposition </w:t>
      </w:r>
      <w:r>
        <w:rPr>
          <w:rFonts w:ascii="Garamond" w:hAnsi="Garamond"/>
        </w:rPr>
        <w:t xml:space="preserve">of </w:t>
      </w:r>
      <w:r w:rsidR="00054623">
        <w:rPr>
          <w:rFonts w:ascii="Garamond" w:hAnsi="Garamond"/>
        </w:rPr>
        <w:t xml:space="preserve">gender differentials in </w:t>
      </w:r>
      <w:r w:rsidR="003366A8">
        <w:rPr>
          <w:rFonts w:ascii="Garamond" w:hAnsi="Garamond"/>
        </w:rPr>
        <w:t xml:space="preserve">ferritin in </w:t>
      </w:r>
      <w:r w:rsidR="000100D1">
        <w:rPr>
          <w:rFonts w:ascii="Garamond" w:hAnsi="Garamond"/>
        </w:rPr>
        <w:t>T</w:t>
      </w:r>
      <w:r w:rsidR="003366A8">
        <w:rPr>
          <w:rFonts w:ascii="Garamond" w:hAnsi="Garamond"/>
        </w:rPr>
        <w:t>able 10</w:t>
      </w:r>
      <w:r w:rsidR="00CB2C63">
        <w:rPr>
          <w:rStyle w:val="FootnoteReference"/>
          <w:rFonts w:ascii="Garamond" w:hAnsi="Garamond"/>
        </w:rPr>
        <w:footnoteReference w:id="9"/>
      </w:r>
      <w:r w:rsidR="003366A8">
        <w:rPr>
          <w:rFonts w:ascii="Garamond" w:hAnsi="Garamond"/>
        </w:rPr>
        <w:t>.</w:t>
      </w:r>
      <w:r w:rsidR="00054623">
        <w:rPr>
          <w:rFonts w:ascii="Garamond" w:hAnsi="Garamond"/>
        </w:rPr>
        <w:t xml:space="preserve"> </w:t>
      </w:r>
      <w:r w:rsidR="003B12AB">
        <w:rPr>
          <w:rFonts w:ascii="Garamond" w:hAnsi="Garamond"/>
        </w:rPr>
        <w:t>Results indicate the existence of high</w:t>
      </w:r>
      <w:r w:rsidR="009A19A3">
        <w:rPr>
          <w:rFonts w:ascii="Garamond" w:hAnsi="Garamond"/>
        </w:rPr>
        <w:t>er</w:t>
      </w:r>
      <w:r w:rsidR="003B12AB">
        <w:rPr>
          <w:rFonts w:ascii="Garamond" w:hAnsi="Garamond"/>
        </w:rPr>
        <w:t xml:space="preserve"> ferritin levels among males along the entire</w:t>
      </w:r>
      <w:r w:rsidR="000E5DD0">
        <w:rPr>
          <w:rFonts w:ascii="Garamond" w:hAnsi="Garamond"/>
        </w:rPr>
        <w:t xml:space="preserve"> distribution and especially at </w:t>
      </w:r>
      <w:r w:rsidR="003B12AB">
        <w:rPr>
          <w:rFonts w:ascii="Garamond" w:hAnsi="Garamond"/>
        </w:rPr>
        <w:t>the 95</w:t>
      </w:r>
      <w:r w:rsidR="003B12AB" w:rsidRPr="00054623">
        <w:rPr>
          <w:rFonts w:ascii="Garamond" w:hAnsi="Garamond"/>
          <w:vertAlign w:val="superscript"/>
        </w:rPr>
        <w:t>th</w:t>
      </w:r>
      <w:r w:rsidR="003B12AB">
        <w:rPr>
          <w:rFonts w:ascii="Garamond" w:hAnsi="Garamond"/>
        </w:rPr>
        <w:t xml:space="preserve"> percentile of </w:t>
      </w:r>
      <w:r w:rsidR="009A19A3">
        <w:rPr>
          <w:rFonts w:ascii="Garamond" w:hAnsi="Garamond"/>
        </w:rPr>
        <w:t>the</w:t>
      </w:r>
      <w:r w:rsidR="003B12AB">
        <w:rPr>
          <w:rFonts w:ascii="Garamond" w:hAnsi="Garamond"/>
        </w:rPr>
        <w:t xml:space="preserve"> distribution. </w:t>
      </w:r>
      <w:r w:rsidR="00054623">
        <w:rPr>
          <w:rFonts w:ascii="Garamond" w:hAnsi="Garamond"/>
        </w:rPr>
        <w:t>These differences are partly physiologic</w:t>
      </w:r>
      <w:r w:rsidR="00CB2E90">
        <w:rPr>
          <w:rFonts w:ascii="Garamond" w:hAnsi="Garamond"/>
        </w:rPr>
        <w:t>al</w:t>
      </w:r>
      <w:r w:rsidR="00054623">
        <w:rPr>
          <w:rFonts w:ascii="Garamond" w:hAnsi="Garamond"/>
        </w:rPr>
        <w:t xml:space="preserve"> and</w:t>
      </w:r>
      <w:r w:rsidR="00CB2E90">
        <w:rPr>
          <w:rFonts w:ascii="Garamond" w:hAnsi="Garamond"/>
        </w:rPr>
        <w:t xml:space="preserve"> partly</w:t>
      </w:r>
      <w:r w:rsidR="00054623">
        <w:rPr>
          <w:rFonts w:ascii="Garamond" w:hAnsi="Garamond"/>
        </w:rPr>
        <w:t xml:space="preserve"> associated to </w:t>
      </w:r>
      <w:r w:rsidR="00CB2E90">
        <w:rPr>
          <w:rFonts w:ascii="Garamond" w:hAnsi="Garamond"/>
        </w:rPr>
        <w:t>menstrual blood loss</w:t>
      </w:r>
      <w:r w:rsidR="00054623">
        <w:rPr>
          <w:rFonts w:ascii="Garamond" w:hAnsi="Garamond"/>
        </w:rPr>
        <w:t xml:space="preserve"> </w:t>
      </w:r>
      <w:r w:rsidR="00CB2E90">
        <w:rPr>
          <w:rFonts w:ascii="Garamond" w:hAnsi="Garamond"/>
        </w:rPr>
        <w:t>for</w:t>
      </w:r>
      <w:r w:rsidR="00054623">
        <w:rPr>
          <w:rFonts w:ascii="Garamond" w:hAnsi="Garamond"/>
        </w:rPr>
        <w:t xml:space="preserve"> women.</w:t>
      </w:r>
      <w:r w:rsidR="003B12AB">
        <w:rPr>
          <w:rFonts w:ascii="Garamond" w:hAnsi="Garamond"/>
        </w:rPr>
        <w:t xml:space="preserve"> </w:t>
      </w:r>
      <w:r w:rsidR="00964E6B">
        <w:rPr>
          <w:rFonts w:ascii="Garamond" w:hAnsi="Garamond"/>
        </w:rPr>
        <w:t>However, d</w:t>
      </w:r>
      <w:r w:rsidR="003B12AB">
        <w:rPr>
          <w:rFonts w:ascii="Garamond" w:hAnsi="Garamond"/>
        </w:rPr>
        <w:t xml:space="preserve">ecomposition analysis </w:t>
      </w:r>
      <w:r w:rsidR="00964E6B">
        <w:rPr>
          <w:rFonts w:ascii="Garamond" w:hAnsi="Garamond"/>
        </w:rPr>
        <w:t>also suggests</w:t>
      </w:r>
      <w:r w:rsidR="003B12AB">
        <w:rPr>
          <w:rFonts w:ascii="Garamond" w:hAnsi="Garamond"/>
        </w:rPr>
        <w:t xml:space="preserve"> that differences are </w:t>
      </w:r>
      <w:r w:rsidR="008E0F30">
        <w:rPr>
          <w:rFonts w:ascii="Garamond" w:hAnsi="Garamond"/>
        </w:rPr>
        <w:t>largely</w:t>
      </w:r>
      <w:r w:rsidR="003B12AB">
        <w:rPr>
          <w:rFonts w:ascii="Garamond" w:hAnsi="Garamond"/>
        </w:rPr>
        <w:t xml:space="preserve"> explained by </w:t>
      </w:r>
      <w:r w:rsidR="000759D9">
        <w:rPr>
          <w:rFonts w:ascii="Garamond" w:hAnsi="Garamond"/>
        </w:rPr>
        <w:t>a</w:t>
      </w:r>
      <w:r w:rsidR="003B12AB">
        <w:rPr>
          <w:rFonts w:ascii="Garamond" w:hAnsi="Garamond"/>
        </w:rPr>
        <w:t>n elasticity effect</w:t>
      </w:r>
      <w:r w:rsidR="00964E6B">
        <w:rPr>
          <w:rFonts w:ascii="Garamond" w:hAnsi="Garamond"/>
        </w:rPr>
        <w:t xml:space="preserve"> while compositional differences are less important.</w:t>
      </w:r>
      <w:r w:rsidR="00CB2E90">
        <w:rPr>
          <w:rFonts w:ascii="Garamond" w:hAnsi="Garamond"/>
        </w:rPr>
        <w:t xml:space="preserve"> Similar</w:t>
      </w:r>
      <w:r w:rsidR="000759D9">
        <w:rPr>
          <w:rFonts w:ascii="Garamond" w:hAnsi="Garamond"/>
        </w:rPr>
        <w:t xml:space="preserve"> to the other biomarkers, </w:t>
      </w:r>
      <w:r w:rsidR="003B12AB">
        <w:rPr>
          <w:rFonts w:ascii="Garamond" w:hAnsi="Garamond"/>
        </w:rPr>
        <w:t xml:space="preserve">we </w:t>
      </w:r>
      <w:r w:rsidR="00CB2E90">
        <w:rPr>
          <w:rFonts w:ascii="Garamond" w:hAnsi="Garamond"/>
        </w:rPr>
        <w:t>find</w:t>
      </w:r>
      <w:r w:rsidR="003B12AB">
        <w:rPr>
          <w:rFonts w:ascii="Garamond" w:hAnsi="Garamond"/>
        </w:rPr>
        <w:t xml:space="preserve"> that </w:t>
      </w:r>
      <w:r w:rsidR="000759D9">
        <w:rPr>
          <w:rFonts w:ascii="Garamond" w:hAnsi="Garamond"/>
        </w:rPr>
        <w:t xml:space="preserve">income </w:t>
      </w:r>
      <w:r w:rsidR="003B12AB">
        <w:rPr>
          <w:rFonts w:ascii="Garamond" w:hAnsi="Garamond"/>
        </w:rPr>
        <w:t>is the largest contributing factor to gender differentials and this happens along the entire distribution</w:t>
      </w:r>
      <w:r w:rsidR="00550796">
        <w:rPr>
          <w:rFonts w:ascii="Garamond" w:hAnsi="Garamond"/>
        </w:rPr>
        <w:t xml:space="preserve"> (Figure 8)</w:t>
      </w:r>
      <w:r w:rsidR="003B12AB">
        <w:rPr>
          <w:rFonts w:ascii="Garamond" w:hAnsi="Garamond"/>
        </w:rPr>
        <w:t xml:space="preserve">. Again, we </w:t>
      </w:r>
      <w:r w:rsidR="00CB2E90">
        <w:rPr>
          <w:rFonts w:ascii="Garamond" w:hAnsi="Garamond"/>
        </w:rPr>
        <w:t>find</w:t>
      </w:r>
      <w:r w:rsidR="003B12AB">
        <w:rPr>
          <w:rFonts w:ascii="Garamond" w:hAnsi="Garamond"/>
        </w:rPr>
        <w:t xml:space="preserve"> that </w:t>
      </w:r>
      <w:r w:rsidR="009A19A3">
        <w:rPr>
          <w:rFonts w:ascii="Garamond" w:hAnsi="Garamond"/>
        </w:rPr>
        <w:t xml:space="preserve">the </w:t>
      </w:r>
      <w:r w:rsidR="003B12AB">
        <w:rPr>
          <w:rFonts w:ascii="Garamond" w:hAnsi="Garamond"/>
        </w:rPr>
        <w:t>income contribution is</w:t>
      </w:r>
      <w:r w:rsidR="000759D9">
        <w:rPr>
          <w:rFonts w:ascii="Garamond" w:hAnsi="Garamond"/>
        </w:rPr>
        <w:t xml:space="preserve"> mo</w:t>
      </w:r>
      <w:r w:rsidR="003B12AB">
        <w:rPr>
          <w:rFonts w:ascii="Garamond" w:hAnsi="Garamond"/>
        </w:rPr>
        <w:t>s</w:t>
      </w:r>
      <w:r w:rsidR="008E0F30">
        <w:rPr>
          <w:rFonts w:ascii="Garamond" w:hAnsi="Garamond"/>
        </w:rPr>
        <w:t xml:space="preserve">tly due to an elasticity effect. </w:t>
      </w:r>
      <w:r w:rsidR="003B12AB">
        <w:rPr>
          <w:rFonts w:ascii="Garamond" w:hAnsi="Garamond"/>
        </w:rPr>
        <w:t>This indicate</w:t>
      </w:r>
      <w:r w:rsidR="008E0F30">
        <w:rPr>
          <w:rFonts w:ascii="Garamond" w:hAnsi="Garamond"/>
        </w:rPr>
        <w:t>s</w:t>
      </w:r>
      <w:r w:rsidR="003B12AB">
        <w:rPr>
          <w:rFonts w:ascii="Garamond" w:hAnsi="Garamond"/>
        </w:rPr>
        <w:t xml:space="preserve"> a</w:t>
      </w:r>
      <w:r w:rsidR="00964E6B">
        <w:rPr>
          <w:rFonts w:ascii="Garamond" w:hAnsi="Garamond"/>
        </w:rPr>
        <w:t xml:space="preserve"> higher</w:t>
      </w:r>
      <w:r w:rsidR="003B12AB">
        <w:rPr>
          <w:rFonts w:ascii="Garamond" w:hAnsi="Garamond"/>
        </w:rPr>
        <w:t xml:space="preserve"> income </w:t>
      </w:r>
      <w:r w:rsidR="009A19A3">
        <w:rPr>
          <w:rFonts w:ascii="Garamond" w:hAnsi="Garamond"/>
        </w:rPr>
        <w:t>gradient</w:t>
      </w:r>
      <w:r w:rsidR="003B12AB">
        <w:rPr>
          <w:rFonts w:ascii="Garamond" w:hAnsi="Garamond"/>
        </w:rPr>
        <w:t xml:space="preserve"> among males at all levels.</w:t>
      </w:r>
      <w:r w:rsidR="000759D9">
        <w:rPr>
          <w:rFonts w:ascii="Garamond" w:hAnsi="Garamond"/>
        </w:rPr>
        <w:t xml:space="preserve"> </w:t>
      </w:r>
      <w:r w:rsidR="00781366">
        <w:rPr>
          <w:rFonts w:ascii="Garamond" w:hAnsi="Garamond"/>
        </w:rPr>
        <w:t xml:space="preserve">In substantive terms, </w:t>
      </w:r>
      <w:r w:rsidR="00B41486">
        <w:rPr>
          <w:rFonts w:ascii="Garamond" w:hAnsi="Garamond"/>
        </w:rPr>
        <w:t>these</w:t>
      </w:r>
      <w:r w:rsidR="00964E6B">
        <w:rPr>
          <w:rFonts w:ascii="Garamond" w:hAnsi="Garamond"/>
        </w:rPr>
        <w:t xml:space="preserve"> results suggest that </w:t>
      </w:r>
      <w:r w:rsidR="009A19A3">
        <w:rPr>
          <w:rFonts w:ascii="Garamond" w:hAnsi="Garamond"/>
        </w:rPr>
        <w:t xml:space="preserve">the </w:t>
      </w:r>
      <w:r w:rsidR="00DF5AA3">
        <w:rPr>
          <w:rFonts w:ascii="Garamond" w:hAnsi="Garamond"/>
        </w:rPr>
        <w:t>income gradient is higher among</w:t>
      </w:r>
      <w:r w:rsidR="00B41486">
        <w:rPr>
          <w:rFonts w:ascii="Garamond" w:hAnsi="Garamond"/>
        </w:rPr>
        <w:t xml:space="preserve"> males</w:t>
      </w:r>
      <w:r w:rsidR="00964E6B">
        <w:rPr>
          <w:rFonts w:ascii="Garamond" w:hAnsi="Garamond"/>
        </w:rPr>
        <w:t xml:space="preserve"> for low ferritin problems</w:t>
      </w:r>
      <w:r w:rsidR="00B41486">
        <w:rPr>
          <w:rFonts w:ascii="Garamond" w:hAnsi="Garamond"/>
        </w:rPr>
        <w:t xml:space="preserve"> while we do not detect meaningful gender differentials at </w:t>
      </w:r>
      <w:r w:rsidR="009A19A3">
        <w:rPr>
          <w:rFonts w:ascii="Garamond" w:hAnsi="Garamond"/>
        </w:rPr>
        <w:t xml:space="preserve">the </w:t>
      </w:r>
      <w:r w:rsidR="00B41486">
        <w:rPr>
          <w:rFonts w:ascii="Garamond" w:hAnsi="Garamond"/>
        </w:rPr>
        <w:t xml:space="preserve">highest levels of ferritin, </w:t>
      </w:r>
      <w:r w:rsidR="00FE572F">
        <w:rPr>
          <w:rFonts w:ascii="Garamond" w:hAnsi="Garamond"/>
        </w:rPr>
        <w:t xml:space="preserve">and </w:t>
      </w:r>
      <w:r w:rsidR="00B41486">
        <w:rPr>
          <w:rFonts w:ascii="Garamond" w:hAnsi="Garamond"/>
        </w:rPr>
        <w:t xml:space="preserve">the income-ferritin association </w:t>
      </w:r>
      <w:r w:rsidR="00FE572F">
        <w:rPr>
          <w:rFonts w:ascii="Garamond" w:hAnsi="Garamond"/>
        </w:rPr>
        <w:t xml:space="preserve">is </w:t>
      </w:r>
      <w:r w:rsidR="00851C53">
        <w:rPr>
          <w:rFonts w:ascii="Garamond" w:hAnsi="Garamond"/>
        </w:rPr>
        <w:t xml:space="preserve">less statistically </w:t>
      </w:r>
      <w:r w:rsidR="00B41486">
        <w:rPr>
          <w:rFonts w:ascii="Garamond" w:hAnsi="Garamond"/>
        </w:rPr>
        <w:t>significant at those levels</w:t>
      </w:r>
      <w:r w:rsidR="00525251">
        <w:rPr>
          <w:rFonts w:ascii="Garamond" w:hAnsi="Garamond"/>
        </w:rPr>
        <w:t xml:space="preserve"> (as discussed in </w:t>
      </w:r>
      <w:r w:rsidR="00CB2E90">
        <w:rPr>
          <w:rFonts w:ascii="Garamond" w:hAnsi="Garamond"/>
        </w:rPr>
        <w:t>Section</w:t>
      </w:r>
      <w:r w:rsidR="00525251">
        <w:rPr>
          <w:rFonts w:ascii="Garamond" w:hAnsi="Garamond"/>
        </w:rPr>
        <w:t xml:space="preserve"> 4.1)</w:t>
      </w:r>
      <w:r w:rsidR="00B41486">
        <w:rPr>
          <w:rFonts w:ascii="Garamond" w:hAnsi="Garamond"/>
        </w:rPr>
        <w:t>.</w:t>
      </w:r>
    </w:p>
    <w:p w14:paraId="2DDA2F1D" w14:textId="77777777" w:rsidR="00770EA9" w:rsidRDefault="00770EA9" w:rsidP="00890088">
      <w:pPr>
        <w:rPr>
          <w:rFonts w:ascii="Garamond" w:hAnsi="Garamond"/>
        </w:rPr>
      </w:pPr>
    </w:p>
    <w:p w14:paraId="264E38E7" w14:textId="77777777" w:rsidR="00B057DA" w:rsidRPr="00A164EC" w:rsidRDefault="00B057DA" w:rsidP="00B057DA">
      <w:pPr>
        <w:jc w:val="both"/>
        <w:rPr>
          <w:rFonts w:ascii="Garamond" w:hAnsi="Garamond"/>
          <w:b/>
          <w:sz w:val="28"/>
          <w:szCs w:val="28"/>
        </w:rPr>
      </w:pPr>
      <w:r w:rsidRPr="00A164EC">
        <w:rPr>
          <w:rFonts w:ascii="Garamond" w:hAnsi="Garamond"/>
          <w:b/>
          <w:sz w:val="28"/>
          <w:szCs w:val="28"/>
        </w:rPr>
        <w:t>5. Conclusions</w:t>
      </w:r>
    </w:p>
    <w:p w14:paraId="21E9AB15" w14:textId="77777777" w:rsidR="005D2B95" w:rsidRDefault="005D2B95" w:rsidP="00483FA5">
      <w:pPr>
        <w:jc w:val="both"/>
        <w:rPr>
          <w:rFonts w:ascii="Garamond" w:hAnsi="Garamond"/>
        </w:rPr>
      </w:pPr>
      <w:r>
        <w:rPr>
          <w:rFonts w:ascii="Garamond" w:hAnsi="Garamond"/>
        </w:rPr>
        <w:t>The relationship between income and health is probably one of the most explored topic</w:t>
      </w:r>
      <w:r w:rsidR="000100D1">
        <w:rPr>
          <w:rFonts w:ascii="Garamond" w:hAnsi="Garamond"/>
        </w:rPr>
        <w:t>s</w:t>
      </w:r>
      <w:r>
        <w:rPr>
          <w:rFonts w:ascii="Garamond" w:hAnsi="Garamond"/>
        </w:rPr>
        <w:t xml:space="preserve"> in health economics. A </w:t>
      </w:r>
      <w:r w:rsidR="000100D1">
        <w:rPr>
          <w:rFonts w:ascii="Garamond" w:hAnsi="Garamond"/>
        </w:rPr>
        <w:t>large</w:t>
      </w:r>
      <w:r>
        <w:rPr>
          <w:rFonts w:ascii="Garamond" w:hAnsi="Garamond"/>
        </w:rPr>
        <w:t xml:space="preserve"> literature documents the existence of a positive income gradient which is found in several countries, across different age groups and according to several measures of health status. Despite this large interest, l</w:t>
      </w:r>
      <w:r w:rsidR="000100D1">
        <w:rPr>
          <w:rFonts w:ascii="Garamond" w:hAnsi="Garamond"/>
        </w:rPr>
        <w:t>ess</w:t>
      </w:r>
      <w:r>
        <w:rPr>
          <w:rFonts w:ascii="Garamond" w:hAnsi="Garamond"/>
        </w:rPr>
        <w:t xml:space="preserve"> is known </w:t>
      </w:r>
      <w:r w:rsidR="00BE6BA9">
        <w:rPr>
          <w:rFonts w:ascii="Garamond" w:hAnsi="Garamond"/>
        </w:rPr>
        <w:t>about</w:t>
      </w:r>
      <w:r>
        <w:rPr>
          <w:rFonts w:ascii="Garamond" w:hAnsi="Garamond"/>
        </w:rPr>
        <w:t xml:space="preserve"> the income-health relationship at different point</w:t>
      </w:r>
      <w:r w:rsidR="00FE572F">
        <w:rPr>
          <w:rFonts w:ascii="Garamond" w:hAnsi="Garamond"/>
        </w:rPr>
        <w:t>s</w:t>
      </w:r>
      <w:r>
        <w:rPr>
          <w:rFonts w:ascii="Garamond" w:hAnsi="Garamond"/>
        </w:rPr>
        <w:t xml:space="preserve"> of </w:t>
      </w:r>
      <w:r w:rsidR="00FE572F">
        <w:rPr>
          <w:rFonts w:ascii="Garamond" w:hAnsi="Garamond"/>
        </w:rPr>
        <w:t xml:space="preserve">the </w:t>
      </w:r>
      <w:r>
        <w:rPr>
          <w:rFonts w:ascii="Garamond" w:hAnsi="Garamond"/>
        </w:rPr>
        <w:t>health distribution. Indeed, s</w:t>
      </w:r>
      <w:r w:rsidR="00F36C21">
        <w:rPr>
          <w:rFonts w:ascii="Garamond" w:hAnsi="Garamond"/>
        </w:rPr>
        <w:t>tudies of the influence of economic conditions on health typically measure the effect of the former on the conditional mean of the health status variable</w:t>
      </w:r>
      <w:r w:rsidR="000100D1">
        <w:rPr>
          <w:rFonts w:ascii="Garamond" w:hAnsi="Garamond"/>
        </w:rPr>
        <w:t xml:space="preserve"> through regression analysis</w:t>
      </w:r>
      <w:r w:rsidR="00F36C21">
        <w:rPr>
          <w:rFonts w:ascii="Garamond" w:hAnsi="Garamond"/>
        </w:rPr>
        <w:t>.</w:t>
      </w:r>
      <w:r w:rsidR="00483FA5">
        <w:rPr>
          <w:rFonts w:ascii="Garamond" w:hAnsi="Garamond"/>
        </w:rPr>
        <w:t xml:space="preserve"> Analysis based solely on </w:t>
      </w:r>
      <w:r w:rsidR="00483FA5" w:rsidRPr="00BF7756">
        <w:rPr>
          <w:rFonts w:ascii="Garamond" w:hAnsi="Garamond"/>
        </w:rPr>
        <w:t>the mean</w:t>
      </w:r>
      <w:r>
        <w:rPr>
          <w:rFonts w:ascii="Garamond" w:hAnsi="Garamond"/>
        </w:rPr>
        <w:t xml:space="preserve"> while offering </w:t>
      </w:r>
      <w:r w:rsidR="00BE6BA9">
        <w:rPr>
          <w:rFonts w:ascii="Garamond" w:hAnsi="Garamond"/>
        </w:rPr>
        <w:t>useful</w:t>
      </w:r>
      <w:r>
        <w:rPr>
          <w:rFonts w:ascii="Garamond" w:hAnsi="Garamond"/>
        </w:rPr>
        <w:t xml:space="preserve"> information,</w:t>
      </w:r>
      <w:r w:rsidR="00483FA5" w:rsidRPr="00BF7756">
        <w:rPr>
          <w:rFonts w:ascii="Garamond" w:hAnsi="Garamond"/>
        </w:rPr>
        <w:t xml:space="preserve"> misses potentially important </w:t>
      </w:r>
      <w:r w:rsidR="00BE6BA9">
        <w:rPr>
          <w:rFonts w:ascii="Garamond" w:hAnsi="Garamond"/>
        </w:rPr>
        <w:t xml:space="preserve">information </w:t>
      </w:r>
      <w:r w:rsidR="00483FA5" w:rsidRPr="00BF7756">
        <w:rPr>
          <w:rFonts w:ascii="Garamond" w:hAnsi="Garamond"/>
        </w:rPr>
        <w:t>in</w:t>
      </w:r>
      <w:r w:rsidR="00BE6BA9">
        <w:rPr>
          <w:rFonts w:ascii="Garamond" w:hAnsi="Garamond"/>
        </w:rPr>
        <w:t xml:space="preserve"> other parts of the </w:t>
      </w:r>
      <w:r w:rsidR="00483FA5" w:rsidRPr="00BF7756">
        <w:rPr>
          <w:rFonts w:ascii="Garamond" w:hAnsi="Garamond"/>
        </w:rPr>
        <w:t>dis</w:t>
      </w:r>
      <w:r w:rsidR="00BE6BA9">
        <w:rPr>
          <w:rFonts w:ascii="Garamond" w:hAnsi="Garamond"/>
        </w:rPr>
        <w:t xml:space="preserve">tribution. </w:t>
      </w:r>
      <w:r>
        <w:rPr>
          <w:rFonts w:ascii="Garamond" w:hAnsi="Garamond"/>
        </w:rPr>
        <w:t xml:space="preserve">For instance, it does not </w:t>
      </w:r>
      <w:r w:rsidRPr="00C47882">
        <w:rPr>
          <w:rFonts w:ascii="Garamond" w:hAnsi="Garamond"/>
        </w:rPr>
        <w:t>check for non</w:t>
      </w:r>
      <w:r w:rsidR="00FE572F">
        <w:rPr>
          <w:rFonts w:ascii="Garamond" w:hAnsi="Garamond"/>
        </w:rPr>
        <w:t>-</w:t>
      </w:r>
      <w:r w:rsidRPr="00C47882">
        <w:rPr>
          <w:rFonts w:ascii="Garamond" w:hAnsi="Garamond"/>
        </w:rPr>
        <w:t>linearities in the relatio</w:t>
      </w:r>
      <w:r>
        <w:rPr>
          <w:rFonts w:ascii="Garamond" w:hAnsi="Garamond"/>
        </w:rPr>
        <w:t>nship between income and health</w:t>
      </w:r>
      <w:r w:rsidR="000100D1">
        <w:rPr>
          <w:rFonts w:ascii="Garamond" w:hAnsi="Garamond"/>
        </w:rPr>
        <w:t xml:space="preserve"> across the full conditional distribution</w:t>
      </w:r>
      <w:r>
        <w:rPr>
          <w:rFonts w:ascii="Garamond" w:hAnsi="Garamond"/>
        </w:rPr>
        <w:t xml:space="preserve">. </w:t>
      </w:r>
      <w:r w:rsidR="00391C51">
        <w:rPr>
          <w:rFonts w:ascii="Garamond" w:hAnsi="Garamond"/>
        </w:rPr>
        <w:t>Moreover</w:t>
      </w:r>
      <w:r>
        <w:rPr>
          <w:rFonts w:ascii="Garamond" w:hAnsi="Garamond"/>
        </w:rPr>
        <w:t xml:space="preserve">, it does not permit </w:t>
      </w:r>
      <w:r w:rsidR="000100D1">
        <w:rPr>
          <w:rFonts w:ascii="Garamond" w:hAnsi="Garamond"/>
        </w:rPr>
        <w:t>analysis of</w:t>
      </w:r>
      <w:r>
        <w:rPr>
          <w:rFonts w:ascii="Garamond" w:hAnsi="Garamond"/>
        </w:rPr>
        <w:t xml:space="preserve"> the role of economic conditions at the tails of </w:t>
      </w:r>
      <w:r w:rsidR="00BE6BA9">
        <w:rPr>
          <w:rFonts w:ascii="Garamond" w:hAnsi="Garamond"/>
        </w:rPr>
        <w:t xml:space="preserve">the </w:t>
      </w:r>
      <w:r>
        <w:rPr>
          <w:rFonts w:ascii="Garamond" w:hAnsi="Garamond"/>
        </w:rPr>
        <w:t xml:space="preserve">health distribution which are often associated </w:t>
      </w:r>
      <w:r w:rsidR="000100D1">
        <w:rPr>
          <w:rFonts w:ascii="Garamond" w:hAnsi="Garamond"/>
        </w:rPr>
        <w:t>with</w:t>
      </w:r>
      <w:r>
        <w:rPr>
          <w:rFonts w:ascii="Garamond" w:hAnsi="Garamond"/>
        </w:rPr>
        <w:t xml:space="preserve"> large </w:t>
      </w:r>
      <w:r w:rsidR="000100D1">
        <w:rPr>
          <w:rFonts w:ascii="Garamond" w:hAnsi="Garamond"/>
        </w:rPr>
        <w:t>welfare losses</w:t>
      </w:r>
      <w:r>
        <w:rPr>
          <w:rFonts w:ascii="Garamond" w:hAnsi="Garamond"/>
        </w:rPr>
        <w:t xml:space="preserve"> for individuals and</w:t>
      </w:r>
      <w:r w:rsidRPr="00C47882">
        <w:rPr>
          <w:rFonts w:ascii="Garamond" w:hAnsi="Garamond"/>
        </w:rPr>
        <w:t xml:space="preserve"> high costs for the health </w:t>
      </w:r>
      <w:r w:rsidR="000100D1">
        <w:rPr>
          <w:rFonts w:ascii="Garamond" w:hAnsi="Garamond"/>
        </w:rPr>
        <w:t xml:space="preserve">care </w:t>
      </w:r>
      <w:r w:rsidRPr="00C47882">
        <w:rPr>
          <w:rFonts w:ascii="Garamond" w:hAnsi="Garamond"/>
        </w:rPr>
        <w:t>system</w:t>
      </w:r>
      <w:r>
        <w:rPr>
          <w:rFonts w:ascii="Garamond" w:hAnsi="Garamond"/>
        </w:rPr>
        <w:t xml:space="preserve">. </w:t>
      </w:r>
    </w:p>
    <w:p w14:paraId="1C550675" w14:textId="7400C9FE" w:rsidR="00391C51" w:rsidRDefault="00F36C21" w:rsidP="00391C51">
      <w:pPr>
        <w:jc w:val="both"/>
        <w:rPr>
          <w:rFonts w:ascii="Garamond" w:hAnsi="Garamond"/>
        </w:rPr>
      </w:pPr>
      <w:r>
        <w:rPr>
          <w:rFonts w:ascii="Garamond" w:hAnsi="Garamond"/>
        </w:rPr>
        <w:t xml:space="preserve">This paper </w:t>
      </w:r>
      <w:r w:rsidR="00483FA5">
        <w:rPr>
          <w:rFonts w:ascii="Garamond" w:hAnsi="Garamond"/>
        </w:rPr>
        <w:t>fills this gap</w:t>
      </w:r>
      <w:r>
        <w:rPr>
          <w:rFonts w:ascii="Garamond" w:hAnsi="Garamond"/>
        </w:rPr>
        <w:t xml:space="preserve"> </w:t>
      </w:r>
      <w:r w:rsidR="000100D1">
        <w:rPr>
          <w:rFonts w:ascii="Garamond" w:hAnsi="Garamond"/>
        </w:rPr>
        <w:t xml:space="preserve">by </w:t>
      </w:r>
      <w:r w:rsidR="00483FA5">
        <w:rPr>
          <w:rFonts w:ascii="Garamond" w:hAnsi="Garamond"/>
        </w:rPr>
        <w:t xml:space="preserve">offering </w:t>
      </w:r>
      <w:r>
        <w:rPr>
          <w:rFonts w:ascii="Garamond" w:hAnsi="Garamond"/>
        </w:rPr>
        <w:t xml:space="preserve">new evidence on the income-health relationship “beyond the mean” of the health distribution. We use </w:t>
      </w:r>
      <w:r w:rsidR="000100D1">
        <w:rPr>
          <w:rFonts w:ascii="Garamond" w:hAnsi="Garamond"/>
        </w:rPr>
        <w:t>a</w:t>
      </w:r>
      <w:r>
        <w:rPr>
          <w:rFonts w:ascii="Garamond" w:hAnsi="Garamond"/>
        </w:rPr>
        <w:t xml:space="preserve"> distributional method proposed in the </w:t>
      </w:r>
      <w:r w:rsidR="000100D1">
        <w:rPr>
          <w:rFonts w:ascii="Garamond" w:hAnsi="Garamond"/>
        </w:rPr>
        <w:t xml:space="preserve">recent </w:t>
      </w:r>
      <w:r>
        <w:rPr>
          <w:rFonts w:ascii="Garamond" w:hAnsi="Garamond"/>
        </w:rPr>
        <w:t xml:space="preserve">literature, the </w:t>
      </w:r>
      <w:r w:rsidR="00E43EC6">
        <w:rPr>
          <w:rFonts w:ascii="Garamond" w:hAnsi="Garamond"/>
        </w:rPr>
        <w:t>RIF</w:t>
      </w:r>
      <w:r>
        <w:rPr>
          <w:rFonts w:ascii="Garamond" w:hAnsi="Garamond"/>
        </w:rPr>
        <w:t xml:space="preserve"> approach</w:t>
      </w:r>
      <w:r w:rsidR="00E43EC6">
        <w:rPr>
          <w:rFonts w:ascii="Garamond" w:hAnsi="Garamond"/>
        </w:rPr>
        <w:t xml:space="preserve"> </w:t>
      </w:r>
      <w:r>
        <w:rPr>
          <w:rFonts w:ascii="Garamond" w:hAnsi="Garamond"/>
        </w:rPr>
        <w:t>of</w:t>
      </w:r>
      <w:r w:rsidRPr="007F5F25">
        <w:rPr>
          <w:rFonts w:ascii="Garamond" w:hAnsi="Garamond"/>
        </w:rPr>
        <w:t xml:space="preserve"> Firpo, Fortin and Lemieux (2009)</w:t>
      </w:r>
      <w:r w:rsidR="000100D1">
        <w:rPr>
          <w:rFonts w:ascii="Garamond" w:hAnsi="Garamond"/>
        </w:rPr>
        <w:t>,</w:t>
      </w:r>
      <w:r>
        <w:rPr>
          <w:rFonts w:ascii="Garamond" w:hAnsi="Garamond"/>
        </w:rPr>
        <w:t xml:space="preserve"> to estimate income gradient</w:t>
      </w:r>
      <w:r w:rsidR="000100D1">
        <w:rPr>
          <w:rFonts w:ascii="Garamond" w:hAnsi="Garamond"/>
        </w:rPr>
        <w:t xml:space="preserve">s across the full distribution </w:t>
      </w:r>
      <w:r>
        <w:rPr>
          <w:rFonts w:ascii="Garamond" w:hAnsi="Garamond"/>
        </w:rPr>
        <w:t>for continuous measure</w:t>
      </w:r>
      <w:r w:rsidR="000100D1">
        <w:rPr>
          <w:rFonts w:ascii="Garamond" w:hAnsi="Garamond"/>
        </w:rPr>
        <w:t>s</w:t>
      </w:r>
      <w:r>
        <w:rPr>
          <w:rFonts w:ascii="Garamond" w:hAnsi="Garamond"/>
        </w:rPr>
        <w:t xml:space="preserve"> of objective health status: </w:t>
      </w:r>
      <w:r>
        <w:rPr>
          <w:rFonts w:ascii="Garamond" w:hAnsi="Garamond"/>
        </w:rPr>
        <w:lastRenderedPageBreak/>
        <w:t xml:space="preserve">blood-based biomarkers. </w:t>
      </w:r>
      <w:r w:rsidR="00483FA5">
        <w:rPr>
          <w:rFonts w:ascii="Garamond" w:hAnsi="Garamond"/>
        </w:rPr>
        <w:t>Moreover, we apply Oaxaca-Blinder decomposition</w:t>
      </w:r>
      <w:r w:rsidR="000100D1">
        <w:rPr>
          <w:rFonts w:ascii="Garamond" w:hAnsi="Garamond"/>
        </w:rPr>
        <w:t>s</w:t>
      </w:r>
      <w:r w:rsidR="00483FA5">
        <w:rPr>
          <w:rFonts w:ascii="Garamond" w:hAnsi="Garamond"/>
        </w:rPr>
        <w:t xml:space="preserve"> at various quantiles of </w:t>
      </w:r>
      <w:r w:rsidR="000100D1">
        <w:rPr>
          <w:rFonts w:ascii="Garamond" w:hAnsi="Garamond"/>
        </w:rPr>
        <w:t xml:space="preserve">the </w:t>
      </w:r>
      <w:r w:rsidR="00483FA5">
        <w:rPr>
          <w:rFonts w:ascii="Garamond" w:hAnsi="Garamond"/>
        </w:rPr>
        <w:t>biomarker distribution</w:t>
      </w:r>
      <w:r w:rsidR="000100D1">
        <w:rPr>
          <w:rFonts w:ascii="Garamond" w:hAnsi="Garamond"/>
        </w:rPr>
        <w:t>s</w:t>
      </w:r>
      <w:r w:rsidR="00483FA5">
        <w:rPr>
          <w:rFonts w:ascii="Garamond" w:hAnsi="Garamond"/>
        </w:rPr>
        <w:t xml:space="preserve"> to </w:t>
      </w:r>
      <w:r w:rsidR="0099024E">
        <w:rPr>
          <w:rFonts w:ascii="Garamond" w:hAnsi="Garamond"/>
        </w:rPr>
        <w:t>explain gender differentials</w:t>
      </w:r>
      <w:r w:rsidR="00483FA5">
        <w:rPr>
          <w:rFonts w:ascii="Garamond" w:hAnsi="Garamond"/>
        </w:rPr>
        <w:t xml:space="preserve"> in biomarkers in England. </w:t>
      </w:r>
      <w:r>
        <w:rPr>
          <w:rFonts w:ascii="Garamond" w:hAnsi="Garamond"/>
        </w:rPr>
        <w:t xml:space="preserve">We use </w:t>
      </w:r>
      <w:r w:rsidR="00772B46">
        <w:rPr>
          <w:rFonts w:ascii="Garamond" w:hAnsi="Garamond"/>
        </w:rPr>
        <w:t xml:space="preserve">repeated cross-sectional </w:t>
      </w:r>
      <w:r>
        <w:rPr>
          <w:rFonts w:ascii="Garamond" w:hAnsi="Garamond"/>
        </w:rPr>
        <w:t xml:space="preserve">data from the Health Survey for England </w:t>
      </w:r>
      <w:r w:rsidR="00772B46">
        <w:rPr>
          <w:rFonts w:ascii="Garamond" w:hAnsi="Garamond"/>
        </w:rPr>
        <w:t xml:space="preserve">spanning from the 2003 to 2012 </w:t>
      </w:r>
      <w:r w:rsidR="00483FA5">
        <w:rPr>
          <w:rFonts w:ascii="Garamond" w:hAnsi="Garamond"/>
        </w:rPr>
        <w:t xml:space="preserve">and </w:t>
      </w:r>
      <w:r>
        <w:rPr>
          <w:rFonts w:ascii="Garamond" w:hAnsi="Garamond"/>
        </w:rPr>
        <w:t>w</w:t>
      </w:r>
      <w:r w:rsidRPr="00064754">
        <w:rPr>
          <w:rFonts w:ascii="Garamond" w:hAnsi="Garamond"/>
        </w:rPr>
        <w:t xml:space="preserve">e </w:t>
      </w:r>
      <w:r>
        <w:rPr>
          <w:rFonts w:ascii="Garamond" w:hAnsi="Garamond"/>
        </w:rPr>
        <w:t>concentrate on</w:t>
      </w:r>
      <w:r w:rsidRPr="00064754">
        <w:rPr>
          <w:rFonts w:ascii="Garamond" w:hAnsi="Garamond"/>
        </w:rPr>
        <w:t xml:space="preserve"> four </w:t>
      </w:r>
      <w:r w:rsidR="00E43EC6">
        <w:rPr>
          <w:rFonts w:ascii="Garamond" w:hAnsi="Garamond"/>
        </w:rPr>
        <w:t>bio</w:t>
      </w:r>
      <w:r>
        <w:rPr>
          <w:rFonts w:ascii="Garamond" w:hAnsi="Garamond"/>
        </w:rPr>
        <w:t>markers</w:t>
      </w:r>
      <w:r w:rsidRPr="00064754">
        <w:rPr>
          <w:rFonts w:ascii="Garamond" w:hAnsi="Garamond"/>
        </w:rPr>
        <w:t xml:space="preserve"> </w:t>
      </w:r>
      <w:r w:rsidR="00E43EC6">
        <w:rPr>
          <w:rFonts w:ascii="Garamond" w:hAnsi="Garamond"/>
        </w:rPr>
        <w:t xml:space="preserve">that are </w:t>
      </w:r>
      <w:r w:rsidRPr="00064754">
        <w:rPr>
          <w:rFonts w:ascii="Garamond" w:hAnsi="Garamond"/>
        </w:rPr>
        <w:t xml:space="preserve">predictive of </w:t>
      </w:r>
      <w:r w:rsidR="00391EDE">
        <w:rPr>
          <w:rFonts w:ascii="Garamond" w:hAnsi="Garamond"/>
        </w:rPr>
        <w:t xml:space="preserve">some of the </w:t>
      </w:r>
      <w:r w:rsidRPr="00064754">
        <w:rPr>
          <w:rFonts w:ascii="Garamond" w:hAnsi="Garamond"/>
        </w:rPr>
        <w:t xml:space="preserve">most </w:t>
      </w:r>
      <w:r w:rsidR="00391EDE">
        <w:rPr>
          <w:rFonts w:ascii="Garamond" w:hAnsi="Garamond"/>
        </w:rPr>
        <w:t>prevalent</w:t>
      </w:r>
      <w:r>
        <w:rPr>
          <w:rFonts w:ascii="Garamond" w:hAnsi="Garamond"/>
        </w:rPr>
        <w:t xml:space="preserve"> </w:t>
      </w:r>
      <w:r w:rsidR="00E43EC6">
        <w:rPr>
          <w:rFonts w:ascii="Garamond" w:hAnsi="Garamond"/>
        </w:rPr>
        <w:t xml:space="preserve">non-communicable </w:t>
      </w:r>
      <w:r w:rsidRPr="00064754">
        <w:rPr>
          <w:rFonts w:ascii="Garamond" w:hAnsi="Garamond"/>
        </w:rPr>
        <w:t>disease</w:t>
      </w:r>
      <w:r w:rsidR="00E43EC6">
        <w:rPr>
          <w:rFonts w:ascii="Garamond" w:hAnsi="Garamond"/>
        </w:rPr>
        <w:t>s</w:t>
      </w:r>
      <w:r w:rsidRPr="00064754">
        <w:rPr>
          <w:rFonts w:ascii="Garamond" w:hAnsi="Garamond"/>
        </w:rPr>
        <w:t xml:space="preserve">: </w:t>
      </w:r>
      <w:r w:rsidR="000100D1">
        <w:rPr>
          <w:rFonts w:ascii="Garamond" w:hAnsi="Garamond"/>
        </w:rPr>
        <w:t>t</w:t>
      </w:r>
      <w:r w:rsidRPr="00064754">
        <w:rPr>
          <w:rFonts w:ascii="Garamond" w:hAnsi="Garamond"/>
        </w:rPr>
        <w:t xml:space="preserve">otal </w:t>
      </w:r>
      <w:r w:rsidR="000100D1">
        <w:rPr>
          <w:rFonts w:ascii="Garamond" w:hAnsi="Garamond"/>
        </w:rPr>
        <w:t>c</w:t>
      </w:r>
      <w:r w:rsidRPr="00064754">
        <w:rPr>
          <w:rFonts w:ascii="Garamond" w:hAnsi="Garamond"/>
        </w:rPr>
        <w:t xml:space="preserve">holesterol, </w:t>
      </w:r>
      <w:r w:rsidR="000100D1">
        <w:rPr>
          <w:rFonts w:ascii="Garamond" w:hAnsi="Garamond"/>
        </w:rPr>
        <w:t>g</w:t>
      </w:r>
      <w:r w:rsidRPr="00064754">
        <w:rPr>
          <w:rFonts w:ascii="Garamond" w:hAnsi="Garamond"/>
        </w:rPr>
        <w:t xml:space="preserve">lycated </w:t>
      </w:r>
      <w:r w:rsidR="000100D1">
        <w:rPr>
          <w:rFonts w:ascii="Garamond" w:hAnsi="Garamond"/>
        </w:rPr>
        <w:t>ha</w:t>
      </w:r>
      <w:r w:rsidRPr="00064754">
        <w:rPr>
          <w:rFonts w:ascii="Garamond" w:hAnsi="Garamond"/>
        </w:rPr>
        <w:t xml:space="preserve">emoglobin, </w:t>
      </w:r>
      <w:r w:rsidR="000100D1">
        <w:rPr>
          <w:rFonts w:ascii="Garamond" w:hAnsi="Garamond"/>
        </w:rPr>
        <w:t>f</w:t>
      </w:r>
      <w:r w:rsidRPr="00064754">
        <w:rPr>
          <w:rFonts w:ascii="Garamond" w:hAnsi="Garamond"/>
        </w:rPr>
        <w:t xml:space="preserve">ibrinogen and </w:t>
      </w:r>
      <w:r w:rsidR="000100D1">
        <w:rPr>
          <w:rFonts w:ascii="Garamond" w:hAnsi="Garamond"/>
        </w:rPr>
        <w:t>f</w:t>
      </w:r>
      <w:r w:rsidRPr="00064754">
        <w:rPr>
          <w:rFonts w:ascii="Garamond" w:hAnsi="Garamond"/>
        </w:rPr>
        <w:t>erritin</w:t>
      </w:r>
      <w:r>
        <w:rPr>
          <w:rFonts w:ascii="Garamond" w:hAnsi="Garamond"/>
        </w:rPr>
        <w:t xml:space="preserve">. </w:t>
      </w:r>
    </w:p>
    <w:p w14:paraId="04E56CB8" w14:textId="77777777" w:rsidR="00147D9A" w:rsidRDefault="00DB48CC" w:rsidP="00483FA5">
      <w:pPr>
        <w:jc w:val="both"/>
        <w:rPr>
          <w:rFonts w:ascii="Garamond" w:hAnsi="Garamond"/>
        </w:rPr>
      </w:pPr>
      <w:r>
        <w:rPr>
          <w:rFonts w:ascii="Garamond" w:hAnsi="Garamond"/>
        </w:rPr>
        <w:t xml:space="preserve">The principal </w:t>
      </w:r>
      <w:r w:rsidR="00E9630E">
        <w:rPr>
          <w:rFonts w:ascii="Garamond" w:hAnsi="Garamond"/>
        </w:rPr>
        <w:t>scope</w:t>
      </w:r>
      <w:r>
        <w:rPr>
          <w:rFonts w:ascii="Garamond" w:hAnsi="Garamond"/>
        </w:rPr>
        <w:t xml:space="preserve"> of our paper is to </w:t>
      </w:r>
      <w:r w:rsidR="00E9630E">
        <w:rPr>
          <w:rFonts w:ascii="Garamond" w:hAnsi="Garamond"/>
        </w:rPr>
        <w:t>perform</w:t>
      </w:r>
      <w:r>
        <w:rPr>
          <w:rFonts w:ascii="Garamond" w:hAnsi="Garamond"/>
        </w:rPr>
        <w:t xml:space="preserve"> a distributional analysis of the income gradient over the health status distribution. The </w:t>
      </w:r>
      <w:r w:rsidR="00E9630E">
        <w:rPr>
          <w:rFonts w:ascii="Garamond" w:hAnsi="Garamond"/>
        </w:rPr>
        <w:t>endogeneity of income</w:t>
      </w:r>
      <w:r>
        <w:rPr>
          <w:rFonts w:ascii="Garamond" w:hAnsi="Garamond"/>
        </w:rPr>
        <w:t xml:space="preserve"> is not addressed in our </w:t>
      </w:r>
      <w:r w:rsidR="00407365">
        <w:rPr>
          <w:rFonts w:ascii="Garamond" w:hAnsi="Garamond"/>
        </w:rPr>
        <w:t>analysis</w:t>
      </w:r>
      <w:r>
        <w:rPr>
          <w:rFonts w:ascii="Garamond" w:hAnsi="Garamond"/>
        </w:rPr>
        <w:t xml:space="preserve"> and our results cannot be considered as causal. However, we use a measure of health which is </w:t>
      </w:r>
      <w:r w:rsidR="00391C51" w:rsidRPr="003A61BF">
        <w:rPr>
          <w:rFonts w:ascii="Garamond" w:hAnsi="Garamond"/>
        </w:rPr>
        <w:t xml:space="preserve">free of </w:t>
      </w:r>
      <w:r w:rsidR="002B001E">
        <w:rPr>
          <w:rFonts w:ascii="Garamond" w:hAnsi="Garamond"/>
        </w:rPr>
        <w:t xml:space="preserve">subjective </w:t>
      </w:r>
      <w:r w:rsidR="00391C51" w:rsidRPr="003A61BF">
        <w:rPr>
          <w:rFonts w:ascii="Garamond" w:hAnsi="Garamond"/>
        </w:rPr>
        <w:t>reporting bias</w:t>
      </w:r>
      <w:r w:rsidR="00391C51">
        <w:rPr>
          <w:rFonts w:ascii="Garamond" w:hAnsi="Garamond"/>
        </w:rPr>
        <w:t>. Indeed, biomarkers are health measures collected during a professional nurse visit and measured on a continuous scale.</w:t>
      </w:r>
      <w:r w:rsidR="00A02025">
        <w:rPr>
          <w:rFonts w:ascii="Garamond" w:hAnsi="Garamond"/>
        </w:rPr>
        <w:t xml:space="preserve"> </w:t>
      </w:r>
      <w:r w:rsidR="00361598">
        <w:rPr>
          <w:rFonts w:ascii="Garamond" w:hAnsi="Garamond"/>
        </w:rPr>
        <w:t>T</w:t>
      </w:r>
      <w:r>
        <w:rPr>
          <w:rFonts w:ascii="Garamond" w:hAnsi="Garamond"/>
        </w:rPr>
        <w:t>his</w:t>
      </w:r>
      <w:r w:rsidR="00391C51">
        <w:rPr>
          <w:rFonts w:ascii="Garamond" w:hAnsi="Garamond"/>
        </w:rPr>
        <w:t xml:space="preserve"> rules ou</w:t>
      </w:r>
      <w:r w:rsidR="004751FE">
        <w:rPr>
          <w:rFonts w:ascii="Garamond" w:hAnsi="Garamond"/>
        </w:rPr>
        <w:t>t</w:t>
      </w:r>
      <w:r w:rsidR="00E865E4">
        <w:rPr>
          <w:rFonts w:ascii="Garamond" w:hAnsi="Garamond"/>
        </w:rPr>
        <w:t xml:space="preserve"> </w:t>
      </w:r>
      <w:r w:rsidR="00391C51">
        <w:rPr>
          <w:rFonts w:ascii="Garamond" w:hAnsi="Garamond"/>
        </w:rPr>
        <w:t>one important source of endogen</w:t>
      </w:r>
      <w:r w:rsidR="00B5022C">
        <w:rPr>
          <w:rFonts w:ascii="Garamond" w:hAnsi="Garamond"/>
        </w:rPr>
        <w:t>e</w:t>
      </w:r>
      <w:r w:rsidR="00391C51">
        <w:rPr>
          <w:rFonts w:ascii="Garamond" w:hAnsi="Garamond"/>
        </w:rPr>
        <w:t>ity in the income-health relationship</w:t>
      </w:r>
      <w:r w:rsidR="00391C51" w:rsidRPr="003A61BF">
        <w:rPr>
          <w:rFonts w:ascii="Garamond" w:hAnsi="Garamond"/>
        </w:rPr>
        <w:t>.</w:t>
      </w:r>
      <w:r w:rsidR="00361598">
        <w:rPr>
          <w:rFonts w:ascii="Garamond" w:hAnsi="Garamond"/>
        </w:rPr>
        <w:t xml:space="preserve"> </w:t>
      </w:r>
    </w:p>
    <w:p w14:paraId="70887F22" w14:textId="0EF1FEF8" w:rsidR="00483FA5" w:rsidRDefault="00E865E4" w:rsidP="00483FA5">
      <w:pPr>
        <w:jc w:val="both"/>
        <w:rPr>
          <w:rFonts w:ascii="Garamond" w:hAnsi="Garamond"/>
        </w:rPr>
      </w:pPr>
      <w:r>
        <w:rPr>
          <w:rFonts w:ascii="Garamond" w:hAnsi="Garamond"/>
        </w:rPr>
        <w:t xml:space="preserve">With these </w:t>
      </w:r>
      <w:r w:rsidR="00A75027">
        <w:rPr>
          <w:rFonts w:ascii="Garamond" w:hAnsi="Garamond"/>
        </w:rPr>
        <w:t xml:space="preserve">features in mind, </w:t>
      </w:r>
      <w:r>
        <w:rPr>
          <w:rFonts w:ascii="Garamond" w:hAnsi="Garamond"/>
        </w:rPr>
        <w:t>o</w:t>
      </w:r>
      <w:r w:rsidR="00A02025">
        <w:rPr>
          <w:rFonts w:ascii="Garamond" w:hAnsi="Garamond"/>
        </w:rPr>
        <w:t>ur analysis makes two important contributions to the existing literature.</w:t>
      </w:r>
      <w:r w:rsidR="00A6746D">
        <w:rPr>
          <w:rFonts w:ascii="Garamond" w:hAnsi="Garamond"/>
        </w:rPr>
        <w:t xml:space="preserve"> </w:t>
      </w:r>
      <w:r w:rsidR="00B52F16">
        <w:rPr>
          <w:rFonts w:ascii="Garamond" w:hAnsi="Garamond"/>
        </w:rPr>
        <w:t xml:space="preserve">Firstly, </w:t>
      </w:r>
      <w:r w:rsidR="00483FA5">
        <w:rPr>
          <w:rFonts w:ascii="Garamond" w:hAnsi="Garamond"/>
        </w:rPr>
        <w:t xml:space="preserve">analysis beyond the mean allows </w:t>
      </w:r>
      <w:r w:rsidR="00B5022C">
        <w:rPr>
          <w:rFonts w:ascii="Garamond" w:hAnsi="Garamond"/>
        </w:rPr>
        <w:t xml:space="preserve">us </w:t>
      </w:r>
      <w:r w:rsidR="00483FA5">
        <w:rPr>
          <w:rFonts w:ascii="Garamond" w:hAnsi="Garamond"/>
        </w:rPr>
        <w:t>to highlight aspect</w:t>
      </w:r>
      <w:r w:rsidR="00770EA9">
        <w:rPr>
          <w:rFonts w:ascii="Garamond" w:hAnsi="Garamond"/>
        </w:rPr>
        <w:t>s</w:t>
      </w:r>
      <w:r w:rsidR="00483FA5">
        <w:rPr>
          <w:rFonts w:ascii="Garamond" w:hAnsi="Garamond"/>
        </w:rPr>
        <w:t xml:space="preserve"> of the income-health relationship which are overlooked by </w:t>
      </w:r>
      <w:r w:rsidR="00B5022C">
        <w:rPr>
          <w:rFonts w:ascii="Garamond" w:hAnsi="Garamond"/>
        </w:rPr>
        <w:t>standard regression methods</w:t>
      </w:r>
      <w:r w:rsidR="00483FA5">
        <w:rPr>
          <w:rFonts w:ascii="Garamond" w:hAnsi="Garamond"/>
        </w:rPr>
        <w:t xml:space="preserve">. In particular, we </w:t>
      </w:r>
      <w:r w:rsidR="00B52F16">
        <w:rPr>
          <w:rFonts w:ascii="Garamond" w:hAnsi="Garamond"/>
        </w:rPr>
        <w:t>f</w:t>
      </w:r>
      <w:r w:rsidR="00B5022C">
        <w:rPr>
          <w:rFonts w:ascii="Garamond" w:hAnsi="Garamond"/>
        </w:rPr>
        <w:t>i</w:t>
      </w:r>
      <w:r w:rsidR="00B52F16">
        <w:rPr>
          <w:rFonts w:ascii="Garamond" w:hAnsi="Garamond"/>
        </w:rPr>
        <w:t>nd</w:t>
      </w:r>
      <w:r w:rsidR="00483FA5">
        <w:rPr>
          <w:rFonts w:ascii="Garamond" w:hAnsi="Garamond"/>
        </w:rPr>
        <w:t xml:space="preserve"> that the income-health relationship is non</w:t>
      </w:r>
      <w:r w:rsidR="00FE572F">
        <w:rPr>
          <w:rFonts w:ascii="Garamond" w:hAnsi="Garamond"/>
        </w:rPr>
        <w:t>-</w:t>
      </w:r>
      <w:r w:rsidR="00483FA5">
        <w:rPr>
          <w:rFonts w:ascii="Garamond" w:hAnsi="Garamond"/>
        </w:rPr>
        <w:t>linear a</w:t>
      </w:r>
      <w:r w:rsidR="00B5022C">
        <w:rPr>
          <w:rFonts w:ascii="Garamond" w:hAnsi="Garamond"/>
        </w:rPr>
        <w:t>cross</w:t>
      </w:r>
      <w:r w:rsidR="00483FA5">
        <w:rPr>
          <w:rFonts w:ascii="Garamond" w:hAnsi="Garamond"/>
        </w:rPr>
        <w:t xml:space="preserve"> the </w:t>
      </w:r>
      <w:r w:rsidR="003C78EE">
        <w:rPr>
          <w:rFonts w:ascii="Garamond" w:hAnsi="Garamond"/>
        </w:rPr>
        <w:t>health</w:t>
      </w:r>
      <w:r w:rsidR="00483FA5">
        <w:rPr>
          <w:rFonts w:ascii="Garamond" w:hAnsi="Garamond"/>
        </w:rPr>
        <w:t xml:space="preserve"> distribution and that the income gradient</w:t>
      </w:r>
      <w:r w:rsidR="00B5022C">
        <w:rPr>
          <w:rFonts w:ascii="Garamond" w:hAnsi="Garamond"/>
        </w:rPr>
        <w:t>s</w:t>
      </w:r>
      <w:r w:rsidR="00483FA5">
        <w:rPr>
          <w:rFonts w:ascii="Garamond" w:hAnsi="Garamond"/>
        </w:rPr>
        <w:t xml:space="preserve"> appear to be high</w:t>
      </w:r>
      <w:r w:rsidR="00B5022C">
        <w:rPr>
          <w:rFonts w:ascii="Garamond" w:hAnsi="Garamond"/>
        </w:rPr>
        <w:t>er</w:t>
      </w:r>
      <w:r w:rsidR="00483FA5">
        <w:rPr>
          <w:rFonts w:ascii="Garamond" w:hAnsi="Garamond"/>
        </w:rPr>
        <w:t xml:space="preserve"> at the top quantiles of the biomarker distribution</w:t>
      </w:r>
      <w:r w:rsidR="00B5022C">
        <w:rPr>
          <w:rFonts w:ascii="Garamond" w:hAnsi="Garamond"/>
        </w:rPr>
        <w:t>s</w:t>
      </w:r>
      <w:r w:rsidR="00483FA5">
        <w:rPr>
          <w:rFonts w:ascii="Garamond" w:hAnsi="Garamond"/>
        </w:rPr>
        <w:t xml:space="preserve">, </w:t>
      </w:r>
      <w:r w:rsidR="00B5022C">
        <w:rPr>
          <w:rFonts w:ascii="Garamond" w:hAnsi="Garamond"/>
        </w:rPr>
        <w:t>close</w:t>
      </w:r>
      <w:r w:rsidR="007E3BDE">
        <w:rPr>
          <w:rFonts w:ascii="Garamond" w:hAnsi="Garamond"/>
        </w:rPr>
        <w:t xml:space="preserve"> to </w:t>
      </w:r>
      <w:r w:rsidR="00B5022C">
        <w:rPr>
          <w:rFonts w:ascii="Garamond" w:hAnsi="Garamond"/>
        </w:rPr>
        <w:t xml:space="preserve">the </w:t>
      </w:r>
      <w:r w:rsidR="007E3BDE">
        <w:rPr>
          <w:rFonts w:ascii="Garamond" w:hAnsi="Garamond"/>
        </w:rPr>
        <w:t>clinical cutpoints</w:t>
      </w:r>
      <w:r w:rsidR="00483FA5">
        <w:rPr>
          <w:rFonts w:ascii="Garamond" w:hAnsi="Garamond"/>
        </w:rPr>
        <w:t xml:space="preserve"> </w:t>
      </w:r>
      <w:r w:rsidR="00B5022C">
        <w:rPr>
          <w:rFonts w:ascii="Garamond" w:hAnsi="Garamond"/>
        </w:rPr>
        <w:t xml:space="preserve">that </w:t>
      </w:r>
      <w:r w:rsidR="007E3BDE">
        <w:rPr>
          <w:rFonts w:ascii="Garamond" w:hAnsi="Garamond"/>
        </w:rPr>
        <w:t>indicat</w:t>
      </w:r>
      <w:r w:rsidR="00B5022C">
        <w:rPr>
          <w:rFonts w:ascii="Garamond" w:hAnsi="Garamond"/>
        </w:rPr>
        <w:t>e</w:t>
      </w:r>
      <w:r w:rsidR="00483FA5">
        <w:rPr>
          <w:rFonts w:ascii="Garamond" w:hAnsi="Garamond"/>
        </w:rPr>
        <w:t xml:space="preserve"> the presence of disease. For instance, we f</w:t>
      </w:r>
      <w:r w:rsidR="00B5022C">
        <w:rPr>
          <w:rFonts w:ascii="Garamond" w:hAnsi="Garamond"/>
        </w:rPr>
        <w:t>i</w:t>
      </w:r>
      <w:r w:rsidR="00483FA5">
        <w:rPr>
          <w:rFonts w:ascii="Garamond" w:hAnsi="Garamond"/>
        </w:rPr>
        <w:t>nd that the income gradient at the 95</w:t>
      </w:r>
      <w:r w:rsidR="00483FA5" w:rsidRPr="00D05F7B">
        <w:rPr>
          <w:rFonts w:ascii="Garamond" w:hAnsi="Garamond"/>
          <w:vertAlign w:val="superscript"/>
        </w:rPr>
        <w:t>th</w:t>
      </w:r>
      <w:r w:rsidR="00483FA5">
        <w:rPr>
          <w:rFonts w:ascii="Garamond" w:hAnsi="Garamond"/>
        </w:rPr>
        <w:t xml:space="preserve"> percentile is ten times higher than income gradient at the 25</w:t>
      </w:r>
      <w:r w:rsidR="00483FA5" w:rsidRPr="00D05F7B">
        <w:rPr>
          <w:rFonts w:ascii="Garamond" w:hAnsi="Garamond"/>
          <w:vertAlign w:val="superscript"/>
        </w:rPr>
        <w:t>th</w:t>
      </w:r>
      <w:r w:rsidR="00BE6BA9">
        <w:rPr>
          <w:rFonts w:ascii="Garamond" w:hAnsi="Garamond"/>
        </w:rPr>
        <w:t xml:space="preserve"> percentile of glycated haemog</w:t>
      </w:r>
      <w:r w:rsidR="00DF190A">
        <w:rPr>
          <w:rFonts w:ascii="Garamond" w:hAnsi="Garamond"/>
        </w:rPr>
        <w:t>l</w:t>
      </w:r>
      <w:r w:rsidR="00BE6BA9">
        <w:rPr>
          <w:rFonts w:ascii="Garamond" w:hAnsi="Garamond"/>
        </w:rPr>
        <w:t>o</w:t>
      </w:r>
      <w:r w:rsidR="00DF190A">
        <w:rPr>
          <w:rFonts w:ascii="Garamond" w:hAnsi="Garamond"/>
        </w:rPr>
        <w:t>bin, a marker for diabetes. A</w:t>
      </w:r>
      <w:r w:rsidR="000F3D4B">
        <w:rPr>
          <w:rFonts w:ascii="Garamond" w:hAnsi="Garamond"/>
        </w:rPr>
        <w:t>t</w:t>
      </w:r>
      <w:r w:rsidR="00DF190A">
        <w:rPr>
          <w:rFonts w:ascii="Garamond" w:hAnsi="Garamond"/>
        </w:rPr>
        <w:t xml:space="preserve"> the same time, </w:t>
      </w:r>
      <w:r w:rsidR="00B5022C">
        <w:rPr>
          <w:rFonts w:ascii="Garamond" w:hAnsi="Garamond"/>
        </w:rPr>
        <w:t xml:space="preserve">the </w:t>
      </w:r>
      <w:r w:rsidR="00DF190A">
        <w:rPr>
          <w:rFonts w:ascii="Garamond" w:hAnsi="Garamond"/>
        </w:rPr>
        <w:t xml:space="preserve">income gradient </w:t>
      </w:r>
      <w:r w:rsidR="007E3BDE">
        <w:rPr>
          <w:rFonts w:ascii="Garamond" w:hAnsi="Garamond"/>
        </w:rPr>
        <w:t xml:space="preserve">at </w:t>
      </w:r>
      <w:r w:rsidR="00DF190A">
        <w:rPr>
          <w:rFonts w:ascii="Garamond" w:hAnsi="Garamond"/>
        </w:rPr>
        <w:t>the 95</w:t>
      </w:r>
      <w:r w:rsidR="00DF190A" w:rsidRPr="00DF190A">
        <w:rPr>
          <w:rFonts w:ascii="Garamond" w:hAnsi="Garamond"/>
          <w:vertAlign w:val="superscript"/>
        </w:rPr>
        <w:t>th</w:t>
      </w:r>
      <w:r w:rsidR="00DF190A">
        <w:rPr>
          <w:rFonts w:ascii="Garamond" w:hAnsi="Garamond"/>
        </w:rPr>
        <w:t xml:space="preserve"> percentile </w:t>
      </w:r>
      <w:r w:rsidR="007E3BDE">
        <w:rPr>
          <w:rFonts w:ascii="Garamond" w:hAnsi="Garamond"/>
        </w:rPr>
        <w:t xml:space="preserve">is twice as much as the </w:t>
      </w:r>
      <w:r w:rsidR="00A02025">
        <w:rPr>
          <w:rFonts w:ascii="Garamond" w:hAnsi="Garamond"/>
        </w:rPr>
        <w:t xml:space="preserve">gradient at the </w:t>
      </w:r>
      <w:r w:rsidR="007E3BDE">
        <w:rPr>
          <w:rFonts w:ascii="Garamond" w:hAnsi="Garamond"/>
        </w:rPr>
        <w:t>25</w:t>
      </w:r>
      <w:r w:rsidR="007E3BDE" w:rsidRPr="007E3BDE">
        <w:rPr>
          <w:rFonts w:ascii="Garamond" w:hAnsi="Garamond"/>
          <w:vertAlign w:val="superscript"/>
        </w:rPr>
        <w:t>th</w:t>
      </w:r>
      <w:r w:rsidR="007E3BDE">
        <w:rPr>
          <w:rFonts w:ascii="Garamond" w:hAnsi="Garamond"/>
        </w:rPr>
        <w:t xml:space="preserve"> percentile </w:t>
      </w:r>
      <w:r w:rsidR="00DF190A">
        <w:rPr>
          <w:rFonts w:ascii="Garamond" w:hAnsi="Garamond"/>
        </w:rPr>
        <w:t xml:space="preserve">of the distribution of fibrinogen, a marker of many inflammatory diseases, including cardiovascular </w:t>
      </w:r>
      <w:r w:rsidR="00E43EC6">
        <w:rPr>
          <w:rFonts w:ascii="Garamond" w:hAnsi="Garamond"/>
        </w:rPr>
        <w:t>illness</w:t>
      </w:r>
      <w:r w:rsidR="00DF190A">
        <w:rPr>
          <w:rFonts w:ascii="Garamond" w:hAnsi="Garamond"/>
        </w:rPr>
        <w:t xml:space="preserve">. </w:t>
      </w:r>
      <w:r w:rsidR="007E3BDE" w:rsidRPr="005455FD">
        <w:rPr>
          <w:rFonts w:ascii="Garamond" w:hAnsi="Garamond"/>
        </w:rPr>
        <w:t>The income gradient increases almost linearly up to the 75</w:t>
      </w:r>
      <w:r w:rsidR="007E3BDE" w:rsidRPr="005455FD">
        <w:rPr>
          <w:rFonts w:ascii="Garamond" w:hAnsi="Garamond"/>
          <w:vertAlign w:val="superscript"/>
        </w:rPr>
        <w:t>th</w:t>
      </w:r>
      <w:r w:rsidR="007E3BDE" w:rsidRPr="005455FD">
        <w:rPr>
          <w:rFonts w:ascii="Garamond" w:hAnsi="Garamond"/>
        </w:rPr>
        <w:t xml:space="preserve"> percentile of ferritin</w:t>
      </w:r>
      <w:r w:rsidR="003C78EE">
        <w:rPr>
          <w:rFonts w:ascii="Garamond" w:hAnsi="Garamond"/>
        </w:rPr>
        <w:t xml:space="preserve"> (</w:t>
      </w:r>
      <w:r w:rsidR="005455FD">
        <w:rPr>
          <w:rFonts w:ascii="Garamond" w:hAnsi="Garamond"/>
        </w:rPr>
        <w:t>a marker of anaemia</w:t>
      </w:r>
      <w:r w:rsidR="00550796">
        <w:rPr>
          <w:rFonts w:ascii="Garamond" w:hAnsi="Garamond"/>
        </w:rPr>
        <w:t xml:space="preserve"> </w:t>
      </w:r>
      <w:r w:rsidR="003C78EE">
        <w:rPr>
          <w:rFonts w:ascii="Garamond" w:hAnsi="Garamond"/>
        </w:rPr>
        <w:t>and other important diseases)</w:t>
      </w:r>
      <w:r w:rsidR="007E3BDE" w:rsidRPr="005455FD">
        <w:rPr>
          <w:rFonts w:ascii="Garamond" w:hAnsi="Garamond"/>
        </w:rPr>
        <w:t xml:space="preserve"> and it </w:t>
      </w:r>
      <w:r w:rsidR="00631E25">
        <w:rPr>
          <w:rFonts w:ascii="Garamond" w:hAnsi="Garamond"/>
        </w:rPr>
        <w:t xml:space="preserve">increases less than proportionally </w:t>
      </w:r>
      <w:r w:rsidR="00631E25" w:rsidRPr="001A1B2F">
        <w:rPr>
          <w:rFonts w:ascii="Garamond" w:hAnsi="Garamond"/>
        </w:rPr>
        <w:t>after this threshold</w:t>
      </w:r>
      <w:r w:rsidR="00550796">
        <w:rPr>
          <w:rFonts w:ascii="Garamond" w:hAnsi="Garamond"/>
        </w:rPr>
        <w:t xml:space="preserve">. </w:t>
      </w:r>
      <w:r w:rsidR="007E3BDE">
        <w:rPr>
          <w:rFonts w:ascii="Garamond" w:hAnsi="Garamond"/>
        </w:rPr>
        <w:t>In these cases, t</w:t>
      </w:r>
      <w:r w:rsidR="00483FA5">
        <w:rPr>
          <w:rFonts w:ascii="Garamond" w:hAnsi="Garamond"/>
        </w:rPr>
        <w:t xml:space="preserve">he analysis at the mean provides a </w:t>
      </w:r>
      <w:r w:rsidR="00FE572F">
        <w:rPr>
          <w:rFonts w:ascii="Garamond" w:hAnsi="Garamond"/>
        </w:rPr>
        <w:t>partial view</w:t>
      </w:r>
      <w:r w:rsidR="007E3BDE">
        <w:rPr>
          <w:rFonts w:ascii="Garamond" w:hAnsi="Garamond"/>
        </w:rPr>
        <w:t xml:space="preserve"> of </w:t>
      </w:r>
      <w:r w:rsidR="005455FD">
        <w:rPr>
          <w:rFonts w:ascii="Garamond" w:hAnsi="Garamond"/>
        </w:rPr>
        <w:t>the income-health</w:t>
      </w:r>
      <w:r w:rsidR="007E3BDE">
        <w:rPr>
          <w:rFonts w:ascii="Garamond" w:hAnsi="Garamond"/>
        </w:rPr>
        <w:t xml:space="preserve"> relationship. In </w:t>
      </w:r>
      <w:r w:rsidR="003C78EE">
        <w:rPr>
          <w:rFonts w:ascii="Garamond" w:hAnsi="Garamond"/>
        </w:rPr>
        <w:t>the case of cholesterol</w:t>
      </w:r>
      <w:r w:rsidR="007E3BDE">
        <w:rPr>
          <w:rFonts w:ascii="Garamond" w:hAnsi="Garamond"/>
        </w:rPr>
        <w:t>,</w:t>
      </w:r>
      <w:r w:rsidR="00483FA5">
        <w:rPr>
          <w:rFonts w:ascii="Garamond" w:hAnsi="Garamond"/>
        </w:rPr>
        <w:t xml:space="preserve"> </w:t>
      </w:r>
      <w:r w:rsidR="0065287C">
        <w:rPr>
          <w:rFonts w:ascii="Garamond" w:hAnsi="Garamond"/>
        </w:rPr>
        <w:t>analysis at the mean</w:t>
      </w:r>
      <w:r w:rsidR="00483FA5">
        <w:rPr>
          <w:rFonts w:ascii="Garamond" w:hAnsi="Garamond"/>
        </w:rPr>
        <w:t xml:space="preserve"> leads to misleading conclusions. </w:t>
      </w:r>
      <w:r w:rsidR="007E3BDE">
        <w:rPr>
          <w:rFonts w:ascii="Garamond" w:hAnsi="Garamond"/>
        </w:rPr>
        <w:t>For instance, we f</w:t>
      </w:r>
      <w:r w:rsidR="00E43EC6">
        <w:rPr>
          <w:rFonts w:ascii="Garamond" w:hAnsi="Garamond"/>
        </w:rPr>
        <w:t>i</w:t>
      </w:r>
      <w:r w:rsidR="007E3BDE">
        <w:rPr>
          <w:rFonts w:ascii="Garamond" w:hAnsi="Garamond"/>
        </w:rPr>
        <w:t>nd that OLS regression suggests a positive association</w:t>
      </w:r>
      <w:r w:rsidR="00354BCD">
        <w:rPr>
          <w:rFonts w:ascii="Garamond" w:hAnsi="Garamond"/>
        </w:rPr>
        <w:t xml:space="preserve"> between income and cholesterol. Instead,</w:t>
      </w:r>
      <w:r w:rsidR="007E3BDE">
        <w:rPr>
          <w:rFonts w:ascii="Garamond" w:hAnsi="Garamond"/>
        </w:rPr>
        <w:t xml:space="preserve"> RIF regression suggests that at </w:t>
      </w:r>
      <w:r w:rsidR="00E43EC6">
        <w:rPr>
          <w:rFonts w:ascii="Garamond" w:hAnsi="Garamond"/>
        </w:rPr>
        <w:t xml:space="preserve">the </w:t>
      </w:r>
      <w:r w:rsidR="007E3BDE">
        <w:rPr>
          <w:rFonts w:ascii="Garamond" w:hAnsi="Garamond"/>
        </w:rPr>
        <w:t xml:space="preserve">lowest quantiles of the distribution, </w:t>
      </w:r>
      <w:r w:rsidR="00E43EC6">
        <w:rPr>
          <w:rFonts w:ascii="Garamond" w:hAnsi="Garamond"/>
        </w:rPr>
        <w:t xml:space="preserve">the </w:t>
      </w:r>
      <w:r w:rsidR="007E3BDE">
        <w:rPr>
          <w:rFonts w:ascii="Garamond" w:hAnsi="Garamond"/>
        </w:rPr>
        <w:t>income-cholesterol association is positive, while from the 75</w:t>
      </w:r>
      <w:r w:rsidR="007E3BDE" w:rsidRPr="00DF26D8">
        <w:rPr>
          <w:rFonts w:ascii="Garamond" w:hAnsi="Garamond"/>
          <w:vertAlign w:val="superscript"/>
        </w:rPr>
        <w:t>th</w:t>
      </w:r>
      <w:r w:rsidR="007E3BDE">
        <w:rPr>
          <w:rFonts w:ascii="Garamond" w:hAnsi="Garamond"/>
        </w:rPr>
        <w:t xml:space="preserve"> percentile of </w:t>
      </w:r>
      <w:r w:rsidR="00E43EC6">
        <w:rPr>
          <w:rFonts w:ascii="Garamond" w:hAnsi="Garamond"/>
        </w:rPr>
        <w:t>the</w:t>
      </w:r>
      <w:r w:rsidR="007E3BDE">
        <w:rPr>
          <w:rFonts w:ascii="Garamond" w:hAnsi="Garamond"/>
        </w:rPr>
        <w:t xml:space="preserve"> distribution, th</w:t>
      </w:r>
      <w:r w:rsidR="00890088">
        <w:rPr>
          <w:rFonts w:ascii="Garamond" w:hAnsi="Garamond"/>
        </w:rPr>
        <w:t xml:space="preserve">e relationship turns negative. </w:t>
      </w:r>
      <w:r w:rsidR="007E3BDE">
        <w:rPr>
          <w:rFonts w:ascii="Garamond" w:hAnsi="Garamond"/>
        </w:rPr>
        <w:t xml:space="preserve">Also in the case of cholesterol, the “saddle” point is very close to the clinical threshold denoting </w:t>
      </w:r>
      <w:r w:rsidR="005455FD">
        <w:rPr>
          <w:rFonts w:ascii="Garamond" w:hAnsi="Garamond"/>
        </w:rPr>
        <w:t>pathologic</w:t>
      </w:r>
      <w:r w:rsidR="009F78AE">
        <w:rPr>
          <w:rFonts w:ascii="Garamond" w:hAnsi="Garamond"/>
        </w:rPr>
        <w:t xml:space="preserve"> </w:t>
      </w:r>
      <w:r w:rsidR="007E3BDE">
        <w:rPr>
          <w:rFonts w:ascii="Garamond" w:hAnsi="Garamond"/>
        </w:rPr>
        <w:t>cholesterol levels.</w:t>
      </w:r>
    </w:p>
    <w:p w14:paraId="3F822AF5" w14:textId="52DDC28D" w:rsidR="00F704BC" w:rsidRPr="00DB62DB" w:rsidRDefault="00B52F16" w:rsidP="006523E6">
      <w:pPr>
        <w:autoSpaceDE w:val="0"/>
        <w:autoSpaceDN w:val="0"/>
        <w:adjustRightInd w:val="0"/>
        <w:spacing w:after="0"/>
        <w:jc w:val="both"/>
        <w:rPr>
          <w:rFonts w:ascii="Garamond" w:hAnsi="Garamond" w:cs="AdvP7B6C"/>
        </w:rPr>
      </w:pPr>
      <w:r>
        <w:rPr>
          <w:rFonts w:ascii="Garamond" w:hAnsi="Garamond"/>
        </w:rPr>
        <w:t xml:space="preserve">A second contribution of our </w:t>
      </w:r>
      <w:r w:rsidR="00C379F9">
        <w:rPr>
          <w:rFonts w:ascii="Garamond" w:hAnsi="Garamond"/>
        </w:rPr>
        <w:t>paper</w:t>
      </w:r>
      <w:r>
        <w:rPr>
          <w:rFonts w:ascii="Garamond" w:hAnsi="Garamond"/>
        </w:rPr>
        <w:t xml:space="preserve"> is </w:t>
      </w:r>
      <w:r w:rsidR="00C379F9">
        <w:rPr>
          <w:rFonts w:ascii="Garamond" w:hAnsi="Garamond"/>
        </w:rPr>
        <w:t>the measurement of</w:t>
      </w:r>
      <w:r w:rsidR="009B23DA">
        <w:rPr>
          <w:rFonts w:ascii="Garamond" w:hAnsi="Garamond"/>
        </w:rPr>
        <w:t xml:space="preserve"> the</w:t>
      </w:r>
      <w:r w:rsidR="002904E2">
        <w:rPr>
          <w:rFonts w:ascii="Garamond" w:hAnsi="Garamond"/>
        </w:rPr>
        <w:t xml:space="preserve"> gender differentials in biomarkers </w:t>
      </w:r>
      <w:r w:rsidRPr="00C47882">
        <w:rPr>
          <w:rFonts w:ascii="Garamond" w:hAnsi="Garamond"/>
        </w:rPr>
        <w:t xml:space="preserve">and </w:t>
      </w:r>
      <w:r w:rsidR="00C379F9">
        <w:rPr>
          <w:rFonts w:ascii="Garamond" w:hAnsi="Garamond"/>
        </w:rPr>
        <w:t>the assessment of</w:t>
      </w:r>
      <w:r w:rsidRPr="00C47882">
        <w:rPr>
          <w:rFonts w:ascii="Garamond" w:hAnsi="Garamond"/>
        </w:rPr>
        <w:t xml:space="preserve"> the contribution of income (and other covariates) to these </w:t>
      </w:r>
      <w:r w:rsidR="002904E2">
        <w:rPr>
          <w:rFonts w:ascii="Garamond" w:hAnsi="Garamond"/>
        </w:rPr>
        <w:t>differentials</w:t>
      </w:r>
      <w:r w:rsidRPr="00C47882">
        <w:rPr>
          <w:rFonts w:ascii="Garamond" w:hAnsi="Garamond"/>
        </w:rPr>
        <w:t>.</w:t>
      </w:r>
      <w:r w:rsidR="00E43EC6">
        <w:rPr>
          <w:rFonts w:ascii="Garamond" w:hAnsi="Garamond"/>
        </w:rPr>
        <w:t xml:space="preserve"> </w:t>
      </w:r>
      <w:r w:rsidR="003534B7">
        <w:rPr>
          <w:rFonts w:ascii="Garamond" w:hAnsi="Garamond"/>
        </w:rPr>
        <w:t>We f</w:t>
      </w:r>
      <w:r w:rsidR="00B5022C">
        <w:rPr>
          <w:rFonts w:ascii="Garamond" w:hAnsi="Garamond"/>
        </w:rPr>
        <w:t>i</w:t>
      </w:r>
      <w:r w:rsidR="003534B7">
        <w:rPr>
          <w:rFonts w:ascii="Garamond" w:hAnsi="Garamond"/>
        </w:rPr>
        <w:t>nd that</w:t>
      </w:r>
      <w:r w:rsidR="002904E2">
        <w:rPr>
          <w:rFonts w:ascii="Garamond" w:hAnsi="Garamond"/>
        </w:rPr>
        <w:t xml:space="preserve">, besides some physiological reasons, gender differentials in biomarkers are largely explained by a different association of health to covariates across genders. Importantly, detailed decomposition analysis suggests that </w:t>
      </w:r>
      <w:r w:rsidR="00DB62DB">
        <w:rPr>
          <w:rFonts w:ascii="Garamond" w:hAnsi="Garamond"/>
        </w:rPr>
        <w:t xml:space="preserve">the </w:t>
      </w:r>
      <w:r w:rsidR="00DB62DB" w:rsidRPr="002B71F2">
        <w:rPr>
          <w:rFonts w:ascii="Garamond" w:hAnsi="Garamond"/>
        </w:rPr>
        <w:t xml:space="preserve">heterogeneity in the </w:t>
      </w:r>
      <w:r w:rsidR="00DB62DB">
        <w:rPr>
          <w:rFonts w:ascii="Garamond" w:hAnsi="Garamond"/>
        </w:rPr>
        <w:t>effect of income</w:t>
      </w:r>
      <w:r w:rsidR="00DB62DB" w:rsidRPr="002B71F2">
        <w:rPr>
          <w:rFonts w:ascii="Garamond" w:hAnsi="Garamond"/>
        </w:rPr>
        <w:t xml:space="preserve"> </w:t>
      </w:r>
      <w:r w:rsidR="00DB62DB">
        <w:rPr>
          <w:rFonts w:ascii="Garamond" w:hAnsi="Garamond"/>
        </w:rPr>
        <w:t xml:space="preserve">on </w:t>
      </w:r>
      <w:r w:rsidR="00DB62DB" w:rsidRPr="002B71F2">
        <w:rPr>
          <w:rFonts w:ascii="Garamond" w:hAnsi="Garamond"/>
        </w:rPr>
        <w:t>health</w:t>
      </w:r>
      <w:r w:rsidR="00DB62DB">
        <w:rPr>
          <w:rFonts w:ascii="Garamond" w:hAnsi="Garamond"/>
        </w:rPr>
        <w:t xml:space="preserve"> across genders</w:t>
      </w:r>
      <w:r w:rsidR="00DB62DB" w:rsidRPr="002B71F2">
        <w:rPr>
          <w:rFonts w:ascii="Garamond" w:hAnsi="Garamond"/>
        </w:rPr>
        <w:t xml:space="preserve"> </w:t>
      </w:r>
      <w:r w:rsidR="00DB62DB" w:rsidRPr="002B71F2">
        <w:rPr>
          <w:rFonts w:ascii="Garamond" w:hAnsi="Garamond" w:cs="AdvP7B6C"/>
        </w:rPr>
        <w:t>accounts for a substantial percentage of the</w:t>
      </w:r>
      <w:r w:rsidR="00DB62DB">
        <w:rPr>
          <w:rFonts w:ascii="Garamond" w:hAnsi="Garamond" w:cs="AdvP7B6C"/>
        </w:rPr>
        <w:t xml:space="preserve"> total</w:t>
      </w:r>
      <w:r w:rsidR="00DB62DB" w:rsidRPr="002B71F2">
        <w:rPr>
          <w:rFonts w:ascii="Garamond" w:hAnsi="Garamond" w:cs="AdvP7B6C"/>
        </w:rPr>
        <w:t xml:space="preserve"> gender differentials in observed health.</w:t>
      </w:r>
      <w:r w:rsidR="00D536A2">
        <w:rPr>
          <w:rFonts w:ascii="Garamond" w:hAnsi="Garamond"/>
        </w:rPr>
        <w:t xml:space="preserve"> </w:t>
      </w:r>
      <w:r w:rsidR="00F716A7">
        <w:rPr>
          <w:rFonts w:ascii="Garamond" w:hAnsi="Garamond"/>
        </w:rPr>
        <w:t>Moreover, w</w:t>
      </w:r>
      <w:r w:rsidR="00DB62DB">
        <w:rPr>
          <w:rFonts w:ascii="Garamond" w:hAnsi="Garamond"/>
        </w:rPr>
        <w:t>e find that income-health relationship across genders</w:t>
      </w:r>
      <w:r w:rsidR="002904E2">
        <w:rPr>
          <w:rFonts w:ascii="Garamond" w:hAnsi="Garamond"/>
        </w:rPr>
        <w:t xml:space="preserve"> </w:t>
      </w:r>
      <w:r w:rsidR="00F704BC" w:rsidRPr="002B71F2">
        <w:rPr>
          <w:rFonts w:ascii="Garamond" w:hAnsi="Garamond"/>
        </w:rPr>
        <w:t>varies significantly along the biomarker distribution</w:t>
      </w:r>
      <w:r w:rsidR="00F704BC">
        <w:rPr>
          <w:rFonts w:ascii="Garamond" w:hAnsi="Garamond"/>
        </w:rPr>
        <w:t xml:space="preserve"> and</w:t>
      </w:r>
      <w:r w:rsidR="008E4163">
        <w:rPr>
          <w:rFonts w:ascii="Garamond" w:hAnsi="Garamond"/>
        </w:rPr>
        <w:t xml:space="preserve"> that</w:t>
      </w:r>
      <w:r w:rsidR="00F704BC">
        <w:rPr>
          <w:rFonts w:ascii="Garamond" w:hAnsi="Garamond"/>
        </w:rPr>
        <w:t xml:space="preserve"> </w:t>
      </w:r>
      <w:r w:rsidR="008E4163">
        <w:rPr>
          <w:rFonts w:ascii="Garamond" w:hAnsi="Garamond"/>
        </w:rPr>
        <w:t>this</w:t>
      </w:r>
      <w:r w:rsidR="008F4201">
        <w:rPr>
          <w:rFonts w:ascii="Garamond" w:hAnsi="Garamond"/>
        </w:rPr>
        <w:t xml:space="preserve"> </w:t>
      </w:r>
      <w:r w:rsidR="00106C84">
        <w:rPr>
          <w:rFonts w:ascii="Garamond" w:hAnsi="Garamond"/>
        </w:rPr>
        <w:t xml:space="preserve">depends on </w:t>
      </w:r>
      <w:r w:rsidR="00F704BC">
        <w:rPr>
          <w:rFonts w:ascii="Garamond" w:hAnsi="Garamond"/>
        </w:rPr>
        <w:t>the</w:t>
      </w:r>
      <w:r w:rsidR="008F4201">
        <w:rPr>
          <w:rFonts w:ascii="Garamond" w:hAnsi="Garamond"/>
        </w:rPr>
        <w:t xml:space="preserve"> nature of the</w:t>
      </w:r>
      <w:r w:rsidR="00F704BC">
        <w:rPr>
          <w:rFonts w:ascii="Garamond" w:hAnsi="Garamond"/>
        </w:rPr>
        <w:t xml:space="preserve"> biomarker considered. At extreme levels of </w:t>
      </w:r>
      <w:r w:rsidR="00106C84">
        <w:rPr>
          <w:rFonts w:ascii="Garamond" w:hAnsi="Garamond"/>
        </w:rPr>
        <w:t>biomarkers</w:t>
      </w:r>
      <w:r w:rsidR="00FE572F">
        <w:rPr>
          <w:rFonts w:ascii="Garamond" w:hAnsi="Garamond"/>
        </w:rPr>
        <w:t>,</w:t>
      </w:r>
      <w:r w:rsidR="00106C84">
        <w:rPr>
          <w:rFonts w:ascii="Garamond" w:hAnsi="Garamond"/>
        </w:rPr>
        <w:t xml:space="preserve"> indicating </w:t>
      </w:r>
      <w:r w:rsidR="00F704BC">
        <w:rPr>
          <w:rFonts w:ascii="Garamond" w:hAnsi="Garamond"/>
        </w:rPr>
        <w:t>pathological cardiovascular diseases (</w:t>
      </w:r>
      <w:r w:rsidR="00E43EC6">
        <w:rPr>
          <w:rFonts w:ascii="Garamond" w:hAnsi="Garamond"/>
        </w:rPr>
        <w:t xml:space="preserve">for </w:t>
      </w:r>
      <w:r w:rsidR="00106C84">
        <w:rPr>
          <w:rFonts w:ascii="Garamond" w:hAnsi="Garamond"/>
        </w:rPr>
        <w:t>cholesterol and fibrinogen</w:t>
      </w:r>
      <w:r w:rsidR="00F704BC">
        <w:rPr>
          <w:rFonts w:ascii="Garamond" w:hAnsi="Garamond"/>
        </w:rPr>
        <w:t xml:space="preserve">), we find </w:t>
      </w:r>
      <w:r w:rsidR="00106C84">
        <w:rPr>
          <w:rFonts w:ascii="Garamond" w:hAnsi="Garamond"/>
        </w:rPr>
        <w:t xml:space="preserve">a higher </w:t>
      </w:r>
      <w:r w:rsidR="00DF5AA3">
        <w:rPr>
          <w:rFonts w:ascii="Garamond" w:hAnsi="Garamond"/>
        </w:rPr>
        <w:t>income gradient</w:t>
      </w:r>
      <w:r w:rsidR="00F704BC">
        <w:rPr>
          <w:rFonts w:ascii="Garamond" w:hAnsi="Garamond"/>
        </w:rPr>
        <w:t xml:space="preserve"> among </w:t>
      </w:r>
      <w:r w:rsidR="00770EA9">
        <w:rPr>
          <w:rFonts w:ascii="Garamond" w:hAnsi="Garamond"/>
        </w:rPr>
        <w:t>men</w:t>
      </w:r>
      <w:r w:rsidR="00F704BC">
        <w:rPr>
          <w:rFonts w:ascii="Garamond" w:hAnsi="Garamond"/>
        </w:rPr>
        <w:t xml:space="preserve">, while we find that </w:t>
      </w:r>
      <w:r w:rsidR="00770EA9">
        <w:rPr>
          <w:rFonts w:ascii="Garamond" w:hAnsi="Garamond"/>
        </w:rPr>
        <w:t>the income gradient</w:t>
      </w:r>
      <w:r w:rsidR="00F704BC">
        <w:rPr>
          <w:rFonts w:ascii="Garamond" w:hAnsi="Garamond"/>
        </w:rPr>
        <w:t xml:space="preserve"> is higher among </w:t>
      </w:r>
      <w:r w:rsidR="00770EA9">
        <w:rPr>
          <w:rFonts w:ascii="Garamond" w:hAnsi="Garamond"/>
        </w:rPr>
        <w:t>women</w:t>
      </w:r>
      <w:r w:rsidR="00F704BC">
        <w:rPr>
          <w:rFonts w:ascii="Garamond" w:hAnsi="Garamond"/>
        </w:rPr>
        <w:t xml:space="preserve"> at </w:t>
      </w:r>
      <w:r w:rsidR="00F704BC">
        <w:rPr>
          <w:rFonts w:ascii="Garamond" w:hAnsi="Garamond"/>
        </w:rPr>
        <w:lastRenderedPageBreak/>
        <w:t>lowest quantiles of the distribution</w:t>
      </w:r>
      <w:r w:rsidR="00106C84">
        <w:rPr>
          <w:rFonts w:ascii="Garamond" w:hAnsi="Garamond"/>
        </w:rPr>
        <w:t xml:space="preserve"> (at the 25</w:t>
      </w:r>
      <w:r w:rsidR="00301758" w:rsidRPr="00301758">
        <w:rPr>
          <w:rFonts w:ascii="Garamond" w:hAnsi="Garamond"/>
          <w:vertAlign w:val="superscript"/>
        </w:rPr>
        <w:t>th</w:t>
      </w:r>
      <w:r w:rsidR="00301758">
        <w:rPr>
          <w:rFonts w:ascii="Garamond" w:hAnsi="Garamond"/>
        </w:rPr>
        <w:t xml:space="preserve"> and 50</w:t>
      </w:r>
      <w:r w:rsidR="00301758" w:rsidRPr="00301758">
        <w:rPr>
          <w:rFonts w:ascii="Garamond" w:hAnsi="Garamond"/>
          <w:vertAlign w:val="superscript"/>
        </w:rPr>
        <w:t>th</w:t>
      </w:r>
      <w:r w:rsidR="00301758">
        <w:rPr>
          <w:rFonts w:ascii="Garamond" w:hAnsi="Garamond"/>
        </w:rPr>
        <w:t xml:space="preserve"> percentile</w:t>
      </w:r>
      <w:r w:rsidR="00E43EC6">
        <w:rPr>
          <w:rFonts w:ascii="Garamond" w:hAnsi="Garamond"/>
        </w:rPr>
        <w:t>s</w:t>
      </w:r>
      <w:r w:rsidR="00301758">
        <w:rPr>
          <w:rFonts w:ascii="Garamond" w:hAnsi="Garamond"/>
        </w:rPr>
        <w:t xml:space="preserve"> of the distribution</w:t>
      </w:r>
      <w:r w:rsidR="00106C84">
        <w:rPr>
          <w:rFonts w:ascii="Garamond" w:hAnsi="Garamond"/>
        </w:rPr>
        <w:t>)</w:t>
      </w:r>
      <w:r w:rsidR="00F704BC">
        <w:rPr>
          <w:rFonts w:ascii="Garamond" w:hAnsi="Garamond"/>
        </w:rPr>
        <w:t>.</w:t>
      </w:r>
      <w:r w:rsidR="00DB48C4">
        <w:rPr>
          <w:rFonts w:ascii="Garamond" w:hAnsi="Garamond"/>
        </w:rPr>
        <w:t xml:space="preserve"> Similarly, at </w:t>
      </w:r>
      <w:r w:rsidR="00E714CA">
        <w:rPr>
          <w:rFonts w:ascii="Garamond" w:hAnsi="Garamond"/>
        </w:rPr>
        <w:t xml:space="preserve">the </w:t>
      </w:r>
      <w:r w:rsidR="00DB48C4">
        <w:rPr>
          <w:rFonts w:ascii="Garamond" w:hAnsi="Garamond"/>
        </w:rPr>
        <w:t>lowest levels of ferritin</w:t>
      </w:r>
      <w:r w:rsidR="002B35A0">
        <w:rPr>
          <w:rFonts w:ascii="Garamond" w:hAnsi="Garamond"/>
        </w:rPr>
        <w:t>,</w:t>
      </w:r>
      <w:r w:rsidR="00DB48C4">
        <w:rPr>
          <w:rFonts w:ascii="Garamond" w:hAnsi="Garamond"/>
        </w:rPr>
        <w:t xml:space="preserve"> indicating iron deficiency an</w:t>
      </w:r>
      <w:r w:rsidR="002B35A0">
        <w:rPr>
          <w:rFonts w:ascii="Garamond" w:hAnsi="Garamond"/>
        </w:rPr>
        <w:t>ae</w:t>
      </w:r>
      <w:r w:rsidR="00DB48C4">
        <w:rPr>
          <w:rFonts w:ascii="Garamond" w:hAnsi="Garamond"/>
        </w:rPr>
        <w:t>mia, we find a higher income gradient among men.</w:t>
      </w:r>
      <w:r w:rsidR="00F704BC">
        <w:rPr>
          <w:rFonts w:ascii="Garamond" w:hAnsi="Garamond"/>
        </w:rPr>
        <w:t xml:space="preserve"> </w:t>
      </w:r>
      <w:r w:rsidR="00301758">
        <w:rPr>
          <w:rFonts w:ascii="Garamond" w:hAnsi="Garamond"/>
        </w:rPr>
        <w:t>On the contrary, a</w:t>
      </w:r>
      <w:r w:rsidR="00F704BC">
        <w:rPr>
          <w:rFonts w:ascii="Garamond" w:hAnsi="Garamond"/>
        </w:rPr>
        <w:t xml:space="preserve">t extreme levels of glycated haemoglobin indicating severe diabetes, we find a higher </w:t>
      </w:r>
      <w:r w:rsidR="00DF5AA3">
        <w:rPr>
          <w:rFonts w:ascii="Garamond" w:hAnsi="Garamond"/>
        </w:rPr>
        <w:t>income gradient among</w:t>
      </w:r>
      <w:r w:rsidR="00F704BC">
        <w:rPr>
          <w:rFonts w:ascii="Garamond" w:hAnsi="Garamond"/>
        </w:rPr>
        <w:t xml:space="preserve"> </w:t>
      </w:r>
      <w:r w:rsidR="00770EA9">
        <w:rPr>
          <w:rFonts w:ascii="Garamond" w:hAnsi="Garamond"/>
        </w:rPr>
        <w:t>women</w:t>
      </w:r>
      <w:r w:rsidR="00F704BC">
        <w:rPr>
          <w:rFonts w:ascii="Garamond" w:hAnsi="Garamond"/>
        </w:rPr>
        <w:t xml:space="preserve">. </w:t>
      </w:r>
    </w:p>
    <w:p w14:paraId="7FB6D4F0" w14:textId="77777777" w:rsidR="00F704BC" w:rsidRDefault="00F704BC" w:rsidP="006523E6">
      <w:pPr>
        <w:autoSpaceDE w:val="0"/>
        <w:autoSpaceDN w:val="0"/>
        <w:adjustRightInd w:val="0"/>
        <w:spacing w:after="0"/>
        <w:jc w:val="both"/>
        <w:rPr>
          <w:rFonts w:ascii="Garamond" w:hAnsi="Garamond"/>
        </w:rPr>
      </w:pPr>
    </w:p>
    <w:p w14:paraId="2413F686" w14:textId="7A3B48F7" w:rsidR="00474222" w:rsidRDefault="00106C84" w:rsidP="00A51BEE">
      <w:pPr>
        <w:autoSpaceDE w:val="0"/>
        <w:autoSpaceDN w:val="0"/>
        <w:adjustRightInd w:val="0"/>
        <w:spacing w:after="0"/>
        <w:jc w:val="both"/>
        <w:rPr>
          <w:rFonts w:ascii="Garamond" w:hAnsi="Garamond"/>
        </w:rPr>
      </w:pPr>
      <w:r>
        <w:rPr>
          <w:rFonts w:ascii="Garamond" w:hAnsi="Garamond" w:cs="AdvP7B6C"/>
          <w:color w:val="000000"/>
        </w:rPr>
        <w:t xml:space="preserve">These results </w:t>
      </w:r>
      <w:r w:rsidR="008E0F30">
        <w:rPr>
          <w:rFonts w:ascii="Garamond" w:hAnsi="Garamond" w:cs="AdvP7B6C"/>
          <w:color w:val="000000"/>
        </w:rPr>
        <w:t>might have important</w:t>
      </w:r>
      <w:r>
        <w:rPr>
          <w:rFonts w:ascii="Garamond" w:hAnsi="Garamond" w:cs="AdvP7B6C"/>
          <w:color w:val="000000"/>
        </w:rPr>
        <w:t xml:space="preserve"> policy implications. If we follow the argument of Van Doorslaer and Koolman (2004), </w:t>
      </w:r>
      <w:r w:rsidR="00301758">
        <w:rPr>
          <w:rFonts w:ascii="Garamond" w:hAnsi="Garamond" w:cs="AdvP7B6C"/>
          <w:color w:val="000000"/>
        </w:rPr>
        <w:t xml:space="preserve">the importance of the gender-related </w:t>
      </w:r>
      <w:r w:rsidR="00301758">
        <w:rPr>
          <w:rFonts w:ascii="Garamond" w:hAnsi="Garamond"/>
        </w:rPr>
        <w:t>differences in the association of income to health</w:t>
      </w:r>
      <w:r w:rsidR="00DB62DB">
        <w:rPr>
          <w:rFonts w:ascii="Garamond" w:hAnsi="Garamond"/>
        </w:rPr>
        <w:t xml:space="preserve"> </w:t>
      </w:r>
      <w:r>
        <w:rPr>
          <w:rFonts w:ascii="Garamond" w:hAnsi="Garamond" w:cs="AdvP7B6C"/>
          <w:color w:val="000000"/>
        </w:rPr>
        <w:t xml:space="preserve">would </w:t>
      </w:r>
      <w:r w:rsidR="00301758">
        <w:rPr>
          <w:rFonts w:ascii="Garamond" w:hAnsi="Garamond" w:cs="AdvP7B6C"/>
          <w:color w:val="000000"/>
        </w:rPr>
        <w:t>suggest</w:t>
      </w:r>
      <w:r>
        <w:rPr>
          <w:rFonts w:ascii="Garamond" w:hAnsi="Garamond" w:cs="AdvP7B6C"/>
          <w:color w:val="000000"/>
        </w:rPr>
        <w:t xml:space="preserve"> primarily </w:t>
      </w:r>
      <w:r w:rsidR="008F4201">
        <w:rPr>
          <w:rFonts w:ascii="Garamond" w:hAnsi="Garamond" w:cs="AdvP7B6C"/>
          <w:color w:val="000000"/>
        </w:rPr>
        <w:t>health policy interventions which</w:t>
      </w:r>
      <w:r>
        <w:rPr>
          <w:rFonts w:ascii="Garamond" w:hAnsi="Garamond" w:cs="AdvP7B6C"/>
          <w:color w:val="000000"/>
        </w:rPr>
        <w:t xml:space="preserve"> </w:t>
      </w:r>
      <w:r w:rsidR="008F4201">
        <w:rPr>
          <w:rFonts w:ascii="Garamond" w:hAnsi="Garamond" w:cs="AdvP7B6C"/>
          <w:color w:val="000000"/>
        </w:rPr>
        <w:t>operate</w:t>
      </w:r>
      <w:r w:rsidR="00301758">
        <w:rPr>
          <w:rFonts w:ascii="Garamond" w:hAnsi="Garamond" w:cs="AdvP7B6C"/>
          <w:color w:val="000000"/>
        </w:rPr>
        <w:t xml:space="preserve"> on the health-gradient. At the same time, it seems that</w:t>
      </w:r>
      <w:r w:rsidR="00F704BC" w:rsidRPr="005C6112">
        <w:rPr>
          <w:rFonts w:ascii="Garamond" w:hAnsi="Garamond" w:cs="AdvP7B6C"/>
          <w:color w:val="000000"/>
        </w:rPr>
        <w:t xml:space="preserve"> </w:t>
      </w:r>
      <w:r w:rsidR="00301758">
        <w:rPr>
          <w:rFonts w:ascii="Garamond" w:hAnsi="Garamond" w:cs="AdvP7B6C"/>
          <w:color w:val="000000"/>
        </w:rPr>
        <w:t>fiscal policy interventions are less</w:t>
      </w:r>
      <w:r w:rsidR="00FE572F">
        <w:rPr>
          <w:rFonts w:ascii="Garamond" w:hAnsi="Garamond" w:cs="AdvP7B6C"/>
          <w:color w:val="000000"/>
        </w:rPr>
        <w:t xml:space="preserve"> relevant as</w:t>
      </w:r>
      <w:r>
        <w:rPr>
          <w:rFonts w:ascii="Garamond" w:hAnsi="Garamond" w:cs="AdvP7B6C"/>
          <w:color w:val="000000"/>
        </w:rPr>
        <w:t xml:space="preserve"> </w:t>
      </w:r>
      <w:r w:rsidR="00F704BC" w:rsidRPr="005C6112">
        <w:rPr>
          <w:rFonts w:ascii="Garamond" w:hAnsi="Garamond" w:cs="AdvP7B6C"/>
          <w:color w:val="000000"/>
        </w:rPr>
        <w:t>compositional differences</w:t>
      </w:r>
      <w:r w:rsidR="00301758">
        <w:rPr>
          <w:rFonts w:ascii="Garamond" w:hAnsi="Garamond" w:cs="AdvP7B6C"/>
          <w:color w:val="000000"/>
        </w:rPr>
        <w:t xml:space="preserve"> </w:t>
      </w:r>
      <w:r w:rsidR="00FE572F">
        <w:rPr>
          <w:rFonts w:ascii="Garamond" w:hAnsi="Garamond" w:cs="AdvP7B6C"/>
          <w:color w:val="000000"/>
        </w:rPr>
        <w:t xml:space="preserve">are </w:t>
      </w:r>
      <w:r w:rsidR="00301758">
        <w:rPr>
          <w:rFonts w:ascii="Garamond" w:hAnsi="Garamond" w:cs="AdvP7B6C"/>
          <w:color w:val="000000"/>
        </w:rPr>
        <w:t xml:space="preserve">not very important to explain </w:t>
      </w:r>
      <w:r w:rsidR="00FE572F">
        <w:rPr>
          <w:rFonts w:ascii="Garamond" w:hAnsi="Garamond" w:cs="AdvP7B6C"/>
          <w:color w:val="000000"/>
        </w:rPr>
        <w:t xml:space="preserve">the </w:t>
      </w:r>
      <w:r w:rsidR="00301758">
        <w:rPr>
          <w:rFonts w:ascii="Garamond" w:hAnsi="Garamond" w:cs="AdvP7B6C"/>
          <w:color w:val="000000"/>
        </w:rPr>
        <w:t>total gender differentials</w:t>
      </w:r>
      <w:r>
        <w:rPr>
          <w:rFonts w:ascii="Garamond" w:hAnsi="Garamond" w:cs="AdvP7B6C"/>
          <w:color w:val="000000"/>
        </w:rPr>
        <w:t>.</w:t>
      </w:r>
      <w:r w:rsidR="00301758">
        <w:rPr>
          <w:rFonts w:ascii="Garamond" w:hAnsi="Garamond" w:cs="AdvP7B6C"/>
          <w:color w:val="000000"/>
        </w:rPr>
        <w:t xml:space="preserve"> Moreover, our analysis suggests that health policy interventions should be differently focused across genders</w:t>
      </w:r>
      <w:r w:rsidR="000F3D4B">
        <w:rPr>
          <w:rFonts w:ascii="Garamond" w:hAnsi="Garamond" w:cs="AdvP7B6C"/>
          <w:color w:val="000000"/>
        </w:rPr>
        <w:t xml:space="preserve"> and across the distribution of health</w:t>
      </w:r>
      <w:r w:rsidR="00301758">
        <w:rPr>
          <w:rFonts w:ascii="Garamond" w:hAnsi="Garamond" w:cs="AdvP7B6C"/>
          <w:color w:val="000000"/>
        </w:rPr>
        <w:t xml:space="preserve">. For instance, </w:t>
      </w:r>
      <w:r w:rsidR="0099024E">
        <w:rPr>
          <w:rFonts w:ascii="Garamond" w:hAnsi="Garamond" w:cs="AdvP7B6C"/>
          <w:color w:val="000000"/>
        </w:rPr>
        <w:t xml:space="preserve">for the purpose of eliminating socio-economic inequalities in health, </w:t>
      </w:r>
      <w:r w:rsidR="00301758">
        <w:rPr>
          <w:rFonts w:ascii="Garamond" w:hAnsi="Garamond" w:cs="AdvP7B6C"/>
          <w:color w:val="000000"/>
        </w:rPr>
        <w:t xml:space="preserve">it seems important to focus on </w:t>
      </w:r>
      <w:r w:rsidR="005C7BBE">
        <w:rPr>
          <w:rFonts w:ascii="Garamond" w:hAnsi="Garamond" w:cs="AdvP7B6C"/>
          <w:color w:val="000000"/>
        </w:rPr>
        <w:t>men</w:t>
      </w:r>
      <w:r w:rsidR="00301758">
        <w:rPr>
          <w:rFonts w:ascii="Garamond" w:hAnsi="Garamond" w:cs="AdvP7B6C"/>
          <w:color w:val="000000"/>
        </w:rPr>
        <w:t xml:space="preserve"> in poor economic conditions when considering </w:t>
      </w:r>
      <w:r w:rsidR="000F3D4B">
        <w:rPr>
          <w:rFonts w:ascii="Garamond" w:hAnsi="Garamond" w:cs="AdvP7B6C"/>
          <w:color w:val="000000"/>
        </w:rPr>
        <w:t xml:space="preserve">severe </w:t>
      </w:r>
      <w:r w:rsidR="00301758">
        <w:rPr>
          <w:rFonts w:ascii="Garamond" w:hAnsi="Garamond" w:cs="AdvP7B6C"/>
          <w:color w:val="000000"/>
        </w:rPr>
        <w:t>cardiovascu</w:t>
      </w:r>
      <w:r w:rsidR="000F3D4B">
        <w:rPr>
          <w:rFonts w:ascii="Garamond" w:hAnsi="Garamond" w:cs="AdvP7B6C"/>
          <w:color w:val="000000"/>
        </w:rPr>
        <w:t>lar diseases</w:t>
      </w:r>
      <w:r w:rsidR="00DB48C4">
        <w:rPr>
          <w:rFonts w:ascii="Garamond" w:hAnsi="Garamond" w:cs="AdvP7B6C"/>
          <w:color w:val="000000"/>
        </w:rPr>
        <w:t xml:space="preserve"> or </w:t>
      </w:r>
      <w:r w:rsidR="00E2327C">
        <w:rPr>
          <w:rFonts w:ascii="Garamond" w:hAnsi="Garamond" w:cs="AdvP7B6C"/>
          <w:color w:val="000000"/>
        </w:rPr>
        <w:t>an</w:t>
      </w:r>
      <w:r w:rsidR="002B35A0">
        <w:rPr>
          <w:rFonts w:ascii="Garamond" w:hAnsi="Garamond" w:cs="AdvP7B6C"/>
          <w:color w:val="000000"/>
        </w:rPr>
        <w:t>ae</w:t>
      </w:r>
      <w:r w:rsidR="00E2327C">
        <w:rPr>
          <w:rFonts w:ascii="Garamond" w:hAnsi="Garamond" w:cs="AdvP7B6C"/>
          <w:color w:val="000000"/>
        </w:rPr>
        <w:t xml:space="preserve">mia due to </w:t>
      </w:r>
      <w:r w:rsidR="00DB48C4">
        <w:rPr>
          <w:rFonts w:ascii="Garamond" w:hAnsi="Garamond" w:cs="AdvP7B6C"/>
          <w:color w:val="000000"/>
        </w:rPr>
        <w:t>nutritional deficiency</w:t>
      </w:r>
      <w:r w:rsidR="00E2327C">
        <w:rPr>
          <w:rFonts w:ascii="Garamond" w:hAnsi="Garamond" w:cs="AdvP7B6C"/>
          <w:color w:val="000000"/>
        </w:rPr>
        <w:t>, for instance</w:t>
      </w:r>
      <w:r w:rsidR="000F3D4B">
        <w:rPr>
          <w:rFonts w:ascii="Garamond" w:hAnsi="Garamond" w:cs="AdvP7B6C"/>
          <w:color w:val="000000"/>
        </w:rPr>
        <w:t xml:space="preserve">. On the contrary, </w:t>
      </w:r>
      <w:r w:rsidR="00301758">
        <w:rPr>
          <w:rFonts w:ascii="Garamond" w:hAnsi="Garamond" w:cs="AdvP7B6C"/>
          <w:color w:val="000000"/>
        </w:rPr>
        <w:t xml:space="preserve">more attention should be paid to </w:t>
      </w:r>
      <w:r w:rsidR="00770EA9">
        <w:rPr>
          <w:rFonts w:ascii="Garamond" w:hAnsi="Garamond" w:cs="AdvP7B6C"/>
          <w:color w:val="000000"/>
        </w:rPr>
        <w:t>women</w:t>
      </w:r>
      <w:r w:rsidR="00301758">
        <w:rPr>
          <w:rFonts w:ascii="Garamond" w:hAnsi="Garamond" w:cs="AdvP7B6C"/>
          <w:color w:val="000000"/>
        </w:rPr>
        <w:t xml:space="preserve"> in poor economic conditions when considering </w:t>
      </w:r>
      <w:r w:rsidR="000F3D4B">
        <w:rPr>
          <w:rFonts w:ascii="Garamond" w:hAnsi="Garamond" w:cs="AdvP7B6C"/>
          <w:color w:val="000000"/>
        </w:rPr>
        <w:t xml:space="preserve">severe </w:t>
      </w:r>
      <w:r w:rsidR="00301758">
        <w:rPr>
          <w:rFonts w:ascii="Garamond" w:hAnsi="Garamond" w:cs="AdvP7B6C"/>
          <w:color w:val="000000"/>
        </w:rPr>
        <w:t>diabetes</w:t>
      </w:r>
      <w:r w:rsidR="00407515">
        <w:rPr>
          <w:rFonts w:ascii="Garamond" w:hAnsi="Garamond" w:cs="AdvP7B6C"/>
          <w:color w:val="000000"/>
        </w:rPr>
        <w:t>.</w:t>
      </w:r>
    </w:p>
    <w:p w14:paraId="2CE5258F" w14:textId="77777777" w:rsidR="005C7BBE" w:rsidRDefault="005C7BBE" w:rsidP="00A51BEE">
      <w:pPr>
        <w:autoSpaceDE w:val="0"/>
        <w:autoSpaceDN w:val="0"/>
        <w:adjustRightInd w:val="0"/>
        <w:spacing w:after="0"/>
        <w:jc w:val="both"/>
        <w:rPr>
          <w:rFonts w:ascii="Garamond" w:hAnsi="Garamond"/>
        </w:rPr>
      </w:pPr>
    </w:p>
    <w:p w14:paraId="6DDE9F3C" w14:textId="431CE8AF" w:rsidR="00A51BEE" w:rsidRDefault="00A51BEE" w:rsidP="00A51BEE">
      <w:pPr>
        <w:autoSpaceDE w:val="0"/>
        <w:autoSpaceDN w:val="0"/>
        <w:adjustRightInd w:val="0"/>
        <w:spacing w:after="0"/>
        <w:jc w:val="both"/>
        <w:rPr>
          <w:rFonts w:ascii="Garamond" w:hAnsi="Garamond"/>
        </w:rPr>
      </w:pPr>
      <w:r>
        <w:rPr>
          <w:rFonts w:ascii="Garamond" w:hAnsi="Garamond"/>
        </w:rPr>
        <w:t xml:space="preserve">Future research might concentrate on the reasons behind the heterogeneity of income-health relationship along the distribution of health status and across genders. </w:t>
      </w:r>
      <w:r w:rsidR="00F90E13">
        <w:rPr>
          <w:rFonts w:ascii="Garamond" w:hAnsi="Garamond"/>
        </w:rPr>
        <w:t xml:space="preserve">Our results indicate that these aspects should be carefully considered </w:t>
      </w:r>
      <w:r>
        <w:rPr>
          <w:rFonts w:ascii="Garamond" w:hAnsi="Garamond"/>
        </w:rPr>
        <w:t xml:space="preserve">when investigating the </w:t>
      </w:r>
      <w:r w:rsidR="00E43EC6">
        <w:rPr>
          <w:rFonts w:ascii="Garamond" w:hAnsi="Garamond"/>
        </w:rPr>
        <w:t>health gradient with respect to</w:t>
      </w:r>
      <w:r>
        <w:rPr>
          <w:rFonts w:ascii="Garamond" w:hAnsi="Garamond"/>
        </w:rPr>
        <w:t xml:space="preserve"> </w:t>
      </w:r>
      <w:r w:rsidR="008B759C">
        <w:rPr>
          <w:rFonts w:ascii="Garamond" w:hAnsi="Garamond"/>
        </w:rPr>
        <w:t>income</w:t>
      </w:r>
      <w:r w:rsidR="00E43EC6">
        <w:rPr>
          <w:rFonts w:ascii="Garamond" w:hAnsi="Garamond"/>
        </w:rPr>
        <w:t>, gender</w:t>
      </w:r>
      <w:r w:rsidR="008B759C">
        <w:rPr>
          <w:rFonts w:ascii="Garamond" w:hAnsi="Garamond"/>
        </w:rPr>
        <w:t xml:space="preserve"> and </w:t>
      </w:r>
      <w:r w:rsidR="00FE572F">
        <w:rPr>
          <w:rFonts w:ascii="Garamond" w:hAnsi="Garamond"/>
        </w:rPr>
        <w:t>other</w:t>
      </w:r>
      <w:r w:rsidR="007D34F9">
        <w:rPr>
          <w:rFonts w:ascii="Garamond" w:hAnsi="Garamond"/>
        </w:rPr>
        <w:t xml:space="preserve"> </w:t>
      </w:r>
      <w:r w:rsidR="00463618">
        <w:rPr>
          <w:rFonts w:ascii="Garamond" w:hAnsi="Garamond"/>
        </w:rPr>
        <w:t>covariate</w:t>
      </w:r>
      <w:r w:rsidR="00770EA9">
        <w:rPr>
          <w:rFonts w:ascii="Garamond" w:hAnsi="Garamond"/>
        </w:rPr>
        <w:t>s</w:t>
      </w:r>
      <w:r>
        <w:rPr>
          <w:rFonts w:ascii="Garamond" w:hAnsi="Garamond"/>
        </w:rPr>
        <w:t xml:space="preserve">. </w:t>
      </w:r>
    </w:p>
    <w:p w14:paraId="108FBB28" w14:textId="77777777" w:rsidR="00F704BC" w:rsidRDefault="00F704BC" w:rsidP="006523E6">
      <w:pPr>
        <w:autoSpaceDE w:val="0"/>
        <w:autoSpaceDN w:val="0"/>
        <w:adjustRightInd w:val="0"/>
        <w:spacing w:after="0"/>
        <w:jc w:val="both"/>
        <w:rPr>
          <w:rFonts w:ascii="Garamond" w:hAnsi="Garamond"/>
        </w:rPr>
      </w:pPr>
    </w:p>
    <w:p w14:paraId="750BB8D5" w14:textId="77777777" w:rsidR="0003410E" w:rsidRDefault="0003410E" w:rsidP="0099362C">
      <w:pPr>
        <w:jc w:val="both"/>
        <w:rPr>
          <w:rFonts w:ascii="Garamond" w:hAnsi="Garamond"/>
        </w:rPr>
      </w:pPr>
    </w:p>
    <w:p w14:paraId="5DBEB245" w14:textId="77777777" w:rsidR="00A920D3" w:rsidRPr="00A164EC" w:rsidRDefault="00323126" w:rsidP="002B001E">
      <w:pPr>
        <w:rPr>
          <w:rFonts w:ascii="Garamond" w:hAnsi="Garamond"/>
        </w:rPr>
      </w:pPr>
      <w:r>
        <w:rPr>
          <w:rFonts w:ascii="Garamond" w:hAnsi="Garamond"/>
        </w:rPr>
        <w:br w:type="page"/>
      </w:r>
      <w:r w:rsidR="000859CA" w:rsidRPr="00A164EC">
        <w:rPr>
          <w:rFonts w:ascii="Garamond" w:hAnsi="Garamond"/>
          <w:b/>
          <w:sz w:val="28"/>
          <w:szCs w:val="28"/>
        </w:rPr>
        <w:lastRenderedPageBreak/>
        <w:t>References</w:t>
      </w:r>
    </w:p>
    <w:p w14:paraId="77C9FAAC" w14:textId="77777777" w:rsidR="00A920D3" w:rsidRDefault="00A920D3" w:rsidP="00661BBB">
      <w:pPr>
        <w:pStyle w:val="Default"/>
        <w:jc w:val="both"/>
        <w:rPr>
          <w:rFonts w:ascii="Garamond" w:hAnsi="Garamond" w:cstheme="minorBidi"/>
          <w:color w:val="auto"/>
          <w:sz w:val="22"/>
          <w:szCs w:val="22"/>
          <w:lang w:val="en-US"/>
        </w:rPr>
      </w:pPr>
      <w:r w:rsidRPr="00A920D3">
        <w:rPr>
          <w:rFonts w:ascii="Garamond" w:hAnsi="Garamond" w:cstheme="minorBidi"/>
          <w:color w:val="auto"/>
          <w:sz w:val="22"/>
          <w:szCs w:val="22"/>
          <w:lang w:val="en-US"/>
        </w:rPr>
        <w:t>American Diab</w:t>
      </w:r>
      <w:r w:rsidR="00661BBB">
        <w:rPr>
          <w:rFonts w:ascii="Garamond" w:hAnsi="Garamond" w:cstheme="minorBidi"/>
          <w:color w:val="auto"/>
          <w:sz w:val="22"/>
          <w:szCs w:val="22"/>
          <w:lang w:val="en-US"/>
        </w:rPr>
        <w:t xml:space="preserve">etes Association, </w:t>
      </w:r>
      <w:r w:rsidR="002E7FFE">
        <w:rPr>
          <w:rFonts w:ascii="Garamond" w:hAnsi="Garamond" w:cstheme="minorBidi"/>
          <w:color w:val="auto"/>
          <w:sz w:val="22"/>
          <w:szCs w:val="22"/>
          <w:lang w:val="en-US"/>
        </w:rPr>
        <w:t>(2001),</w:t>
      </w:r>
      <w:r w:rsidRPr="00A920D3">
        <w:rPr>
          <w:rFonts w:ascii="Garamond" w:hAnsi="Garamond" w:cstheme="minorBidi"/>
          <w:color w:val="auto"/>
          <w:sz w:val="22"/>
          <w:szCs w:val="22"/>
          <w:lang w:val="en-US"/>
        </w:rPr>
        <w:t xml:space="preserve"> Executive summary: standards of medical car</w:t>
      </w:r>
      <w:r w:rsidR="002E7FFE">
        <w:rPr>
          <w:rFonts w:ascii="Garamond" w:hAnsi="Garamond" w:cstheme="minorBidi"/>
          <w:color w:val="auto"/>
          <w:sz w:val="22"/>
          <w:szCs w:val="22"/>
          <w:lang w:val="en-US"/>
        </w:rPr>
        <w:t>e</w:t>
      </w:r>
      <w:r w:rsidRPr="00A920D3">
        <w:rPr>
          <w:rFonts w:ascii="Garamond" w:hAnsi="Garamond" w:cstheme="minorBidi"/>
          <w:color w:val="auto"/>
          <w:sz w:val="22"/>
          <w:szCs w:val="22"/>
          <w:lang w:val="en-US"/>
        </w:rPr>
        <w:t xml:space="preserve"> in diabetes – 2010. Diabetes Care</w:t>
      </w:r>
      <w:r w:rsidR="002E7FFE">
        <w:rPr>
          <w:rFonts w:ascii="Garamond" w:hAnsi="Garamond" w:cstheme="minorBidi"/>
          <w:color w:val="auto"/>
          <w:sz w:val="22"/>
          <w:szCs w:val="22"/>
          <w:lang w:val="en-US"/>
        </w:rPr>
        <w:t>,</w:t>
      </w:r>
      <w:r w:rsidRPr="00A920D3">
        <w:rPr>
          <w:rFonts w:ascii="Garamond" w:hAnsi="Garamond" w:cstheme="minorBidi"/>
          <w:color w:val="auto"/>
          <w:sz w:val="22"/>
          <w:szCs w:val="22"/>
          <w:lang w:val="en-US"/>
        </w:rPr>
        <w:t xml:space="preserve"> 33 (Suppl 1): S4-S10</w:t>
      </w:r>
      <w:r w:rsidR="002E7FFE">
        <w:rPr>
          <w:rFonts w:ascii="Garamond" w:hAnsi="Garamond" w:cstheme="minorBidi"/>
          <w:color w:val="auto"/>
          <w:sz w:val="22"/>
          <w:szCs w:val="22"/>
          <w:lang w:val="en-US"/>
        </w:rPr>
        <w:t>.</w:t>
      </w:r>
      <w:r w:rsidRPr="00A920D3">
        <w:rPr>
          <w:rFonts w:ascii="Garamond" w:hAnsi="Garamond" w:cstheme="minorBidi"/>
          <w:color w:val="auto"/>
          <w:sz w:val="22"/>
          <w:szCs w:val="22"/>
          <w:lang w:val="en-US"/>
        </w:rPr>
        <w:t xml:space="preserve"> </w:t>
      </w:r>
    </w:p>
    <w:p w14:paraId="1AA2911F" w14:textId="77777777" w:rsidR="00E97E32" w:rsidRDefault="00E97E32" w:rsidP="00661BBB">
      <w:pPr>
        <w:pStyle w:val="Default"/>
        <w:jc w:val="both"/>
        <w:rPr>
          <w:rFonts w:ascii="Garamond" w:hAnsi="Garamond" w:cstheme="minorBidi"/>
          <w:color w:val="auto"/>
          <w:sz w:val="22"/>
          <w:szCs w:val="22"/>
          <w:lang w:val="en-US"/>
        </w:rPr>
      </w:pPr>
    </w:p>
    <w:p w14:paraId="69A616D2" w14:textId="77777777" w:rsidR="00E97E32" w:rsidRDefault="00E97E32" w:rsidP="00661BBB">
      <w:pPr>
        <w:pStyle w:val="FootnoteText"/>
        <w:jc w:val="both"/>
        <w:rPr>
          <w:rFonts w:ascii="Garamond" w:hAnsi="Garamond"/>
          <w:bCs/>
          <w:sz w:val="22"/>
          <w:szCs w:val="22"/>
        </w:rPr>
      </w:pPr>
      <w:r w:rsidRPr="00E97E32">
        <w:rPr>
          <w:rFonts w:ascii="Garamond" w:hAnsi="Garamond"/>
          <w:bCs/>
          <w:sz w:val="22"/>
          <w:szCs w:val="22"/>
        </w:rPr>
        <w:t>Atkinson,A., Colburn, W.A., Degruttola, V.G., et al.,</w:t>
      </w:r>
      <w:r w:rsidR="00661BBB">
        <w:rPr>
          <w:rFonts w:ascii="Garamond" w:hAnsi="Garamond"/>
          <w:bCs/>
          <w:sz w:val="22"/>
          <w:szCs w:val="22"/>
        </w:rPr>
        <w:t xml:space="preserve"> </w:t>
      </w:r>
      <w:r w:rsidRPr="00080AC1">
        <w:rPr>
          <w:rFonts w:ascii="Garamond" w:hAnsi="Garamond"/>
          <w:bCs/>
          <w:sz w:val="22"/>
          <w:szCs w:val="22"/>
        </w:rPr>
        <w:t>(2001), Biomarkers and surrogate endpoints: preferred defin</w:t>
      </w:r>
      <w:r>
        <w:rPr>
          <w:rFonts w:ascii="Garamond" w:hAnsi="Garamond"/>
          <w:bCs/>
          <w:sz w:val="22"/>
          <w:szCs w:val="22"/>
        </w:rPr>
        <w:t>itions and conceptual framework. Biomarkers Definition Working Group,  Clinical Pharmacol and Therapeutics, 69: 89–95.</w:t>
      </w:r>
    </w:p>
    <w:p w14:paraId="23C657D9" w14:textId="77777777" w:rsidR="00A920D3" w:rsidRPr="00DB7D8C" w:rsidRDefault="00A920D3" w:rsidP="00661BBB">
      <w:pPr>
        <w:pStyle w:val="Default"/>
        <w:jc w:val="both"/>
        <w:rPr>
          <w:sz w:val="16"/>
          <w:szCs w:val="16"/>
          <w:lang w:val="en-US"/>
        </w:rPr>
      </w:pPr>
    </w:p>
    <w:p w14:paraId="0B24E658" w14:textId="77777777" w:rsidR="00424D7D" w:rsidRPr="00424D7D" w:rsidRDefault="00424D7D" w:rsidP="00661BBB">
      <w:pPr>
        <w:jc w:val="both"/>
        <w:rPr>
          <w:rFonts w:ascii="Garamond" w:hAnsi="Garamond"/>
        </w:rPr>
      </w:pPr>
      <w:r w:rsidRPr="00424D7D">
        <w:rPr>
          <w:rFonts w:ascii="Garamond" w:hAnsi="Garamond"/>
        </w:rPr>
        <w:t xml:space="preserve">Bago </w:t>
      </w:r>
      <w:r w:rsidR="005C4CFF">
        <w:rPr>
          <w:rFonts w:ascii="Garamond" w:hAnsi="Garamond"/>
        </w:rPr>
        <w:t>d</w:t>
      </w:r>
      <w:r w:rsidRPr="00424D7D">
        <w:rPr>
          <w:rFonts w:ascii="Garamond" w:hAnsi="Garamond"/>
        </w:rPr>
        <w:t>’Uva, T.,</w:t>
      </w:r>
      <w:r w:rsidR="002E7FFE">
        <w:rPr>
          <w:rFonts w:ascii="Garamond" w:hAnsi="Garamond"/>
        </w:rPr>
        <w:t xml:space="preserve"> V</w:t>
      </w:r>
      <w:r w:rsidR="005C4CFF">
        <w:rPr>
          <w:rFonts w:ascii="Garamond" w:hAnsi="Garamond"/>
        </w:rPr>
        <w:t>an Doorslaer, E., Lindeboom, M., O’Donnell, O.</w:t>
      </w:r>
      <w:r w:rsidRPr="00424D7D">
        <w:rPr>
          <w:rFonts w:ascii="Garamond" w:hAnsi="Garamond"/>
        </w:rPr>
        <w:t>, (2008), Does reporting heterogeneity bias the measurement of health disparities?</w:t>
      </w:r>
      <w:r w:rsidRPr="00A620C8">
        <w:rPr>
          <w:rFonts w:ascii="Garamond" w:hAnsi="Garamond"/>
        </w:rPr>
        <w:t>, Health Economics, 17, 3: 351-375.</w:t>
      </w:r>
    </w:p>
    <w:p w14:paraId="21A56E86" w14:textId="77777777" w:rsidR="00267454" w:rsidRPr="00267454" w:rsidRDefault="00267454" w:rsidP="00661BBB">
      <w:pPr>
        <w:jc w:val="both"/>
        <w:rPr>
          <w:rFonts w:ascii="Garamond" w:hAnsi="Garamond"/>
        </w:rPr>
      </w:pPr>
      <w:r w:rsidRPr="00267454">
        <w:rPr>
          <w:rFonts w:ascii="Garamond" w:hAnsi="Garamond"/>
        </w:rPr>
        <w:t>Banks, J., Marmot, M., O</w:t>
      </w:r>
      <w:r w:rsidR="005C4CFF">
        <w:rPr>
          <w:rFonts w:ascii="Garamond" w:hAnsi="Garamond"/>
        </w:rPr>
        <w:t>l</w:t>
      </w:r>
      <w:r w:rsidRPr="00267454">
        <w:rPr>
          <w:rFonts w:ascii="Garamond" w:hAnsi="Garamond"/>
        </w:rPr>
        <w:t xml:space="preserve">dfield, Z., Smith, J.P., </w:t>
      </w:r>
      <w:r>
        <w:rPr>
          <w:rFonts w:ascii="Garamond" w:hAnsi="Garamond"/>
        </w:rPr>
        <w:t>(2006)</w:t>
      </w:r>
      <w:r w:rsidR="002E7FFE">
        <w:rPr>
          <w:rFonts w:ascii="Garamond" w:hAnsi="Garamond"/>
        </w:rPr>
        <w:t>, Disease and d</w:t>
      </w:r>
      <w:r w:rsidRPr="00267454">
        <w:rPr>
          <w:rFonts w:ascii="Garamond" w:hAnsi="Garamond"/>
        </w:rPr>
        <w:t xml:space="preserve">isadvantage in the United States and in England, Journal of American Medical Association, 3, 295, 17: 2037-45. </w:t>
      </w:r>
    </w:p>
    <w:p w14:paraId="628DD921" w14:textId="77777777" w:rsidR="00BF7756" w:rsidRDefault="00BF7756" w:rsidP="00661BBB">
      <w:pPr>
        <w:jc w:val="both"/>
        <w:rPr>
          <w:rFonts w:ascii="Garamond" w:hAnsi="Garamond"/>
        </w:rPr>
      </w:pPr>
      <w:r w:rsidRPr="00BF7756">
        <w:rPr>
          <w:rFonts w:ascii="Garamond" w:hAnsi="Garamond"/>
        </w:rPr>
        <w:t>B</w:t>
      </w:r>
      <w:r>
        <w:rPr>
          <w:rFonts w:ascii="Garamond" w:hAnsi="Garamond"/>
        </w:rPr>
        <w:t>itler</w:t>
      </w:r>
      <w:r w:rsidR="005C4CFF">
        <w:rPr>
          <w:rFonts w:ascii="Garamond" w:hAnsi="Garamond"/>
        </w:rPr>
        <w:t>,</w:t>
      </w:r>
      <w:r>
        <w:rPr>
          <w:rFonts w:ascii="Garamond" w:hAnsi="Garamond"/>
        </w:rPr>
        <w:t xml:space="preserve"> M</w:t>
      </w:r>
      <w:r w:rsidR="005C4CFF">
        <w:rPr>
          <w:rFonts w:ascii="Garamond" w:hAnsi="Garamond"/>
        </w:rPr>
        <w:t>.</w:t>
      </w:r>
      <w:r>
        <w:rPr>
          <w:rFonts w:ascii="Garamond" w:hAnsi="Garamond"/>
        </w:rPr>
        <w:t>P</w:t>
      </w:r>
      <w:r w:rsidR="005C4CFF">
        <w:rPr>
          <w:rFonts w:ascii="Garamond" w:hAnsi="Garamond"/>
        </w:rPr>
        <w:t>.</w:t>
      </w:r>
      <w:r>
        <w:rPr>
          <w:rFonts w:ascii="Garamond" w:hAnsi="Garamond"/>
        </w:rPr>
        <w:t>, Gelbach</w:t>
      </w:r>
      <w:r w:rsidR="005C4CFF">
        <w:rPr>
          <w:rFonts w:ascii="Garamond" w:hAnsi="Garamond"/>
        </w:rPr>
        <w:t>,</w:t>
      </w:r>
      <w:r>
        <w:rPr>
          <w:rFonts w:ascii="Garamond" w:hAnsi="Garamond"/>
        </w:rPr>
        <w:t xml:space="preserve"> J</w:t>
      </w:r>
      <w:r w:rsidR="005C4CFF">
        <w:rPr>
          <w:rFonts w:ascii="Garamond" w:hAnsi="Garamond"/>
        </w:rPr>
        <w:t>.</w:t>
      </w:r>
      <w:r>
        <w:rPr>
          <w:rFonts w:ascii="Garamond" w:hAnsi="Garamond"/>
        </w:rPr>
        <w:t>B</w:t>
      </w:r>
      <w:r w:rsidR="005C4CFF">
        <w:rPr>
          <w:rFonts w:ascii="Garamond" w:hAnsi="Garamond"/>
        </w:rPr>
        <w:t>.</w:t>
      </w:r>
      <w:r>
        <w:rPr>
          <w:rFonts w:ascii="Garamond" w:hAnsi="Garamond"/>
        </w:rPr>
        <w:t>, Hoynes</w:t>
      </w:r>
      <w:r w:rsidR="005C4CFF">
        <w:rPr>
          <w:rFonts w:ascii="Garamond" w:hAnsi="Garamond"/>
        </w:rPr>
        <w:t>,</w:t>
      </w:r>
      <w:r>
        <w:rPr>
          <w:rFonts w:ascii="Garamond" w:hAnsi="Garamond"/>
        </w:rPr>
        <w:t xml:space="preserve"> H</w:t>
      </w:r>
      <w:r w:rsidR="005C4CFF">
        <w:rPr>
          <w:rFonts w:ascii="Garamond" w:hAnsi="Garamond"/>
        </w:rPr>
        <w:t>.</w:t>
      </w:r>
      <w:r>
        <w:rPr>
          <w:rFonts w:ascii="Garamond" w:hAnsi="Garamond"/>
        </w:rPr>
        <w:t>W</w:t>
      </w:r>
      <w:r w:rsidR="005C4CFF">
        <w:rPr>
          <w:rFonts w:ascii="Garamond" w:hAnsi="Garamond"/>
        </w:rPr>
        <w:t>.,</w:t>
      </w:r>
      <w:r w:rsidRPr="00BF7756">
        <w:rPr>
          <w:rFonts w:ascii="Garamond" w:hAnsi="Garamond"/>
        </w:rPr>
        <w:t xml:space="preserve"> </w:t>
      </w:r>
      <w:r>
        <w:rPr>
          <w:rFonts w:ascii="Garamond" w:hAnsi="Garamond"/>
        </w:rPr>
        <w:t>(</w:t>
      </w:r>
      <w:r w:rsidRPr="00BF7756">
        <w:rPr>
          <w:rFonts w:ascii="Garamond" w:hAnsi="Garamond"/>
        </w:rPr>
        <w:t>2006</w:t>
      </w:r>
      <w:r>
        <w:rPr>
          <w:rFonts w:ascii="Garamond" w:hAnsi="Garamond"/>
        </w:rPr>
        <w:t>),</w:t>
      </w:r>
      <w:r w:rsidR="002E7FFE">
        <w:rPr>
          <w:rFonts w:ascii="Garamond" w:hAnsi="Garamond"/>
        </w:rPr>
        <w:t xml:space="preserve"> What mean impacts miss: d</w:t>
      </w:r>
      <w:r w:rsidRPr="00BF7756">
        <w:rPr>
          <w:rFonts w:ascii="Garamond" w:hAnsi="Garamond"/>
        </w:rPr>
        <w:t>istributional effect</w:t>
      </w:r>
      <w:r w:rsidR="005848AE">
        <w:rPr>
          <w:rFonts w:ascii="Garamond" w:hAnsi="Garamond"/>
        </w:rPr>
        <w:t>s of welfare reform experiments,</w:t>
      </w:r>
      <w:r w:rsidRPr="00BF7756">
        <w:rPr>
          <w:rFonts w:ascii="Garamond" w:hAnsi="Garamond"/>
        </w:rPr>
        <w:t xml:space="preserve"> The American Economic Review</w:t>
      </w:r>
      <w:r w:rsidR="002E7FFE">
        <w:rPr>
          <w:rFonts w:ascii="Garamond" w:hAnsi="Garamond"/>
        </w:rPr>
        <w:t>,</w:t>
      </w:r>
      <w:r w:rsidRPr="00BF7756">
        <w:rPr>
          <w:rFonts w:ascii="Garamond" w:hAnsi="Garamond"/>
        </w:rPr>
        <w:t xml:space="preserve"> 96: 988-1012.</w:t>
      </w:r>
    </w:p>
    <w:p w14:paraId="76CFA7A5" w14:textId="77777777" w:rsidR="00E24306" w:rsidRDefault="00E24306" w:rsidP="00661BBB">
      <w:pPr>
        <w:jc w:val="both"/>
        <w:rPr>
          <w:rFonts w:ascii="Garamond" w:hAnsi="Garamond"/>
        </w:rPr>
      </w:pPr>
      <w:r w:rsidRPr="00E24306">
        <w:rPr>
          <w:rFonts w:ascii="Garamond" w:hAnsi="Garamond"/>
        </w:rPr>
        <w:t xml:space="preserve">Blinder, A. S. </w:t>
      </w:r>
      <w:r>
        <w:rPr>
          <w:rFonts w:ascii="Garamond" w:hAnsi="Garamond"/>
        </w:rPr>
        <w:t>(1973),</w:t>
      </w:r>
      <w:r w:rsidR="002E7FFE">
        <w:rPr>
          <w:rFonts w:ascii="Garamond" w:hAnsi="Garamond"/>
        </w:rPr>
        <w:t xml:space="preserve"> Wage discrimination: r</w:t>
      </w:r>
      <w:r w:rsidRPr="00E24306">
        <w:rPr>
          <w:rFonts w:ascii="Garamond" w:hAnsi="Garamond"/>
        </w:rPr>
        <w:t>educed</w:t>
      </w:r>
      <w:r w:rsidR="002E7FFE">
        <w:rPr>
          <w:rFonts w:ascii="Garamond" w:hAnsi="Garamond"/>
        </w:rPr>
        <w:t xml:space="preserve"> form and structural e</w:t>
      </w:r>
      <w:r>
        <w:rPr>
          <w:rFonts w:ascii="Garamond" w:hAnsi="Garamond"/>
        </w:rPr>
        <w:t xml:space="preserve">stimates, </w:t>
      </w:r>
      <w:r w:rsidRPr="00E24306">
        <w:rPr>
          <w:rFonts w:ascii="Garamond" w:hAnsi="Garamond"/>
        </w:rPr>
        <w:t>The Journal of Human Resources</w:t>
      </w:r>
      <w:r w:rsidR="002E7FFE">
        <w:rPr>
          <w:rFonts w:ascii="Garamond" w:hAnsi="Garamond"/>
        </w:rPr>
        <w:t>,</w:t>
      </w:r>
      <w:r w:rsidRPr="00E24306">
        <w:rPr>
          <w:rFonts w:ascii="Garamond" w:hAnsi="Garamond"/>
        </w:rPr>
        <w:t xml:space="preserve"> 8: 436–455.</w:t>
      </w:r>
    </w:p>
    <w:p w14:paraId="7EA517F7" w14:textId="670E7F62" w:rsidR="003B6C28" w:rsidRDefault="005C4CFF" w:rsidP="00661BBB">
      <w:pPr>
        <w:jc w:val="both"/>
        <w:rPr>
          <w:rFonts w:ascii="Garamond" w:hAnsi="Garamond"/>
          <w:bCs/>
        </w:rPr>
      </w:pPr>
      <w:r>
        <w:rPr>
          <w:rFonts w:ascii="Garamond" w:hAnsi="Garamond"/>
        </w:rPr>
        <w:t>Rosero-</w:t>
      </w:r>
      <w:r w:rsidR="007F5F25">
        <w:rPr>
          <w:rFonts w:ascii="Garamond" w:hAnsi="Garamond"/>
        </w:rPr>
        <w:t xml:space="preserve">Bixby, L.S., Dow, W.H., (2012), </w:t>
      </w:r>
      <w:r w:rsidR="007F5F25" w:rsidRPr="007F5F25">
        <w:rPr>
          <w:rFonts w:ascii="Garamond" w:hAnsi="Garamond"/>
          <w:bCs/>
        </w:rPr>
        <w:t>Predicting mortality with biomarkers: a population-based prospective cohort study for elderly Costa Ricans</w:t>
      </w:r>
      <w:r w:rsidR="007F5F25">
        <w:rPr>
          <w:rFonts w:ascii="Garamond" w:hAnsi="Garamond"/>
          <w:bCs/>
        </w:rPr>
        <w:t xml:space="preserve">, </w:t>
      </w:r>
      <w:r w:rsidR="007B5586">
        <w:rPr>
          <w:rFonts w:ascii="Garamond" w:hAnsi="Garamond"/>
          <w:bCs/>
        </w:rPr>
        <w:t>Population Health Metrics, 10:11.</w:t>
      </w:r>
    </w:p>
    <w:p w14:paraId="0CD069A7" w14:textId="06D506DE" w:rsidR="003B6C28" w:rsidRPr="007B5586" w:rsidRDefault="003B6C28" w:rsidP="00661BBB">
      <w:pPr>
        <w:jc w:val="both"/>
        <w:rPr>
          <w:rFonts w:ascii="Garamond" w:hAnsi="Garamond"/>
          <w:bCs/>
        </w:rPr>
      </w:pPr>
      <w:r>
        <w:rPr>
          <w:rFonts w:ascii="Garamond" w:hAnsi="Garamond"/>
          <w:bCs/>
        </w:rPr>
        <w:t xml:space="preserve">Cawley, J., Choi, A., (2015), Health disparities across education: the role of differential reporting error, </w:t>
      </w:r>
      <w:r w:rsidRPr="003B6C28">
        <w:rPr>
          <w:rFonts w:ascii="Garamond" w:hAnsi="Garamond"/>
          <w:bCs/>
          <w:i/>
        </w:rPr>
        <w:t xml:space="preserve"> NBER Working Paper</w:t>
      </w:r>
      <w:r>
        <w:rPr>
          <w:rFonts w:ascii="Garamond" w:hAnsi="Garamond"/>
          <w:bCs/>
        </w:rPr>
        <w:t>, 21317.</w:t>
      </w:r>
    </w:p>
    <w:p w14:paraId="3DC9FB74" w14:textId="67CEE79E" w:rsidR="00790C5C" w:rsidRDefault="00F50518" w:rsidP="00661BBB">
      <w:pPr>
        <w:jc w:val="both"/>
        <w:rPr>
          <w:rFonts w:ascii="Garamond" w:hAnsi="Garamond"/>
        </w:rPr>
      </w:pPr>
      <w:r w:rsidRPr="00F50518">
        <w:rPr>
          <w:rFonts w:ascii="Garamond" w:hAnsi="Garamond"/>
        </w:rPr>
        <w:t>Cutler, D., Deaton, A., Lleras-</w:t>
      </w:r>
      <w:r w:rsidR="00ED3B83">
        <w:rPr>
          <w:rFonts w:ascii="Garamond" w:hAnsi="Garamond"/>
        </w:rPr>
        <w:t>M</w:t>
      </w:r>
      <w:r w:rsidRPr="00F50518">
        <w:rPr>
          <w:rFonts w:ascii="Garamond" w:hAnsi="Garamond"/>
        </w:rPr>
        <w:t xml:space="preserve">uney, A., (2006), The </w:t>
      </w:r>
      <w:r w:rsidR="003B6C28">
        <w:rPr>
          <w:rFonts w:ascii="Garamond" w:hAnsi="Garamond"/>
        </w:rPr>
        <w:t>d</w:t>
      </w:r>
      <w:r w:rsidRPr="00F50518">
        <w:rPr>
          <w:rFonts w:ascii="Garamond" w:hAnsi="Garamond"/>
        </w:rPr>
        <w:t xml:space="preserve">eterminants of </w:t>
      </w:r>
      <w:r w:rsidR="003B6C28">
        <w:rPr>
          <w:rFonts w:ascii="Garamond" w:hAnsi="Garamond"/>
        </w:rPr>
        <w:t>m</w:t>
      </w:r>
      <w:r w:rsidRPr="00F50518">
        <w:rPr>
          <w:rFonts w:ascii="Garamond" w:hAnsi="Garamond"/>
        </w:rPr>
        <w:t>ortality, Journal of Economics Perspectives, 20, 3: 97-120.</w:t>
      </w:r>
    </w:p>
    <w:p w14:paraId="08C06211" w14:textId="77777777" w:rsidR="00A10C82" w:rsidRDefault="00A10C82" w:rsidP="00661BBB">
      <w:pPr>
        <w:jc w:val="both"/>
        <w:rPr>
          <w:rFonts w:ascii="Garamond" w:hAnsi="Garamond"/>
        </w:rPr>
      </w:pPr>
      <w:r>
        <w:rPr>
          <w:rFonts w:ascii="Garamond" w:hAnsi="Garamond"/>
        </w:rPr>
        <w:t xml:space="preserve">Dowd, J.B., Goldman, N., (2006), </w:t>
      </w:r>
      <w:r w:rsidRPr="00A10C82">
        <w:rPr>
          <w:rFonts w:ascii="Garamond" w:hAnsi="Garamond"/>
        </w:rPr>
        <w:t>Do biomarkers of stress mediate the relation between socioeconomic status and health?</w:t>
      </w:r>
      <w:r>
        <w:rPr>
          <w:rFonts w:ascii="Garamond" w:hAnsi="Garamond"/>
        </w:rPr>
        <w:t xml:space="preserve">, </w:t>
      </w:r>
      <w:r w:rsidRPr="00A10C82">
        <w:rPr>
          <w:rFonts w:ascii="Garamond" w:hAnsi="Garamond"/>
        </w:rPr>
        <w:t xml:space="preserve"> Journal of Epidemiology and Community Health</w:t>
      </w:r>
      <w:r>
        <w:rPr>
          <w:rFonts w:ascii="Garamond" w:hAnsi="Garamond"/>
        </w:rPr>
        <w:t>, 60: 633-639.</w:t>
      </w:r>
    </w:p>
    <w:p w14:paraId="577EE03E" w14:textId="77777777" w:rsidR="00E61AEE" w:rsidRDefault="00790C5C" w:rsidP="00661BBB">
      <w:pPr>
        <w:jc w:val="both"/>
        <w:rPr>
          <w:rFonts w:ascii="Garamond" w:hAnsi="Garamond"/>
        </w:rPr>
      </w:pPr>
      <w:r w:rsidRPr="00790C5C">
        <w:rPr>
          <w:rFonts w:ascii="Garamond" w:hAnsi="Garamond"/>
        </w:rPr>
        <w:t>Ettner, S.L., (1996), New evidence on the relationship between income and health, Journal of Health Economics, 15,1: 67-85.</w:t>
      </w:r>
    </w:p>
    <w:p w14:paraId="396DA1F6" w14:textId="77777777" w:rsidR="007F5F25" w:rsidRPr="00813BAB" w:rsidRDefault="002E7FFE" w:rsidP="00661BBB">
      <w:pPr>
        <w:jc w:val="both"/>
        <w:rPr>
          <w:rFonts w:ascii="Garamond" w:hAnsi="Garamond"/>
          <w:lang w:val="it-IT"/>
        </w:rPr>
      </w:pPr>
      <w:r>
        <w:rPr>
          <w:rFonts w:ascii="Garamond" w:hAnsi="Garamond"/>
          <w:lang w:val="it-IT"/>
        </w:rPr>
        <w:t xml:space="preserve">Firpo, </w:t>
      </w:r>
      <w:r w:rsidR="007F5F25" w:rsidRPr="00813BAB">
        <w:rPr>
          <w:rFonts w:ascii="Garamond" w:hAnsi="Garamond"/>
          <w:lang w:val="it-IT"/>
        </w:rPr>
        <w:t>S., Fortin, N</w:t>
      </w:r>
      <w:r>
        <w:rPr>
          <w:rFonts w:ascii="Garamond" w:hAnsi="Garamond"/>
          <w:lang w:val="it-IT"/>
        </w:rPr>
        <w:t>.</w:t>
      </w:r>
      <w:r w:rsidR="007F5F25" w:rsidRPr="00813BAB">
        <w:rPr>
          <w:rFonts w:ascii="Garamond" w:hAnsi="Garamond"/>
          <w:lang w:val="it-IT"/>
        </w:rPr>
        <w:t>, Lemi</w:t>
      </w:r>
      <w:r>
        <w:rPr>
          <w:rFonts w:ascii="Garamond" w:hAnsi="Garamond"/>
          <w:lang w:val="it-IT"/>
        </w:rPr>
        <w:t>eux, T., (2009), Unconditional quantile r</w:t>
      </w:r>
      <w:r w:rsidR="007F5F25" w:rsidRPr="00813BAB">
        <w:rPr>
          <w:rFonts w:ascii="Garamond" w:hAnsi="Garamond"/>
          <w:lang w:val="it-IT"/>
        </w:rPr>
        <w:t>egressions, Econometrica, 77, 3: 953-973.</w:t>
      </w:r>
    </w:p>
    <w:p w14:paraId="3DEB2260" w14:textId="77777777" w:rsidR="00E61AEE" w:rsidRDefault="00E61AEE" w:rsidP="00661BBB">
      <w:pPr>
        <w:jc w:val="both"/>
        <w:rPr>
          <w:rFonts w:ascii="Garamond" w:hAnsi="Garamond"/>
        </w:rPr>
      </w:pPr>
      <w:r w:rsidRPr="00E61AEE">
        <w:rPr>
          <w:rFonts w:ascii="Garamond" w:hAnsi="Garamond"/>
        </w:rPr>
        <w:t>Fortin N</w:t>
      </w:r>
      <w:r w:rsidR="007F5F25">
        <w:rPr>
          <w:rFonts w:ascii="Garamond" w:hAnsi="Garamond"/>
        </w:rPr>
        <w:t>.</w:t>
      </w:r>
      <w:r w:rsidRPr="00E61AEE">
        <w:rPr>
          <w:rFonts w:ascii="Garamond" w:hAnsi="Garamond"/>
        </w:rPr>
        <w:t>, Lemieux</w:t>
      </w:r>
      <w:r w:rsidR="002E7FFE">
        <w:rPr>
          <w:rFonts w:ascii="Garamond" w:hAnsi="Garamond"/>
        </w:rPr>
        <w:t>,</w:t>
      </w:r>
      <w:r w:rsidRPr="00E61AEE">
        <w:rPr>
          <w:rFonts w:ascii="Garamond" w:hAnsi="Garamond"/>
        </w:rPr>
        <w:t xml:space="preserve"> T</w:t>
      </w:r>
      <w:r w:rsidR="007F5F25">
        <w:rPr>
          <w:rFonts w:ascii="Garamond" w:hAnsi="Garamond"/>
        </w:rPr>
        <w:t>.</w:t>
      </w:r>
      <w:r w:rsidRPr="00E61AEE">
        <w:rPr>
          <w:rFonts w:ascii="Garamond" w:hAnsi="Garamond"/>
        </w:rPr>
        <w:t>, Firpo</w:t>
      </w:r>
      <w:r w:rsidR="002E7FFE">
        <w:rPr>
          <w:rFonts w:ascii="Garamond" w:hAnsi="Garamond"/>
        </w:rPr>
        <w:t>,</w:t>
      </w:r>
      <w:r w:rsidRPr="00E61AEE">
        <w:rPr>
          <w:rFonts w:ascii="Garamond" w:hAnsi="Garamond"/>
        </w:rPr>
        <w:t xml:space="preserve"> S.</w:t>
      </w:r>
      <w:r w:rsidR="007F5F25">
        <w:rPr>
          <w:rFonts w:ascii="Garamond" w:hAnsi="Garamond"/>
        </w:rPr>
        <w:t>,</w:t>
      </w:r>
      <w:r w:rsidRPr="00E61AEE">
        <w:rPr>
          <w:rFonts w:ascii="Garamond" w:hAnsi="Garamond"/>
        </w:rPr>
        <w:t xml:space="preserve"> </w:t>
      </w:r>
      <w:r>
        <w:rPr>
          <w:rFonts w:ascii="Garamond" w:hAnsi="Garamond"/>
        </w:rPr>
        <w:t>(</w:t>
      </w:r>
      <w:r w:rsidRPr="00E61AEE">
        <w:rPr>
          <w:rFonts w:ascii="Garamond" w:hAnsi="Garamond"/>
        </w:rPr>
        <w:t>2011</w:t>
      </w:r>
      <w:r>
        <w:rPr>
          <w:rFonts w:ascii="Garamond" w:hAnsi="Garamond"/>
        </w:rPr>
        <w:t>),</w:t>
      </w:r>
      <w:r w:rsidRPr="00E61AEE">
        <w:rPr>
          <w:rFonts w:ascii="Garamond" w:hAnsi="Garamond"/>
        </w:rPr>
        <w:t xml:space="preserve"> Decomposition </w:t>
      </w:r>
      <w:r w:rsidR="002E7FFE">
        <w:rPr>
          <w:rFonts w:ascii="Garamond" w:hAnsi="Garamond"/>
        </w:rPr>
        <w:t xml:space="preserve">methods in economics, </w:t>
      </w:r>
      <w:r w:rsidR="002E7FFE" w:rsidRPr="00E61AEE">
        <w:rPr>
          <w:rFonts w:ascii="Garamond" w:hAnsi="Garamond"/>
        </w:rPr>
        <w:t>Handbook o</w:t>
      </w:r>
      <w:r w:rsidR="002E7FFE">
        <w:rPr>
          <w:rFonts w:ascii="Garamond" w:hAnsi="Garamond"/>
        </w:rPr>
        <w:t>f Labor Economics, Vol.</w:t>
      </w:r>
      <w:r>
        <w:rPr>
          <w:rFonts w:ascii="Garamond" w:hAnsi="Garamond"/>
        </w:rPr>
        <w:t xml:space="preserve"> 4</w:t>
      </w:r>
      <w:r w:rsidR="002E7FFE">
        <w:rPr>
          <w:rFonts w:ascii="Garamond" w:hAnsi="Garamond"/>
        </w:rPr>
        <w:t>:</w:t>
      </w:r>
      <w:r>
        <w:rPr>
          <w:rFonts w:ascii="Garamond" w:hAnsi="Garamond"/>
        </w:rPr>
        <w:t xml:space="preserve"> 1-</w:t>
      </w:r>
      <w:r w:rsidR="002E7FFE">
        <w:rPr>
          <w:rFonts w:ascii="Garamond" w:hAnsi="Garamond"/>
        </w:rPr>
        <w:t xml:space="preserve"> 102.</w:t>
      </w:r>
    </w:p>
    <w:p w14:paraId="009285B6" w14:textId="77777777" w:rsidR="00B90916" w:rsidRDefault="007B5586" w:rsidP="00661BBB">
      <w:pPr>
        <w:jc w:val="both"/>
        <w:rPr>
          <w:rFonts w:ascii="Garamond" w:hAnsi="Garamond"/>
        </w:rPr>
      </w:pPr>
      <w:r w:rsidRPr="007B5586">
        <w:rPr>
          <w:rFonts w:ascii="Garamond" w:hAnsi="Garamond"/>
        </w:rPr>
        <w:t>Gruenewald</w:t>
      </w:r>
      <w:r w:rsidR="002E7FFE">
        <w:rPr>
          <w:rFonts w:ascii="Garamond" w:hAnsi="Garamond"/>
        </w:rPr>
        <w:t>,</w:t>
      </w:r>
      <w:r w:rsidRPr="007B5586">
        <w:rPr>
          <w:rFonts w:ascii="Garamond" w:hAnsi="Garamond"/>
        </w:rPr>
        <w:t xml:space="preserve"> T</w:t>
      </w:r>
      <w:r w:rsidR="002E7FFE">
        <w:rPr>
          <w:rFonts w:ascii="Garamond" w:hAnsi="Garamond"/>
        </w:rPr>
        <w:t>.</w:t>
      </w:r>
      <w:r w:rsidRPr="007B5586">
        <w:rPr>
          <w:rFonts w:ascii="Garamond" w:hAnsi="Garamond"/>
        </w:rPr>
        <w:t>L</w:t>
      </w:r>
      <w:r w:rsidR="002E7FFE">
        <w:rPr>
          <w:rFonts w:ascii="Garamond" w:hAnsi="Garamond"/>
        </w:rPr>
        <w:t>.</w:t>
      </w:r>
      <w:r w:rsidRPr="007B5586">
        <w:rPr>
          <w:rFonts w:ascii="Garamond" w:hAnsi="Garamond"/>
        </w:rPr>
        <w:t>, Seeman</w:t>
      </w:r>
      <w:r w:rsidR="002E7FFE">
        <w:rPr>
          <w:rFonts w:ascii="Garamond" w:hAnsi="Garamond"/>
        </w:rPr>
        <w:t>,</w:t>
      </w:r>
      <w:r w:rsidRPr="007B5586">
        <w:rPr>
          <w:rFonts w:ascii="Garamond" w:hAnsi="Garamond"/>
        </w:rPr>
        <w:t xml:space="preserve"> T</w:t>
      </w:r>
      <w:r w:rsidR="002E7FFE">
        <w:rPr>
          <w:rFonts w:ascii="Garamond" w:hAnsi="Garamond"/>
        </w:rPr>
        <w:t>.</w:t>
      </w:r>
      <w:r w:rsidRPr="007B5586">
        <w:rPr>
          <w:rFonts w:ascii="Garamond" w:hAnsi="Garamond"/>
        </w:rPr>
        <w:t>E</w:t>
      </w:r>
      <w:r w:rsidR="002E7FFE">
        <w:rPr>
          <w:rFonts w:ascii="Garamond" w:hAnsi="Garamond"/>
        </w:rPr>
        <w:t>.</w:t>
      </w:r>
      <w:r w:rsidRPr="007B5586">
        <w:rPr>
          <w:rFonts w:ascii="Garamond" w:hAnsi="Garamond"/>
        </w:rPr>
        <w:t>, Ryff</w:t>
      </w:r>
      <w:r w:rsidR="00F87F97">
        <w:rPr>
          <w:rFonts w:ascii="Garamond" w:hAnsi="Garamond"/>
        </w:rPr>
        <w:t>,</w:t>
      </w:r>
      <w:r w:rsidRPr="007B5586">
        <w:rPr>
          <w:rFonts w:ascii="Garamond" w:hAnsi="Garamond"/>
        </w:rPr>
        <w:t xml:space="preserve"> C</w:t>
      </w:r>
      <w:r w:rsidR="00F87F97">
        <w:rPr>
          <w:rFonts w:ascii="Garamond" w:hAnsi="Garamond"/>
        </w:rPr>
        <w:t>.</w:t>
      </w:r>
      <w:r w:rsidRPr="007B5586">
        <w:rPr>
          <w:rFonts w:ascii="Garamond" w:hAnsi="Garamond"/>
        </w:rPr>
        <w:t>D</w:t>
      </w:r>
      <w:r w:rsidR="00F87F97">
        <w:rPr>
          <w:rFonts w:ascii="Garamond" w:hAnsi="Garamond"/>
        </w:rPr>
        <w:t>.</w:t>
      </w:r>
      <w:r w:rsidRPr="007B5586">
        <w:rPr>
          <w:rFonts w:ascii="Garamond" w:hAnsi="Garamond"/>
        </w:rPr>
        <w:t>, et al., (2006)</w:t>
      </w:r>
      <w:r w:rsidR="004740C5">
        <w:rPr>
          <w:rFonts w:ascii="Garamond" w:hAnsi="Garamond"/>
        </w:rPr>
        <w:t>,</w:t>
      </w:r>
      <w:r w:rsidRPr="007B5586">
        <w:rPr>
          <w:rFonts w:ascii="Garamond" w:hAnsi="Garamond"/>
        </w:rPr>
        <w:t> </w:t>
      </w:r>
      <w:r w:rsidRPr="007B5586">
        <w:rPr>
          <w:rFonts w:ascii="Garamond" w:hAnsi="Garamond"/>
          <w:bCs/>
        </w:rPr>
        <w:t>Combinations of biomarkers predictive of later life mortality</w:t>
      </w:r>
      <w:r w:rsidR="00F87F97">
        <w:rPr>
          <w:rFonts w:ascii="Garamond" w:hAnsi="Garamond"/>
          <w:bCs/>
        </w:rPr>
        <w:t>, Proceedings of the National Academy of Sciences</w:t>
      </w:r>
      <w:r w:rsidRPr="007B5586">
        <w:rPr>
          <w:rFonts w:ascii="Garamond" w:hAnsi="Garamond"/>
          <w:i/>
          <w:iCs/>
        </w:rPr>
        <w:t>,</w:t>
      </w:r>
      <w:r w:rsidRPr="007B5586">
        <w:rPr>
          <w:rFonts w:ascii="Garamond" w:hAnsi="Garamond"/>
        </w:rPr>
        <w:t> </w:t>
      </w:r>
      <w:r w:rsidRPr="007B5586">
        <w:rPr>
          <w:rFonts w:ascii="Garamond" w:hAnsi="Garamond"/>
          <w:bCs/>
        </w:rPr>
        <w:t>103:</w:t>
      </w:r>
      <w:r w:rsidRPr="007B5586">
        <w:rPr>
          <w:rFonts w:ascii="Garamond" w:hAnsi="Garamond"/>
        </w:rPr>
        <w:t>14158-14163</w:t>
      </w:r>
      <w:r w:rsidR="00E24306">
        <w:rPr>
          <w:rFonts w:ascii="Garamond" w:hAnsi="Garamond"/>
        </w:rPr>
        <w:t>.</w:t>
      </w:r>
    </w:p>
    <w:p w14:paraId="30302328" w14:textId="77777777" w:rsidR="00A879AE" w:rsidRDefault="00A879AE" w:rsidP="00661BBB">
      <w:pPr>
        <w:jc w:val="both"/>
        <w:rPr>
          <w:rFonts w:ascii="Garamond" w:hAnsi="Garamond"/>
        </w:rPr>
      </w:pPr>
      <w:r>
        <w:rPr>
          <w:rFonts w:ascii="Garamond" w:hAnsi="Garamond"/>
        </w:rPr>
        <w:t>Heckley G., Gerdtham, U.G., Kjellsson, G., (2016) A general method for decomposing the causes of socioeconomic inequality in health, Journal of Health Economics, in press (doi: j.jhealeco.2016.03.006).</w:t>
      </w:r>
    </w:p>
    <w:p w14:paraId="39F39DB1" w14:textId="77777777" w:rsidR="00A879AE" w:rsidRDefault="00A879AE" w:rsidP="00661BBB">
      <w:pPr>
        <w:jc w:val="both"/>
        <w:rPr>
          <w:rFonts w:ascii="Garamond" w:hAnsi="Garamond"/>
        </w:rPr>
      </w:pPr>
    </w:p>
    <w:p w14:paraId="10203983" w14:textId="41C19165" w:rsidR="00B90916" w:rsidRDefault="00B90916" w:rsidP="00661BBB">
      <w:pPr>
        <w:jc w:val="both"/>
        <w:rPr>
          <w:rFonts w:ascii="Garamond" w:hAnsi="Garamond"/>
        </w:rPr>
      </w:pPr>
      <w:r>
        <w:rPr>
          <w:rFonts w:ascii="Garamond" w:hAnsi="Garamond"/>
        </w:rPr>
        <w:t>Holland, P.W., (1986)</w:t>
      </w:r>
      <w:r w:rsidR="00922AC6">
        <w:rPr>
          <w:rFonts w:ascii="Garamond" w:hAnsi="Garamond"/>
        </w:rPr>
        <w:t>, St</w:t>
      </w:r>
      <w:r w:rsidR="00F87F97">
        <w:rPr>
          <w:rFonts w:ascii="Garamond" w:hAnsi="Garamond"/>
        </w:rPr>
        <w:t>atistics and causal i</w:t>
      </w:r>
      <w:r w:rsidR="00922AC6">
        <w:rPr>
          <w:rFonts w:ascii="Garamond" w:hAnsi="Garamond"/>
        </w:rPr>
        <w:t>nference, Journal of the American Statistical Association, 81, 396: 945-960.</w:t>
      </w:r>
    </w:p>
    <w:p w14:paraId="3F4B1861" w14:textId="77777777" w:rsidR="00E24306" w:rsidRDefault="00E24306" w:rsidP="00661BBB">
      <w:pPr>
        <w:jc w:val="both"/>
        <w:rPr>
          <w:rFonts w:ascii="Garamond" w:hAnsi="Garamond"/>
        </w:rPr>
      </w:pPr>
      <w:r>
        <w:rPr>
          <w:rFonts w:ascii="Garamond" w:hAnsi="Garamond"/>
        </w:rPr>
        <w:t>Jann, B., (2008), The Blinder-Oaxaca decomposition for linear regression models, The Stata Journal, 8 (4): 453-79.</w:t>
      </w:r>
    </w:p>
    <w:p w14:paraId="3EF312A6" w14:textId="77777777" w:rsidR="00372392" w:rsidRDefault="00372392" w:rsidP="00661BBB">
      <w:pPr>
        <w:jc w:val="both"/>
        <w:rPr>
          <w:rFonts w:ascii="Garamond" w:hAnsi="Garamond"/>
        </w:rPr>
      </w:pPr>
      <w:r>
        <w:rPr>
          <w:rFonts w:ascii="Garamond" w:hAnsi="Garamond"/>
        </w:rPr>
        <w:t>Jones, A.</w:t>
      </w:r>
      <w:r w:rsidR="00F87F97">
        <w:rPr>
          <w:rFonts w:ascii="Garamond" w:hAnsi="Garamond"/>
        </w:rPr>
        <w:t>M.</w:t>
      </w:r>
      <w:r>
        <w:rPr>
          <w:rFonts w:ascii="Garamond" w:hAnsi="Garamond"/>
        </w:rPr>
        <w:t>, Lomas, J</w:t>
      </w:r>
      <w:r w:rsidR="00F87F97">
        <w:rPr>
          <w:rFonts w:ascii="Garamond" w:hAnsi="Garamond"/>
        </w:rPr>
        <w:t xml:space="preserve">., Rice, N., </w:t>
      </w:r>
      <w:r>
        <w:rPr>
          <w:rFonts w:ascii="Garamond" w:hAnsi="Garamond"/>
        </w:rPr>
        <w:t>(201</w:t>
      </w:r>
      <w:r w:rsidR="00FE572F">
        <w:rPr>
          <w:rFonts w:ascii="Garamond" w:hAnsi="Garamond"/>
        </w:rPr>
        <w:t>5</w:t>
      </w:r>
      <w:r>
        <w:rPr>
          <w:rFonts w:ascii="Garamond" w:hAnsi="Garamond"/>
        </w:rPr>
        <w:t xml:space="preserve">), </w:t>
      </w:r>
      <w:r w:rsidR="00661BBB">
        <w:rPr>
          <w:rFonts w:ascii="Garamond" w:hAnsi="Garamond"/>
          <w:bCs/>
        </w:rPr>
        <w:t>g</w:t>
      </w:r>
      <w:r w:rsidRPr="00413D1B">
        <w:rPr>
          <w:rFonts w:ascii="Garamond" w:hAnsi="Garamond"/>
          <w:bCs/>
        </w:rPr>
        <w:t>oin</w:t>
      </w:r>
      <w:r w:rsidR="00661BBB">
        <w:rPr>
          <w:rFonts w:ascii="Garamond" w:hAnsi="Garamond"/>
          <w:bCs/>
        </w:rPr>
        <w:t>g beyond the mean in healthcare cost regressions: a comparison of methods for estimating the full conditional d</w:t>
      </w:r>
      <w:r w:rsidRPr="00413D1B">
        <w:rPr>
          <w:rFonts w:ascii="Garamond" w:hAnsi="Garamond"/>
          <w:bCs/>
        </w:rPr>
        <w:t>istribution</w:t>
      </w:r>
      <w:r w:rsidR="00413D1B">
        <w:rPr>
          <w:rFonts w:ascii="Garamond" w:hAnsi="Garamond"/>
        </w:rPr>
        <w:t xml:space="preserve">, </w:t>
      </w:r>
      <w:r w:rsidRPr="00413D1B">
        <w:rPr>
          <w:rFonts w:ascii="Garamond" w:hAnsi="Garamond"/>
        </w:rPr>
        <w:t>Health</w:t>
      </w:r>
      <w:r w:rsidR="00FE572F">
        <w:rPr>
          <w:rFonts w:ascii="Garamond" w:hAnsi="Garamond"/>
        </w:rPr>
        <w:t xml:space="preserve"> </w:t>
      </w:r>
      <w:r w:rsidRPr="00413D1B">
        <w:rPr>
          <w:rFonts w:ascii="Garamond" w:hAnsi="Garamond"/>
        </w:rPr>
        <w:t>Economics</w:t>
      </w:r>
      <w:r w:rsidR="00FE572F">
        <w:rPr>
          <w:rFonts w:ascii="Garamond" w:hAnsi="Garamond"/>
        </w:rPr>
        <w:t>, 24: 1192-1212</w:t>
      </w:r>
      <w:r w:rsidRPr="00372392">
        <w:rPr>
          <w:rFonts w:ascii="Garamond" w:hAnsi="Garamond"/>
        </w:rPr>
        <w:t>.</w:t>
      </w:r>
    </w:p>
    <w:p w14:paraId="0E1F3E87" w14:textId="77777777" w:rsidR="00C208DD" w:rsidRDefault="00F87F97" w:rsidP="00661BBB">
      <w:pPr>
        <w:jc w:val="both"/>
        <w:rPr>
          <w:rFonts w:ascii="Garamond" w:hAnsi="Garamond"/>
        </w:rPr>
      </w:pPr>
      <w:r>
        <w:rPr>
          <w:rFonts w:ascii="Garamond" w:hAnsi="Garamond"/>
        </w:rPr>
        <w:t xml:space="preserve">Jones, A.M., </w:t>
      </w:r>
      <w:r w:rsidR="00C208DD" w:rsidRPr="00D9392D">
        <w:rPr>
          <w:rFonts w:ascii="Garamond" w:hAnsi="Garamond"/>
        </w:rPr>
        <w:t>Lopéz Nicolás, A.</w:t>
      </w:r>
      <w:r>
        <w:rPr>
          <w:rFonts w:ascii="Garamond" w:hAnsi="Garamond"/>
        </w:rPr>
        <w:t xml:space="preserve">, (2006), </w:t>
      </w:r>
      <w:r w:rsidR="00C208DD" w:rsidRPr="00D9392D">
        <w:rPr>
          <w:rFonts w:ascii="Garamond" w:hAnsi="Garamond"/>
        </w:rPr>
        <w:t>Allowing for heterogeneity in the decomposition of measu</w:t>
      </w:r>
      <w:r>
        <w:rPr>
          <w:rFonts w:ascii="Garamond" w:hAnsi="Garamond"/>
        </w:rPr>
        <w:t>res of inequality in health</w:t>
      </w:r>
      <w:r w:rsidR="00C208DD" w:rsidRPr="00D9392D">
        <w:rPr>
          <w:rFonts w:ascii="Garamond" w:hAnsi="Garamond"/>
        </w:rPr>
        <w:t xml:space="preserve">, </w:t>
      </w:r>
      <w:r w:rsidR="000204DF" w:rsidRPr="00D9392D">
        <w:rPr>
          <w:rFonts w:ascii="Garamond" w:hAnsi="Garamond"/>
        </w:rPr>
        <w:t>Journal of Economic Inequality</w:t>
      </w:r>
      <w:r>
        <w:rPr>
          <w:rFonts w:ascii="Garamond" w:hAnsi="Garamond"/>
        </w:rPr>
        <w:t>,</w:t>
      </w:r>
      <w:r w:rsidR="00C208DD" w:rsidRPr="00D9392D">
        <w:rPr>
          <w:rFonts w:ascii="Garamond" w:hAnsi="Garamond"/>
        </w:rPr>
        <w:t xml:space="preserve"> 4: 347-365.</w:t>
      </w:r>
    </w:p>
    <w:p w14:paraId="5FAE7AD0" w14:textId="77777777" w:rsidR="006229CB" w:rsidRPr="003D5924" w:rsidRDefault="00267454" w:rsidP="00661BBB">
      <w:pPr>
        <w:jc w:val="both"/>
        <w:rPr>
          <w:rFonts w:ascii="Garamond" w:hAnsi="Garamond"/>
          <w:bCs/>
        </w:rPr>
      </w:pPr>
      <w:r w:rsidRPr="00267454">
        <w:rPr>
          <w:rFonts w:ascii="Garamond" w:hAnsi="Garamond"/>
        </w:rPr>
        <w:t>Ju</w:t>
      </w:r>
      <w:r w:rsidR="005C4CFF">
        <w:rPr>
          <w:rFonts w:ascii="Garamond" w:hAnsi="Garamond"/>
        </w:rPr>
        <w:t>e</w:t>
      </w:r>
      <w:r w:rsidRPr="00267454">
        <w:rPr>
          <w:rFonts w:ascii="Garamond" w:hAnsi="Garamond"/>
        </w:rPr>
        <w:t>rges, H., Kruk, E., Reinhold, S.,</w:t>
      </w:r>
      <w:r w:rsidR="004740C5">
        <w:rPr>
          <w:rFonts w:ascii="Garamond" w:hAnsi="Garamond"/>
        </w:rPr>
        <w:t xml:space="preserve"> </w:t>
      </w:r>
      <w:r w:rsidRPr="00267454">
        <w:rPr>
          <w:rFonts w:ascii="Garamond" w:hAnsi="Garamond"/>
        </w:rPr>
        <w:t xml:space="preserve">(2013), </w:t>
      </w:r>
      <w:r w:rsidRPr="00267454">
        <w:rPr>
          <w:rFonts w:ascii="Garamond" w:hAnsi="Garamond"/>
          <w:bCs/>
        </w:rPr>
        <w:t>The effect of compulsory schooling on health</w:t>
      </w:r>
      <w:r w:rsidR="00F87F97">
        <w:rPr>
          <w:rFonts w:ascii="Garamond" w:hAnsi="Garamond"/>
          <w:bCs/>
        </w:rPr>
        <w:t>-</w:t>
      </w:r>
      <w:r w:rsidRPr="00267454">
        <w:rPr>
          <w:rFonts w:ascii="Garamond" w:hAnsi="Garamond"/>
          <w:bCs/>
        </w:rPr>
        <w:t>evidence from biomarkers, Journal of Population Economics, 26: 645-672.</w:t>
      </w:r>
    </w:p>
    <w:p w14:paraId="43AA5920" w14:textId="77777777" w:rsidR="007F5F25" w:rsidRDefault="00F87F97" w:rsidP="00661BBB">
      <w:pPr>
        <w:jc w:val="both"/>
        <w:rPr>
          <w:rFonts w:ascii="Garamond" w:hAnsi="Garamond"/>
          <w:bCs/>
        </w:rPr>
      </w:pPr>
      <w:r>
        <w:rPr>
          <w:rFonts w:ascii="Garamond" w:hAnsi="Garamond"/>
          <w:bCs/>
        </w:rPr>
        <w:t xml:space="preserve">Kakwani, N. C., </w:t>
      </w:r>
      <w:r w:rsidR="007F5F25" w:rsidRPr="007F5F25">
        <w:rPr>
          <w:rFonts w:ascii="Garamond" w:hAnsi="Garamond"/>
          <w:bCs/>
        </w:rPr>
        <w:t>Wagsta</w:t>
      </w:r>
      <w:r w:rsidR="007F5F25">
        <w:rPr>
          <w:rFonts w:ascii="Garamond" w:hAnsi="Garamond"/>
          <w:bCs/>
        </w:rPr>
        <w:t>ff,</w:t>
      </w:r>
      <w:r>
        <w:rPr>
          <w:rFonts w:ascii="Garamond" w:hAnsi="Garamond"/>
          <w:bCs/>
        </w:rPr>
        <w:t xml:space="preserve"> A., </w:t>
      </w:r>
      <w:r w:rsidR="007F5F25">
        <w:rPr>
          <w:rFonts w:ascii="Garamond" w:hAnsi="Garamond"/>
          <w:bCs/>
        </w:rPr>
        <w:t xml:space="preserve"> </w:t>
      </w:r>
      <w:r>
        <w:rPr>
          <w:rFonts w:ascii="Garamond" w:hAnsi="Garamond"/>
          <w:bCs/>
        </w:rPr>
        <w:t>V</w:t>
      </w:r>
      <w:r w:rsidR="007F5F25">
        <w:rPr>
          <w:rFonts w:ascii="Garamond" w:hAnsi="Garamond"/>
          <w:bCs/>
        </w:rPr>
        <w:t>an Doorslaer</w:t>
      </w:r>
      <w:r w:rsidR="004740C5">
        <w:rPr>
          <w:rFonts w:ascii="Garamond" w:hAnsi="Garamond"/>
          <w:bCs/>
        </w:rPr>
        <w:t>,</w:t>
      </w:r>
      <w:r>
        <w:rPr>
          <w:rFonts w:ascii="Garamond" w:hAnsi="Garamond"/>
          <w:bCs/>
        </w:rPr>
        <w:t xml:space="preserve"> E.,  (1997), Socioeconomic i</w:t>
      </w:r>
      <w:r w:rsidR="007F5F25">
        <w:rPr>
          <w:rFonts w:ascii="Garamond" w:hAnsi="Garamond"/>
          <w:bCs/>
        </w:rPr>
        <w:t xml:space="preserve">nequalities in </w:t>
      </w:r>
      <w:r>
        <w:rPr>
          <w:rFonts w:ascii="Garamond" w:hAnsi="Garamond"/>
          <w:bCs/>
        </w:rPr>
        <w:t>health: measurement, computation and statistical i</w:t>
      </w:r>
      <w:r w:rsidR="007F5F25" w:rsidRPr="007F5F25">
        <w:rPr>
          <w:rFonts w:ascii="Garamond" w:hAnsi="Garamond"/>
          <w:bCs/>
        </w:rPr>
        <w:t>nfer</w:t>
      </w:r>
      <w:r w:rsidR="007F5F25">
        <w:rPr>
          <w:rFonts w:ascii="Garamond" w:hAnsi="Garamond"/>
          <w:bCs/>
        </w:rPr>
        <w:t>ence, Journal of Econometrics</w:t>
      </w:r>
      <w:r>
        <w:rPr>
          <w:rFonts w:ascii="Garamond" w:hAnsi="Garamond"/>
          <w:bCs/>
        </w:rPr>
        <w:t>,</w:t>
      </w:r>
      <w:r w:rsidR="007F5F25">
        <w:rPr>
          <w:rFonts w:ascii="Garamond" w:hAnsi="Garamond"/>
          <w:bCs/>
        </w:rPr>
        <w:t xml:space="preserve"> </w:t>
      </w:r>
      <w:r w:rsidR="007F5F25" w:rsidRPr="007F5F25">
        <w:rPr>
          <w:rFonts w:ascii="Garamond" w:hAnsi="Garamond"/>
          <w:bCs/>
        </w:rPr>
        <w:t>77(1): 87–104.</w:t>
      </w:r>
    </w:p>
    <w:p w14:paraId="7929F91D" w14:textId="77777777" w:rsidR="00080AC1" w:rsidRDefault="000859CA" w:rsidP="00661BBB">
      <w:pPr>
        <w:jc w:val="both"/>
        <w:rPr>
          <w:rFonts w:ascii="Garamond" w:hAnsi="Garamond"/>
          <w:bCs/>
        </w:rPr>
      </w:pPr>
      <w:r w:rsidRPr="000859CA">
        <w:rPr>
          <w:rFonts w:ascii="Garamond" w:hAnsi="Garamond"/>
        </w:rPr>
        <w:t>Mackenbach, J</w:t>
      </w:r>
      <w:r w:rsidR="00550D2A">
        <w:rPr>
          <w:rFonts w:ascii="Garamond" w:hAnsi="Garamond"/>
        </w:rPr>
        <w:t>.</w:t>
      </w:r>
      <w:r w:rsidRPr="000859CA">
        <w:rPr>
          <w:rFonts w:ascii="Garamond" w:hAnsi="Garamond"/>
        </w:rPr>
        <w:t>P</w:t>
      </w:r>
      <w:r w:rsidR="00550D2A">
        <w:rPr>
          <w:rFonts w:ascii="Garamond" w:hAnsi="Garamond"/>
        </w:rPr>
        <w:t>.</w:t>
      </w:r>
      <w:r w:rsidR="00661BBB">
        <w:rPr>
          <w:rFonts w:ascii="Garamond" w:hAnsi="Garamond"/>
        </w:rPr>
        <w:t xml:space="preserve">, Martikainen, P., Looman, </w:t>
      </w:r>
      <w:r w:rsidR="00936539">
        <w:rPr>
          <w:rFonts w:ascii="Garamond" w:hAnsi="Garamond"/>
        </w:rPr>
        <w:t>et al.</w:t>
      </w:r>
      <w:r w:rsidR="00550D2A">
        <w:rPr>
          <w:rFonts w:ascii="Garamond" w:hAnsi="Garamond"/>
        </w:rPr>
        <w:t xml:space="preserve">, </w:t>
      </w:r>
      <w:r w:rsidRPr="000859CA">
        <w:rPr>
          <w:rFonts w:ascii="Garamond" w:hAnsi="Garamond"/>
        </w:rPr>
        <w:t xml:space="preserve">(2005), </w:t>
      </w:r>
      <w:r w:rsidRPr="000859CA">
        <w:rPr>
          <w:rFonts w:ascii="Garamond" w:hAnsi="Garamond"/>
          <w:bCs/>
        </w:rPr>
        <w:t>The shape of the relationship between income and self-assessed health: an international study, International Journal of Epidemology, 34, 2: 286-293.</w:t>
      </w:r>
    </w:p>
    <w:p w14:paraId="5A46BB3B" w14:textId="77777777" w:rsidR="00E24306" w:rsidRDefault="00267454" w:rsidP="00661BBB">
      <w:pPr>
        <w:jc w:val="both"/>
        <w:rPr>
          <w:rFonts w:ascii="Garamond" w:hAnsi="Garamond"/>
          <w:bCs/>
        </w:rPr>
      </w:pPr>
      <w:r>
        <w:rPr>
          <w:rFonts w:ascii="Garamond" w:hAnsi="Garamond"/>
          <w:bCs/>
        </w:rPr>
        <w:t>Muennig,</w:t>
      </w:r>
      <w:r w:rsidR="00C86112">
        <w:rPr>
          <w:rFonts w:ascii="Garamond" w:hAnsi="Garamond"/>
          <w:bCs/>
        </w:rPr>
        <w:t xml:space="preserve"> </w:t>
      </w:r>
      <w:r>
        <w:rPr>
          <w:rFonts w:ascii="Garamond" w:hAnsi="Garamond"/>
          <w:bCs/>
        </w:rPr>
        <w:t xml:space="preserve">P., Sohler, N., Mahato, B., (2007), </w:t>
      </w:r>
      <w:r w:rsidRPr="00267454">
        <w:rPr>
          <w:rFonts w:ascii="Garamond" w:hAnsi="Garamond"/>
          <w:bCs/>
        </w:rPr>
        <w:t>Socioeconomic status as an independent predictor of physiological</w:t>
      </w:r>
      <w:r>
        <w:rPr>
          <w:rFonts w:ascii="Garamond" w:hAnsi="Garamond"/>
          <w:bCs/>
        </w:rPr>
        <w:t xml:space="preserve"> </w:t>
      </w:r>
      <w:r w:rsidRPr="00267454">
        <w:rPr>
          <w:rFonts w:ascii="Garamond" w:hAnsi="Garamond"/>
          <w:bCs/>
        </w:rPr>
        <w:t>biomark</w:t>
      </w:r>
      <w:r w:rsidR="00661BBB">
        <w:rPr>
          <w:rFonts w:ascii="Garamond" w:hAnsi="Garamond"/>
          <w:bCs/>
        </w:rPr>
        <w:t>ers of cardiovascular disease: e</w:t>
      </w:r>
      <w:r w:rsidRPr="00267454">
        <w:rPr>
          <w:rFonts w:ascii="Garamond" w:hAnsi="Garamond"/>
          <w:bCs/>
        </w:rPr>
        <w:t>vidence from NHANES</w:t>
      </w:r>
      <w:r>
        <w:rPr>
          <w:rFonts w:ascii="Garamond" w:hAnsi="Garamond"/>
          <w:bCs/>
        </w:rPr>
        <w:t>, Preventive Medicine, 45: 35-40.</w:t>
      </w:r>
    </w:p>
    <w:p w14:paraId="66899D46" w14:textId="77777777" w:rsidR="00E24306" w:rsidRPr="00E24306" w:rsidRDefault="00E24306" w:rsidP="00661BBB">
      <w:pPr>
        <w:pStyle w:val="FootnoteText"/>
        <w:jc w:val="both"/>
        <w:rPr>
          <w:rFonts w:ascii="Garamond" w:hAnsi="Garamond"/>
          <w:bCs/>
          <w:sz w:val="22"/>
          <w:szCs w:val="22"/>
        </w:rPr>
      </w:pPr>
      <w:r>
        <w:rPr>
          <w:rFonts w:ascii="Garamond" w:hAnsi="Garamond"/>
          <w:bCs/>
          <w:sz w:val="22"/>
          <w:szCs w:val="22"/>
        </w:rPr>
        <w:t xml:space="preserve">Neumark, D., (1988), </w:t>
      </w:r>
      <w:r w:rsidR="00E97E32">
        <w:rPr>
          <w:rFonts w:ascii="Garamond" w:hAnsi="Garamond"/>
          <w:bCs/>
          <w:sz w:val="22"/>
          <w:szCs w:val="22"/>
        </w:rPr>
        <w:t>Employers’ discriminatory behavior and the estimation of w</w:t>
      </w:r>
      <w:r w:rsidRPr="00E24306">
        <w:rPr>
          <w:rFonts w:ascii="Garamond" w:hAnsi="Garamond"/>
          <w:bCs/>
          <w:sz w:val="22"/>
          <w:szCs w:val="22"/>
        </w:rPr>
        <w:t>age</w:t>
      </w:r>
    </w:p>
    <w:p w14:paraId="48637446" w14:textId="77777777" w:rsidR="00E24306" w:rsidRDefault="00E97E32" w:rsidP="00661BBB">
      <w:pPr>
        <w:pStyle w:val="FootnoteText"/>
        <w:jc w:val="both"/>
        <w:rPr>
          <w:rFonts w:ascii="Garamond" w:hAnsi="Garamond"/>
          <w:bCs/>
          <w:sz w:val="22"/>
          <w:szCs w:val="22"/>
        </w:rPr>
      </w:pPr>
      <w:r>
        <w:rPr>
          <w:rFonts w:ascii="Garamond" w:hAnsi="Garamond"/>
          <w:bCs/>
          <w:sz w:val="22"/>
          <w:szCs w:val="22"/>
        </w:rPr>
        <w:t>discrimination,</w:t>
      </w:r>
      <w:r w:rsidR="00E24306" w:rsidRPr="00E24306">
        <w:rPr>
          <w:rFonts w:ascii="Garamond" w:hAnsi="Garamond"/>
          <w:bCs/>
          <w:sz w:val="22"/>
          <w:szCs w:val="22"/>
        </w:rPr>
        <w:t xml:space="preserve"> The Journal of Human Resources</w:t>
      </w:r>
      <w:r>
        <w:rPr>
          <w:rFonts w:ascii="Garamond" w:hAnsi="Garamond"/>
          <w:bCs/>
          <w:sz w:val="22"/>
          <w:szCs w:val="22"/>
        </w:rPr>
        <w:t>,</w:t>
      </w:r>
      <w:r w:rsidR="00E24306" w:rsidRPr="00E24306">
        <w:rPr>
          <w:rFonts w:ascii="Garamond" w:hAnsi="Garamond"/>
          <w:bCs/>
          <w:sz w:val="22"/>
          <w:szCs w:val="22"/>
        </w:rPr>
        <w:t xml:space="preserve"> 23: 279–295</w:t>
      </w:r>
      <w:r>
        <w:rPr>
          <w:rFonts w:ascii="Garamond" w:hAnsi="Garamond"/>
          <w:bCs/>
          <w:sz w:val="22"/>
          <w:szCs w:val="22"/>
        </w:rPr>
        <w:t>.</w:t>
      </w:r>
    </w:p>
    <w:p w14:paraId="2A708636" w14:textId="77777777" w:rsidR="00E24306" w:rsidRDefault="00E24306" w:rsidP="00661BBB">
      <w:pPr>
        <w:pStyle w:val="FootnoteText"/>
        <w:jc w:val="both"/>
        <w:rPr>
          <w:rFonts w:ascii="Garamond" w:hAnsi="Garamond"/>
          <w:bCs/>
          <w:sz w:val="22"/>
          <w:szCs w:val="22"/>
        </w:rPr>
      </w:pPr>
    </w:p>
    <w:p w14:paraId="39D984DB" w14:textId="77777777" w:rsidR="00E24306" w:rsidRDefault="00E24306" w:rsidP="00661BBB">
      <w:pPr>
        <w:pStyle w:val="FootnoteText"/>
        <w:jc w:val="both"/>
        <w:rPr>
          <w:rFonts w:ascii="Garamond" w:hAnsi="Garamond"/>
          <w:bCs/>
          <w:sz w:val="22"/>
          <w:szCs w:val="22"/>
        </w:rPr>
      </w:pPr>
      <w:r>
        <w:rPr>
          <w:rFonts w:ascii="Garamond" w:hAnsi="Garamond"/>
          <w:bCs/>
          <w:sz w:val="22"/>
          <w:szCs w:val="22"/>
        </w:rPr>
        <w:t>Oaxaca, R.,  (1973),</w:t>
      </w:r>
      <w:r w:rsidR="00E97E32">
        <w:rPr>
          <w:rFonts w:ascii="Garamond" w:hAnsi="Garamond"/>
          <w:bCs/>
          <w:sz w:val="22"/>
          <w:szCs w:val="22"/>
        </w:rPr>
        <w:t xml:space="preserve"> Male-Female wage d</w:t>
      </w:r>
      <w:r>
        <w:rPr>
          <w:rFonts w:ascii="Garamond" w:hAnsi="Garamond"/>
          <w:bCs/>
          <w:sz w:val="22"/>
          <w:szCs w:val="22"/>
        </w:rPr>
        <w:t>iff</w:t>
      </w:r>
      <w:r w:rsidR="00E97E32">
        <w:rPr>
          <w:rFonts w:ascii="Garamond" w:hAnsi="Garamond" w:cs="Garamond"/>
          <w:bCs/>
          <w:sz w:val="22"/>
          <w:szCs w:val="22"/>
        </w:rPr>
        <w:t>erentials in urban labor markets,</w:t>
      </w:r>
      <w:r w:rsidRPr="00E24306">
        <w:rPr>
          <w:rFonts w:ascii="Garamond" w:hAnsi="Garamond" w:cs="Garamond"/>
          <w:bCs/>
          <w:sz w:val="22"/>
          <w:szCs w:val="22"/>
        </w:rPr>
        <w:t xml:space="preserve"> International Economic Review</w:t>
      </w:r>
      <w:r w:rsidR="00E97E32">
        <w:rPr>
          <w:rFonts w:ascii="Garamond" w:hAnsi="Garamond" w:cs="Garamond"/>
          <w:bCs/>
          <w:sz w:val="22"/>
          <w:szCs w:val="22"/>
        </w:rPr>
        <w:t>,</w:t>
      </w:r>
      <w:r w:rsidRPr="00E24306">
        <w:rPr>
          <w:rFonts w:ascii="Garamond" w:hAnsi="Garamond" w:cs="Garamond"/>
          <w:bCs/>
          <w:sz w:val="22"/>
          <w:szCs w:val="22"/>
        </w:rPr>
        <w:t xml:space="preserve"> 14: 693–709.</w:t>
      </w:r>
    </w:p>
    <w:p w14:paraId="68CAAB16" w14:textId="77777777" w:rsidR="00267454" w:rsidRDefault="00267454" w:rsidP="00661BBB">
      <w:pPr>
        <w:pStyle w:val="FootnoteText"/>
        <w:jc w:val="both"/>
        <w:rPr>
          <w:rFonts w:ascii="Garamond" w:hAnsi="Garamond"/>
          <w:bCs/>
          <w:sz w:val="22"/>
          <w:szCs w:val="22"/>
        </w:rPr>
      </w:pPr>
    </w:p>
    <w:p w14:paraId="4212498D" w14:textId="77777777" w:rsidR="00D21ED2" w:rsidRPr="00D21ED2" w:rsidRDefault="00D21ED2" w:rsidP="00661BBB">
      <w:pPr>
        <w:autoSpaceDE w:val="0"/>
        <w:autoSpaceDN w:val="0"/>
        <w:adjustRightInd w:val="0"/>
        <w:spacing w:after="0"/>
        <w:jc w:val="both"/>
        <w:rPr>
          <w:rFonts w:ascii="Garamond" w:hAnsi="Garamond" w:cs="Garamond"/>
          <w:bCs/>
        </w:rPr>
      </w:pPr>
      <w:r w:rsidRPr="00E97E32">
        <w:rPr>
          <w:rFonts w:ascii="Garamond" w:hAnsi="Garamond" w:cs="Garamond"/>
          <w:bCs/>
        </w:rPr>
        <w:t>Perreault, L., Ma, Y., Dagogo-Jack, S., et al</w:t>
      </w:r>
      <w:r w:rsidR="00E97E32" w:rsidRPr="00E97E32">
        <w:rPr>
          <w:rFonts w:ascii="Garamond" w:hAnsi="Garamond" w:cs="Garamond"/>
          <w:bCs/>
        </w:rPr>
        <w:t>.,</w:t>
      </w:r>
      <w:r w:rsidRPr="00E97E32">
        <w:rPr>
          <w:rFonts w:ascii="Garamond" w:hAnsi="Garamond" w:cs="Garamond"/>
          <w:bCs/>
        </w:rPr>
        <w:t xml:space="preserve"> </w:t>
      </w:r>
      <w:r w:rsidRPr="00D21ED2">
        <w:rPr>
          <w:rFonts w:ascii="Garamond" w:hAnsi="Garamond" w:cs="Garamond"/>
          <w:bCs/>
        </w:rPr>
        <w:t>(2008)</w:t>
      </w:r>
      <w:r w:rsidR="00E97E32">
        <w:rPr>
          <w:rFonts w:ascii="Garamond" w:hAnsi="Garamond" w:cs="Garamond"/>
          <w:bCs/>
        </w:rPr>
        <w:t>, Sex differences in diabetes risk and the effect of intensive lifestyle modification in the diabetes prevention program,</w:t>
      </w:r>
      <w:r w:rsidRPr="00D21ED2">
        <w:rPr>
          <w:rFonts w:ascii="Garamond" w:hAnsi="Garamond" w:cs="Garamond"/>
          <w:bCs/>
        </w:rPr>
        <w:t xml:space="preserve"> Diabetes care 31: 1416-1421</w:t>
      </w:r>
      <w:r>
        <w:rPr>
          <w:rFonts w:ascii="Garamond" w:hAnsi="Garamond" w:cs="Garamond"/>
          <w:bCs/>
        </w:rPr>
        <w:t>.</w:t>
      </w:r>
    </w:p>
    <w:p w14:paraId="529C88E7" w14:textId="77777777" w:rsidR="00D21ED2" w:rsidRPr="00D21ED2" w:rsidRDefault="00D21ED2" w:rsidP="00661BBB">
      <w:pPr>
        <w:autoSpaceDE w:val="0"/>
        <w:autoSpaceDN w:val="0"/>
        <w:adjustRightInd w:val="0"/>
        <w:spacing w:after="0"/>
        <w:jc w:val="both"/>
        <w:rPr>
          <w:rFonts w:ascii="Garamond" w:hAnsi="Garamond" w:cs="Garamond"/>
          <w:bCs/>
        </w:rPr>
      </w:pPr>
    </w:p>
    <w:p w14:paraId="5A3CE839" w14:textId="77777777" w:rsidR="007B5586" w:rsidRDefault="00267454" w:rsidP="00661BBB">
      <w:pPr>
        <w:autoSpaceDE w:val="0"/>
        <w:autoSpaceDN w:val="0"/>
        <w:adjustRightInd w:val="0"/>
        <w:spacing w:after="0"/>
        <w:jc w:val="both"/>
        <w:rPr>
          <w:rFonts w:ascii="Garamond" w:hAnsi="Garamond"/>
          <w:bCs/>
        </w:rPr>
      </w:pPr>
      <w:r w:rsidRPr="00267454">
        <w:rPr>
          <w:rFonts w:ascii="Garamond" w:hAnsi="Garamond"/>
          <w:bCs/>
        </w:rPr>
        <w:t xml:space="preserve">Ploubidis, G.B., Benova, L., Grundy, E., </w:t>
      </w:r>
      <w:r w:rsidR="00661BBB">
        <w:rPr>
          <w:rFonts w:ascii="Garamond" w:hAnsi="Garamond"/>
          <w:bCs/>
        </w:rPr>
        <w:t xml:space="preserve">et al., </w:t>
      </w:r>
      <w:r w:rsidR="00E97E32">
        <w:rPr>
          <w:rFonts w:ascii="Garamond" w:hAnsi="Garamond"/>
          <w:bCs/>
        </w:rPr>
        <w:t>(2014), Lifelong socio economic p</w:t>
      </w:r>
      <w:r w:rsidRPr="00267454">
        <w:rPr>
          <w:rFonts w:ascii="Garamond" w:hAnsi="Garamond"/>
          <w:bCs/>
        </w:rPr>
        <w:t>osition and biomarkers of later life health:</w:t>
      </w:r>
      <w:r w:rsidR="005848AE">
        <w:rPr>
          <w:rFonts w:ascii="Garamond" w:hAnsi="Garamond"/>
          <w:bCs/>
        </w:rPr>
        <w:t xml:space="preserve"> </w:t>
      </w:r>
      <w:r w:rsidR="00E97E32">
        <w:rPr>
          <w:rFonts w:ascii="Garamond" w:hAnsi="Garamond"/>
          <w:bCs/>
        </w:rPr>
        <w:t>t</w:t>
      </w:r>
      <w:r w:rsidRPr="00267454">
        <w:rPr>
          <w:rFonts w:ascii="Garamond" w:hAnsi="Garamond"/>
          <w:bCs/>
        </w:rPr>
        <w:t>esting the contribution of competing hypotheses</w:t>
      </w:r>
      <w:r>
        <w:rPr>
          <w:rFonts w:ascii="Garamond" w:hAnsi="Garamond"/>
          <w:bCs/>
        </w:rPr>
        <w:t>, Social Science and Medicine, 119: 258-265.</w:t>
      </w:r>
    </w:p>
    <w:p w14:paraId="6DA5B888" w14:textId="77777777" w:rsidR="00424D7D" w:rsidRDefault="00424D7D" w:rsidP="00661BBB">
      <w:pPr>
        <w:autoSpaceDE w:val="0"/>
        <w:autoSpaceDN w:val="0"/>
        <w:adjustRightInd w:val="0"/>
        <w:spacing w:after="0"/>
        <w:jc w:val="both"/>
        <w:rPr>
          <w:rFonts w:ascii="Garamond" w:hAnsi="Garamond"/>
          <w:bCs/>
        </w:rPr>
      </w:pPr>
    </w:p>
    <w:p w14:paraId="09A533D8" w14:textId="77777777" w:rsidR="007B5586" w:rsidRDefault="00D37755" w:rsidP="00661BBB">
      <w:pPr>
        <w:autoSpaceDE w:val="0"/>
        <w:autoSpaceDN w:val="0"/>
        <w:adjustRightInd w:val="0"/>
        <w:spacing w:after="0"/>
        <w:jc w:val="both"/>
        <w:rPr>
          <w:rFonts w:ascii="Garamond" w:hAnsi="Garamond"/>
          <w:bCs/>
        </w:rPr>
      </w:pPr>
      <w:r w:rsidRPr="00151CB8">
        <w:rPr>
          <w:rFonts w:ascii="Garamond" w:hAnsi="Garamond"/>
          <w:bCs/>
        </w:rPr>
        <w:t>Hernández-</w:t>
      </w:r>
      <w:r w:rsidR="00424D7D">
        <w:rPr>
          <w:rFonts w:ascii="Garamond" w:hAnsi="Garamond"/>
          <w:bCs/>
        </w:rPr>
        <w:t xml:space="preserve">Quevedo, C., Jones, A.M., Rice, N., (2004), </w:t>
      </w:r>
      <w:r w:rsidR="00424D7D" w:rsidRPr="00424D7D">
        <w:rPr>
          <w:rFonts w:ascii="Garamond" w:hAnsi="Garamond"/>
          <w:bCs/>
        </w:rPr>
        <w:t>Reporting bias and heterogeneity in self</w:t>
      </w:r>
      <w:r w:rsidR="00424D7D">
        <w:rPr>
          <w:rFonts w:ascii="Garamond" w:hAnsi="Garamond"/>
          <w:bCs/>
        </w:rPr>
        <w:t>-</w:t>
      </w:r>
      <w:r w:rsidR="00424D7D" w:rsidRPr="00424D7D">
        <w:rPr>
          <w:rFonts w:ascii="Garamond" w:hAnsi="Garamond"/>
          <w:bCs/>
        </w:rPr>
        <w:t>assessed hea</w:t>
      </w:r>
      <w:r w:rsidR="00424D7D">
        <w:rPr>
          <w:rFonts w:ascii="Garamond" w:hAnsi="Garamond"/>
          <w:bCs/>
        </w:rPr>
        <w:t xml:space="preserve">lth. Evidence from the British </w:t>
      </w:r>
      <w:r w:rsidR="00424D7D" w:rsidRPr="00424D7D">
        <w:rPr>
          <w:rFonts w:ascii="Garamond" w:hAnsi="Garamond"/>
          <w:bCs/>
        </w:rPr>
        <w:t>Household Panel Survey</w:t>
      </w:r>
      <w:r w:rsidR="00424D7D">
        <w:rPr>
          <w:rFonts w:ascii="Garamond" w:hAnsi="Garamond"/>
          <w:bCs/>
        </w:rPr>
        <w:t>, Discussion Papers 18/2004, University of York.</w:t>
      </w:r>
    </w:p>
    <w:p w14:paraId="21C29174" w14:textId="77777777" w:rsidR="00424D7D" w:rsidRPr="00267454" w:rsidRDefault="00424D7D" w:rsidP="00661BBB">
      <w:pPr>
        <w:autoSpaceDE w:val="0"/>
        <w:autoSpaceDN w:val="0"/>
        <w:adjustRightInd w:val="0"/>
        <w:spacing w:after="0"/>
        <w:jc w:val="both"/>
        <w:rPr>
          <w:rFonts w:ascii="Garamond" w:hAnsi="Garamond"/>
          <w:bCs/>
        </w:rPr>
      </w:pPr>
    </w:p>
    <w:p w14:paraId="4052DA85" w14:textId="77777777" w:rsidR="00267454" w:rsidRDefault="007B5586" w:rsidP="00661BBB">
      <w:pPr>
        <w:pStyle w:val="FootnoteText"/>
        <w:jc w:val="both"/>
        <w:rPr>
          <w:rFonts w:ascii="Garamond" w:hAnsi="Garamond"/>
          <w:bCs/>
          <w:sz w:val="22"/>
          <w:szCs w:val="22"/>
        </w:rPr>
      </w:pPr>
      <w:r w:rsidRPr="007B5586">
        <w:rPr>
          <w:rFonts w:ascii="Garamond" w:hAnsi="Garamond"/>
          <w:bCs/>
          <w:sz w:val="22"/>
          <w:szCs w:val="22"/>
        </w:rPr>
        <w:lastRenderedPageBreak/>
        <w:t>Sattar</w:t>
      </w:r>
      <w:r w:rsidR="003F0ACE">
        <w:rPr>
          <w:rFonts w:ascii="Garamond" w:hAnsi="Garamond"/>
          <w:bCs/>
          <w:sz w:val="22"/>
          <w:szCs w:val="22"/>
        </w:rPr>
        <w:t>,</w:t>
      </w:r>
      <w:r w:rsidRPr="007B5586">
        <w:rPr>
          <w:rFonts w:ascii="Garamond" w:hAnsi="Garamond"/>
          <w:bCs/>
          <w:sz w:val="22"/>
          <w:szCs w:val="22"/>
        </w:rPr>
        <w:t xml:space="preserve"> N</w:t>
      </w:r>
      <w:r w:rsidR="003F0ACE">
        <w:rPr>
          <w:rFonts w:ascii="Garamond" w:hAnsi="Garamond"/>
          <w:bCs/>
          <w:sz w:val="22"/>
          <w:szCs w:val="22"/>
        </w:rPr>
        <w:t>.</w:t>
      </w:r>
      <w:r w:rsidRPr="007B5586">
        <w:rPr>
          <w:rFonts w:ascii="Garamond" w:hAnsi="Garamond"/>
          <w:bCs/>
          <w:sz w:val="22"/>
          <w:szCs w:val="22"/>
        </w:rPr>
        <w:t>, Murra</w:t>
      </w:r>
      <w:r w:rsidR="003F0ACE">
        <w:rPr>
          <w:rFonts w:ascii="Garamond" w:hAnsi="Garamond"/>
          <w:bCs/>
          <w:sz w:val="22"/>
          <w:szCs w:val="22"/>
        </w:rPr>
        <w:t>,</w:t>
      </w:r>
      <w:r w:rsidRPr="007B5586">
        <w:rPr>
          <w:rFonts w:ascii="Garamond" w:hAnsi="Garamond"/>
          <w:bCs/>
          <w:sz w:val="22"/>
          <w:szCs w:val="22"/>
        </w:rPr>
        <w:t xml:space="preserve"> H</w:t>
      </w:r>
      <w:r w:rsidR="00D37755">
        <w:rPr>
          <w:rFonts w:ascii="Garamond" w:hAnsi="Garamond"/>
          <w:bCs/>
          <w:sz w:val="22"/>
          <w:szCs w:val="22"/>
        </w:rPr>
        <w:t>.</w:t>
      </w:r>
      <w:r w:rsidRPr="007B5586">
        <w:rPr>
          <w:rFonts w:ascii="Garamond" w:hAnsi="Garamond"/>
          <w:bCs/>
          <w:sz w:val="22"/>
          <w:szCs w:val="22"/>
        </w:rPr>
        <w:t>M</w:t>
      </w:r>
      <w:r w:rsidR="00D37755">
        <w:rPr>
          <w:rFonts w:ascii="Garamond" w:hAnsi="Garamond"/>
          <w:bCs/>
          <w:sz w:val="22"/>
          <w:szCs w:val="22"/>
        </w:rPr>
        <w:t>.</w:t>
      </w:r>
      <w:r w:rsidRPr="007B5586">
        <w:rPr>
          <w:rFonts w:ascii="Garamond" w:hAnsi="Garamond"/>
          <w:bCs/>
          <w:sz w:val="22"/>
          <w:szCs w:val="22"/>
        </w:rPr>
        <w:t>, Welsh</w:t>
      </w:r>
      <w:r w:rsidR="003F0ACE">
        <w:rPr>
          <w:rFonts w:ascii="Garamond" w:hAnsi="Garamond"/>
          <w:bCs/>
          <w:sz w:val="22"/>
          <w:szCs w:val="22"/>
        </w:rPr>
        <w:t>,</w:t>
      </w:r>
      <w:r w:rsidRPr="007B5586">
        <w:rPr>
          <w:rFonts w:ascii="Garamond" w:hAnsi="Garamond"/>
          <w:bCs/>
          <w:sz w:val="22"/>
          <w:szCs w:val="22"/>
        </w:rPr>
        <w:t xml:space="preserve"> P</w:t>
      </w:r>
      <w:r w:rsidR="00D37755">
        <w:rPr>
          <w:rFonts w:ascii="Garamond" w:hAnsi="Garamond"/>
          <w:bCs/>
          <w:sz w:val="22"/>
          <w:szCs w:val="22"/>
        </w:rPr>
        <w:t>.</w:t>
      </w:r>
      <w:r w:rsidRPr="007B5586">
        <w:rPr>
          <w:rFonts w:ascii="Garamond" w:hAnsi="Garamond"/>
          <w:bCs/>
          <w:sz w:val="22"/>
          <w:szCs w:val="22"/>
        </w:rPr>
        <w:t>,</w:t>
      </w:r>
      <w:r w:rsidR="00D37755">
        <w:rPr>
          <w:rFonts w:ascii="Garamond" w:hAnsi="Garamond"/>
          <w:bCs/>
          <w:sz w:val="22"/>
          <w:szCs w:val="22"/>
        </w:rPr>
        <w:t xml:space="preserve"> </w:t>
      </w:r>
      <w:r w:rsidR="00E97E32">
        <w:rPr>
          <w:rFonts w:ascii="Garamond" w:hAnsi="Garamond"/>
          <w:bCs/>
          <w:sz w:val="22"/>
          <w:szCs w:val="22"/>
        </w:rPr>
        <w:t>et al.</w:t>
      </w:r>
      <w:r w:rsidR="00D37755">
        <w:rPr>
          <w:rFonts w:ascii="Garamond" w:hAnsi="Garamond"/>
          <w:bCs/>
          <w:sz w:val="22"/>
          <w:szCs w:val="22"/>
        </w:rPr>
        <w:t>,</w:t>
      </w:r>
      <w:r w:rsidRPr="007B5586">
        <w:rPr>
          <w:rFonts w:ascii="Garamond" w:hAnsi="Garamond"/>
          <w:bCs/>
          <w:sz w:val="22"/>
          <w:szCs w:val="22"/>
        </w:rPr>
        <w:t xml:space="preserve"> (2009)</w:t>
      </w:r>
      <w:r w:rsidR="00D37755">
        <w:rPr>
          <w:rFonts w:ascii="Garamond" w:hAnsi="Garamond"/>
          <w:bCs/>
          <w:sz w:val="22"/>
          <w:szCs w:val="22"/>
        </w:rPr>
        <w:t>,</w:t>
      </w:r>
      <w:r w:rsidRPr="007B5586">
        <w:rPr>
          <w:rFonts w:ascii="Garamond" w:hAnsi="Garamond"/>
          <w:bCs/>
          <w:sz w:val="22"/>
          <w:szCs w:val="22"/>
        </w:rPr>
        <w:t xml:space="preserve"> Are markers of inflammation more strongly associated with risk for fatal than for nonfatal vascular events?</w:t>
      </w:r>
      <w:r>
        <w:rPr>
          <w:rFonts w:ascii="Garamond" w:hAnsi="Garamond"/>
          <w:bCs/>
          <w:sz w:val="22"/>
          <w:szCs w:val="22"/>
        </w:rPr>
        <w:t xml:space="preserve"> </w:t>
      </w:r>
      <w:r w:rsidRPr="007B5586">
        <w:rPr>
          <w:rFonts w:ascii="Garamond" w:hAnsi="Garamond"/>
          <w:bCs/>
          <w:iCs/>
          <w:sz w:val="22"/>
          <w:szCs w:val="22"/>
        </w:rPr>
        <w:t>Plos Medicine</w:t>
      </w:r>
      <w:r w:rsidRPr="007B5586">
        <w:rPr>
          <w:rFonts w:ascii="Garamond" w:hAnsi="Garamond"/>
          <w:bCs/>
          <w:sz w:val="22"/>
          <w:szCs w:val="22"/>
        </w:rPr>
        <w:t>, 6:1-10. </w:t>
      </w:r>
      <w:r w:rsidRPr="007B5586">
        <w:rPr>
          <w:rFonts w:ascii="Garamond" w:hAnsi="Garamond"/>
          <w:bCs/>
          <w:noProof/>
          <w:sz w:val="22"/>
          <w:szCs w:val="22"/>
          <w:lang w:val="en-GB" w:eastAsia="en-GB"/>
        </w:rPr>
        <w:drawing>
          <wp:inline distT="0" distB="0" distL="0" distR="0" wp14:anchorId="0C13A519" wp14:editId="68B16F2B">
            <wp:extent cx="6350" cy="6350"/>
            <wp:effectExtent l="0" t="0" r="0" b="0"/>
            <wp:docPr id="6" name="Immagine 6" descr="OpenUR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URL">
                      <a:hlinkClick r:id="rId10"/>
                    </pic:cNvPr>
                    <pic:cNvPicPr>
                      <a:picLocks noChangeAspect="1" noChangeArrowheads="1"/>
                    </pic:cNvPicPr>
                  </pic:nvPicPr>
                  <pic:blipFill>
                    <a:blip r:embed="rId11"/>
                    <a:srcRect/>
                    <a:stretch>
                      <a:fillRect/>
                    </a:stretch>
                  </pic:blipFill>
                  <pic:spPr bwMode="auto">
                    <a:xfrm>
                      <a:off x="0" y="0"/>
                      <a:ext cx="6350" cy="6350"/>
                    </a:xfrm>
                    <a:prstGeom prst="rect">
                      <a:avLst/>
                    </a:prstGeom>
                    <a:noFill/>
                    <a:ln w="9525">
                      <a:noFill/>
                      <a:miter lim="800000"/>
                      <a:headEnd/>
                      <a:tailEnd/>
                    </a:ln>
                  </pic:spPr>
                </pic:pic>
              </a:graphicData>
            </a:graphic>
          </wp:inline>
        </w:drawing>
      </w:r>
    </w:p>
    <w:p w14:paraId="4595EFD1" w14:textId="77777777" w:rsidR="00F36F25" w:rsidRDefault="00F36F25" w:rsidP="00661BBB">
      <w:pPr>
        <w:pStyle w:val="FootnoteText"/>
        <w:jc w:val="both"/>
        <w:rPr>
          <w:rFonts w:ascii="Garamond" w:hAnsi="Garamond"/>
          <w:bCs/>
          <w:sz w:val="22"/>
          <w:szCs w:val="22"/>
        </w:rPr>
      </w:pPr>
    </w:p>
    <w:p w14:paraId="241DF40D" w14:textId="77777777" w:rsidR="00F36F25" w:rsidRDefault="00F36F25" w:rsidP="00661BBB">
      <w:pPr>
        <w:pStyle w:val="FootnoteText"/>
        <w:jc w:val="both"/>
        <w:rPr>
          <w:rFonts w:ascii="Garamond" w:hAnsi="Garamond"/>
          <w:bCs/>
          <w:sz w:val="22"/>
          <w:szCs w:val="22"/>
        </w:rPr>
      </w:pPr>
      <w:r>
        <w:rPr>
          <w:rFonts w:ascii="Garamond" w:hAnsi="Garamond"/>
          <w:bCs/>
          <w:sz w:val="22"/>
          <w:szCs w:val="22"/>
        </w:rPr>
        <w:t>Sen. A., (2002), Health:</w:t>
      </w:r>
      <w:r w:rsidR="00E97E32">
        <w:rPr>
          <w:rFonts w:ascii="Garamond" w:hAnsi="Garamond"/>
          <w:bCs/>
          <w:sz w:val="22"/>
          <w:szCs w:val="22"/>
        </w:rPr>
        <w:t xml:space="preserve"> perception vs o</w:t>
      </w:r>
      <w:r>
        <w:rPr>
          <w:rFonts w:ascii="Garamond" w:hAnsi="Garamond"/>
          <w:bCs/>
          <w:sz w:val="22"/>
          <w:szCs w:val="22"/>
        </w:rPr>
        <w:t>bservation, British Medical Journal, 13, 324: 860-61.</w:t>
      </w:r>
    </w:p>
    <w:p w14:paraId="2C28695F" w14:textId="77777777" w:rsidR="009E3813" w:rsidRDefault="009E3813" w:rsidP="00661BBB">
      <w:pPr>
        <w:pStyle w:val="FootnoteText"/>
        <w:jc w:val="both"/>
        <w:rPr>
          <w:rFonts w:ascii="Garamond" w:hAnsi="Garamond"/>
          <w:bCs/>
          <w:sz w:val="22"/>
          <w:szCs w:val="22"/>
        </w:rPr>
      </w:pPr>
    </w:p>
    <w:p w14:paraId="255F2267" w14:textId="77777777" w:rsidR="009E3813" w:rsidRPr="009E3813" w:rsidRDefault="009E3813" w:rsidP="00661BBB">
      <w:pPr>
        <w:pStyle w:val="FootnoteText"/>
        <w:jc w:val="both"/>
        <w:rPr>
          <w:rFonts w:ascii="Garamond" w:hAnsi="Garamond"/>
          <w:bCs/>
          <w:sz w:val="22"/>
          <w:szCs w:val="22"/>
        </w:rPr>
      </w:pPr>
      <w:r>
        <w:rPr>
          <w:rFonts w:ascii="Garamond" w:hAnsi="Garamond"/>
          <w:bCs/>
          <w:sz w:val="22"/>
          <w:szCs w:val="22"/>
        </w:rPr>
        <w:t>Sloczynski, T</w:t>
      </w:r>
      <w:r w:rsidRPr="009E3813">
        <w:rPr>
          <w:rFonts w:ascii="Garamond" w:hAnsi="Garamond"/>
          <w:bCs/>
          <w:sz w:val="22"/>
          <w:szCs w:val="22"/>
        </w:rPr>
        <w:t xml:space="preserve">., </w:t>
      </w:r>
      <w:r w:rsidR="00E97E32">
        <w:rPr>
          <w:rFonts w:ascii="Garamond" w:hAnsi="Garamond"/>
          <w:bCs/>
          <w:sz w:val="22"/>
          <w:szCs w:val="22"/>
        </w:rPr>
        <w:t>(2015)</w:t>
      </w:r>
      <w:r w:rsidR="00A13F6C">
        <w:rPr>
          <w:rFonts w:ascii="Garamond" w:hAnsi="Garamond"/>
          <w:bCs/>
          <w:sz w:val="22"/>
          <w:szCs w:val="22"/>
        </w:rPr>
        <w:t>,</w:t>
      </w:r>
      <w:r w:rsidR="00E97E32">
        <w:rPr>
          <w:rFonts w:ascii="Garamond" w:hAnsi="Garamond"/>
          <w:bCs/>
          <w:sz w:val="22"/>
          <w:szCs w:val="22"/>
        </w:rPr>
        <w:t xml:space="preserve"> The Oaxaca–Blinder unexplained component as a treatment effects e</w:t>
      </w:r>
      <w:r w:rsidRPr="009E3813">
        <w:rPr>
          <w:rFonts w:ascii="Garamond" w:hAnsi="Garamond"/>
          <w:bCs/>
          <w:sz w:val="22"/>
          <w:szCs w:val="22"/>
        </w:rPr>
        <w:t>stimator</w:t>
      </w:r>
      <w:r>
        <w:rPr>
          <w:rFonts w:ascii="Garamond" w:hAnsi="Garamond"/>
          <w:bCs/>
          <w:sz w:val="22"/>
          <w:szCs w:val="22"/>
        </w:rPr>
        <w:t>, Oxford Bullet</w:t>
      </w:r>
      <w:r w:rsidR="00E97E32">
        <w:rPr>
          <w:rFonts w:ascii="Garamond" w:hAnsi="Garamond"/>
          <w:bCs/>
          <w:sz w:val="22"/>
          <w:szCs w:val="22"/>
        </w:rPr>
        <w:t xml:space="preserve">in of Economics and Statistics, </w:t>
      </w:r>
      <w:r>
        <w:rPr>
          <w:rFonts w:ascii="Garamond" w:hAnsi="Garamond"/>
          <w:bCs/>
          <w:sz w:val="22"/>
          <w:szCs w:val="22"/>
        </w:rPr>
        <w:t>77, 4: 588-604.</w:t>
      </w:r>
    </w:p>
    <w:p w14:paraId="4DB7886F" w14:textId="77777777" w:rsidR="007B5586" w:rsidRPr="00267454" w:rsidRDefault="007B5586" w:rsidP="00661BBB">
      <w:pPr>
        <w:pStyle w:val="FootnoteText"/>
        <w:jc w:val="both"/>
        <w:rPr>
          <w:rFonts w:ascii="Garamond" w:hAnsi="Garamond"/>
          <w:bCs/>
          <w:sz w:val="22"/>
          <w:szCs w:val="22"/>
        </w:rPr>
      </w:pPr>
    </w:p>
    <w:p w14:paraId="14F9DAF3" w14:textId="77777777" w:rsidR="009D503F" w:rsidRPr="009D503F" w:rsidRDefault="00E97E32" w:rsidP="00661BBB">
      <w:pPr>
        <w:jc w:val="both"/>
        <w:rPr>
          <w:rFonts w:ascii="Garamond" w:hAnsi="Garamond"/>
          <w:bCs/>
        </w:rPr>
      </w:pPr>
      <w:r>
        <w:rPr>
          <w:rFonts w:ascii="Garamond" w:hAnsi="Garamond"/>
          <w:bCs/>
        </w:rPr>
        <w:t xml:space="preserve">Van Doorslaer, E., </w:t>
      </w:r>
      <w:r w:rsidR="009D503F" w:rsidRPr="009D503F">
        <w:rPr>
          <w:rFonts w:ascii="Garamond" w:hAnsi="Garamond"/>
          <w:bCs/>
        </w:rPr>
        <w:t>Koolman, X.</w:t>
      </w:r>
      <w:r w:rsidR="00661BBB">
        <w:rPr>
          <w:rFonts w:ascii="Garamond" w:hAnsi="Garamond"/>
          <w:bCs/>
        </w:rPr>
        <w:t xml:space="preserve">, (2004), </w:t>
      </w:r>
      <w:r w:rsidR="009D503F" w:rsidRPr="009D503F">
        <w:rPr>
          <w:rFonts w:ascii="Garamond" w:hAnsi="Garamond"/>
          <w:bCs/>
        </w:rPr>
        <w:t>Exploring the differences in income-related health</w:t>
      </w:r>
      <w:r w:rsidR="009D503F">
        <w:rPr>
          <w:rFonts w:ascii="Garamond" w:hAnsi="Garamond"/>
          <w:bCs/>
        </w:rPr>
        <w:t xml:space="preserve"> </w:t>
      </w:r>
      <w:r w:rsidR="009D503F" w:rsidRPr="009D503F">
        <w:rPr>
          <w:rFonts w:ascii="Garamond" w:hAnsi="Garamond"/>
          <w:bCs/>
        </w:rPr>
        <w:t>inequalities across Europ</w:t>
      </w:r>
      <w:r>
        <w:rPr>
          <w:rFonts w:ascii="Garamond" w:hAnsi="Garamond"/>
          <w:bCs/>
        </w:rPr>
        <w:t>ean countries, Health Economics, 13:</w:t>
      </w:r>
      <w:r w:rsidR="009D503F" w:rsidRPr="009D503F">
        <w:rPr>
          <w:rFonts w:ascii="Garamond" w:hAnsi="Garamond"/>
          <w:bCs/>
        </w:rPr>
        <w:t xml:space="preserve"> 609–628.</w:t>
      </w:r>
    </w:p>
    <w:p w14:paraId="505160D6" w14:textId="77777777" w:rsidR="009E76ED" w:rsidRDefault="00A920D3" w:rsidP="00661BBB">
      <w:pPr>
        <w:jc w:val="both"/>
        <w:rPr>
          <w:rFonts w:ascii="Garamond" w:hAnsi="Garamond"/>
          <w:bCs/>
        </w:rPr>
      </w:pPr>
      <w:r>
        <w:rPr>
          <w:rFonts w:ascii="Garamond" w:hAnsi="Garamond"/>
          <w:bCs/>
        </w:rPr>
        <w:t>V</w:t>
      </w:r>
      <w:r w:rsidR="009E76ED">
        <w:rPr>
          <w:rFonts w:ascii="Garamond" w:hAnsi="Garamond"/>
          <w:bCs/>
        </w:rPr>
        <w:t xml:space="preserve">an Doorslaer, E., Jones, </w:t>
      </w:r>
      <w:r w:rsidR="00D37755">
        <w:rPr>
          <w:rFonts w:ascii="Garamond" w:hAnsi="Garamond"/>
          <w:bCs/>
        </w:rPr>
        <w:t>A.</w:t>
      </w:r>
      <w:r w:rsidR="009E76ED">
        <w:rPr>
          <w:rFonts w:ascii="Garamond" w:hAnsi="Garamond"/>
          <w:bCs/>
        </w:rPr>
        <w:t>M., (2003), Inequalities in self-reported health: validation of a new approach to measurement, Journal of Health Economics, 22: 61-87.</w:t>
      </w:r>
    </w:p>
    <w:p w14:paraId="5CFCD34C" w14:textId="77777777" w:rsidR="00E97E32" w:rsidRPr="00E97E32" w:rsidRDefault="00F50518" w:rsidP="00661BBB">
      <w:pPr>
        <w:pStyle w:val="Heading1"/>
        <w:spacing w:before="0" w:after="64"/>
        <w:jc w:val="both"/>
        <w:textAlignment w:val="baseline"/>
        <w:rPr>
          <w:rFonts w:ascii="Garamond" w:eastAsiaTheme="minorHAnsi" w:hAnsi="Garamond" w:cstheme="minorBidi"/>
          <w:b w:val="0"/>
          <w:bCs w:val="0"/>
          <w:color w:val="auto"/>
          <w:sz w:val="22"/>
          <w:szCs w:val="22"/>
        </w:rPr>
      </w:pPr>
      <w:r w:rsidRPr="00F50518">
        <w:rPr>
          <w:rFonts w:ascii="Garamond" w:eastAsiaTheme="minorHAnsi" w:hAnsi="Garamond" w:cstheme="minorBidi"/>
          <w:b w:val="0"/>
          <w:bCs w:val="0"/>
          <w:color w:val="auto"/>
          <w:sz w:val="22"/>
          <w:szCs w:val="22"/>
        </w:rPr>
        <w:t xml:space="preserve">Wagstaff, A., </w:t>
      </w:r>
      <w:r w:rsidR="00E97E32">
        <w:rPr>
          <w:rFonts w:ascii="Garamond" w:eastAsiaTheme="minorHAnsi" w:hAnsi="Garamond" w:cstheme="minorBidi"/>
          <w:b w:val="0"/>
          <w:bCs w:val="0"/>
          <w:color w:val="auto"/>
          <w:sz w:val="22"/>
          <w:szCs w:val="22"/>
        </w:rPr>
        <w:t>V</w:t>
      </w:r>
      <w:r w:rsidRPr="00F50518">
        <w:rPr>
          <w:rFonts w:ascii="Garamond" w:eastAsiaTheme="minorHAnsi" w:hAnsi="Garamond" w:cstheme="minorBidi"/>
          <w:b w:val="0"/>
          <w:bCs w:val="0"/>
          <w:color w:val="auto"/>
          <w:sz w:val="22"/>
          <w:szCs w:val="22"/>
        </w:rPr>
        <w:t>an Doorslaer, E., Watanabe, N., (2003)</w:t>
      </w:r>
      <w:r w:rsidR="00D37755">
        <w:rPr>
          <w:rFonts w:ascii="Garamond" w:eastAsiaTheme="minorHAnsi" w:hAnsi="Garamond" w:cstheme="minorBidi"/>
          <w:b w:val="0"/>
          <w:bCs w:val="0"/>
          <w:color w:val="auto"/>
          <w:sz w:val="22"/>
          <w:szCs w:val="22"/>
        </w:rPr>
        <w:t>,</w:t>
      </w:r>
      <w:r w:rsidRPr="00F50518">
        <w:rPr>
          <w:rFonts w:ascii="Garamond" w:eastAsiaTheme="minorHAnsi" w:hAnsi="Garamond" w:cstheme="minorBidi"/>
          <w:b w:val="0"/>
          <w:bCs w:val="0"/>
          <w:color w:val="auto"/>
          <w:sz w:val="22"/>
          <w:szCs w:val="22"/>
        </w:rPr>
        <w:t xml:space="preserve"> </w:t>
      </w:r>
      <w:r w:rsidRPr="00F50518">
        <w:rPr>
          <w:rFonts w:ascii="Garamond" w:eastAsiaTheme="minorHAnsi" w:hAnsi="Garamond" w:cstheme="minorBidi" w:hint="eastAsia"/>
          <w:b w:val="0"/>
          <w:bCs w:val="0"/>
          <w:color w:val="auto"/>
          <w:sz w:val="22"/>
          <w:szCs w:val="22"/>
        </w:rPr>
        <w:t>On decomposing the causes of health sector inequalities with an application to malnutrition inequalities in Vietnam</w:t>
      </w:r>
      <w:r w:rsidRPr="00F50518">
        <w:rPr>
          <w:rFonts w:ascii="Garamond" w:eastAsiaTheme="minorHAnsi" w:hAnsi="Garamond" w:cstheme="minorBidi"/>
          <w:b w:val="0"/>
          <w:bCs w:val="0"/>
          <w:color w:val="auto"/>
          <w:sz w:val="22"/>
          <w:szCs w:val="22"/>
        </w:rPr>
        <w:t>, Journal of Econometrics, 112, 1: 207-223.</w:t>
      </w:r>
    </w:p>
    <w:p w14:paraId="6A42F77A" w14:textId="77777777" w:rsidR="00A920D3" w:rsidRDefault="00A920D3" w:rsidP="00661BBB">
      <w:pPr>
        <w:jc w:val="both"/>
        <w:rPr>
          <w:rFonts w:ascii="Garamond" w:hAnsi="Garamond"/>
          <w:bCs/>
        </w:rPr>
      </w:pPr>
      <w:r w:rsidRPr="00A920D3">
        <w:rPr>
          <w:rFonts w:ascii="Garamond" w:hAnsi="Garamond"/>
          <w:bCs/>
        </w:rPr>
        <w:t>World Health Organisation (2011</w:t>
      </w:r>
      <w:r>
        <w:rPr>
          <w:rFonts w:ascii="Garamond" w:hAnsi="Garamond"/>
          <w:bCs/>
        </w:rPr>
        <w:t>a</w:t>
      </w:r>
      <w:r w:rsidR="00E97E32">
        <w:rPr>
          <w:rFonts w:ascii="Garamond" w:hAnsi="Garamond"/>
          <w:bCs/>
        </w:rPr>
        <w:t>),</w:t>
      </w:r>
      <w:r w:rsidRPr="00A920D3">
        <w:rPr>
          <w:rFonts w:ascii="Garamond" w:hAnsi="Garamond"/>
          <w:bCs/>
        </w:rPr>
        <w:t xml:space="preserve"> Use of glyca</w:t>
      </w:r>
      <w:r w:rsidR="00E97E32">
        <w:rPr>
          <w:rFonts w:ascii="Garamond" w:hAnsi="Garamond"/>
          <w:bCs/>
        </w:rPr>
        <w:t>ted haemoglobin (HbA1c) in the diagnosis of diabetes m</w:t>
      </w:r>
      <w:r w:rsidRPr="00A920D3">
        <w:rPr>
          <w:rFonts w:ascii="Garamond" w:hAnsi="Garamond"/>
          <w:bCs/>
        </w:rPr>
        <w:t>ellitus. Ge</w:t>
      </w:r>
      <w:r w:rsidR="00E97E32">
        <w:rPr>
          <w:rFonts w:ascii="Garamond" w:hAnsi="Garamond"/>
          <w:bCs/>
        </w:rPr>
        <w:t>neva: World Health Organisation.</w:t>
      </w:r>
      <w:r w:rsidRPr="00A920D3">
        <w:rPr>
          <w:rFonts w:ascii="Garamond" w:hAnsi="Garamond"/>
          <w:bCs/>
        </w:rPr>
        <w:t xml:space="preserve"> </w:t>
      </w:r>
    </w:p>
    <w:p w14:paraId="261D009A" w14:textId="77777777" w:rsidR="00A920D3" w:rsidRPr="00A920D3" w:rsidRDefault="00E97E32" w:rsidP="00661BBB">
      <w:pPr>
        <w:jc w:val="both"/>
        <w:rPr>
          <w:rFonts w:ascii="Garamond" w:hAnsi="Garamond"/>
          <w:bCs/>
        </w:rPr>
      </w:pPr>
      <w:r>
        <w:rPr>
          <w:rFonts w:ascii="Garamond" w:hAnsi="Garamond"/>
          <w:bCs/>
        </w:rPr>
        <w:t xml:space="preserve">World Health Organisation, </w:t>
      </w:r>
      <w:r w:rsidR="00A920D3" w:rsidRPr="00A920D3">
        <w:rPr>
          <w:rFonts w:ascii="Garamond" w:hAnsi="Garamond"/>
          <w:bCs/>
        </w:rPr>
        <w:t>(2011b)</w:t>
      </w:r>
      <w:r>
        <w:rPr>
          <w:rFonts w:ascii="Garamond" w:hAnsi="Garamond"/>
          <w:bCs/>
        </w:rPr>
        <w:t>,</w:t>
      </w:r>
      <w:r w:rsidR="00A920D3" w:rsidRPr="00A920D3">
        <w:rPr>
          <w:rFonts w:ascii="Garamond" w:hAnsi="Garamond"/>
          <w:bCs/>
        </w:rPr>
        <w:t xml:space="preserve"> Serum ferritin concentrations for the assessment of iron status and iron deficien</w:t>
      </w:r>
      <w:r w:rsidR="00BE1346">
        <w:rPr>
          <w:rFonts w:ascii="Garamond" w:hAnsi="Garamond"/>
          <w:bCs/>
        </w:rPr>
        <w:t>cy in populations. Vitamin and mineral nutrition information s</w:t>
      </w:r>
      <w:r w:rsidR="00A920D3" w:rsidRPr="00A920D3">
        <w:rPr>
          <w:rFonts w:ascii="Garamond" w:hAnsi="Garamond"/>
          <w:bCs/>
        </w:rPr>
        <w:t xml:space="preserve">ystem. Geneva: World Health Organization. </w:t>
      </w:r>
    </w:p>
    <w:p w14:paraId="41ACE265" w14:textId="77777777" w:rsidR="00A920D3" w:rsidRPr="00A920D3" w:rsidRDefault="00A920D3" w:rsidP="00A920D3"/>
    <w:p w14:paraId="20761D5A" w14:textId="77777777" w:rsidR="00F50518" w:rsidRPr="00F50518" w:rsidRDefault="00F50518" w:rsidP="00F50518">
      <w:pPr>
        <w:jc w:val="both"/>
        <w:rPr>
          <w:rFonts w:ascii="Garamond" w:hAnsi="Garamond"/>
        </w:rPr>
      </w:pPr>
    </w:p>
    <w:p w14:paraId="6E50C54F" w14:textId="77777777" w:rsidR="000859CA" w:rsidRDefault="000859CA" w:rsidP="0099362C">
      <w:pPr>
        <w:jc w:val="both"/>
        <w:rPr>
          <w:rFonts w:ascii="Garamond" w:hAnsi="Garamond"/>
        </w:rPr>
      </w:pPr>
    </w:p>
    <w:p w14:paraId="2BAE49B5" w14:textId="77777777" w:rsidR="00E26DD5" w:rsidRDefault="00E26DD5">
      <w:r>
        <w:br w:type="page"/>
      </w:r>
    </w:p>
    <w:p w14:paraId="584E6EB5" w14:textId="77777777" w:rsidR="000859CA" w:rsidRPr="00042467" w:rsidRDefault="00E26DD5" w:rsidP="00042467">
      <w:pPr>
        <w:autoSpaceDE w:val="0"/>
        <w:autoSpaceDN w:val="0"/>
        <w:adjustRightInd w:val="0"/>
        <w:spacing w:after="0"/>
        <w:jc w:val="center"/>
        <w:rPr>
          <w:rFonts w:ascii="Garamond" w:hAnsi="Garamond"/>
          <w:b/>
          <w:sz w:val="28"/>
          <w:szCs w:val="28"/>
        </w:rPr>
      </w:pPr>
      <w:r w:rsidRPr="00042467">
        <w:rPr>
          <w:rFonts w:ascii="Garamond" w:hAnsi="Garamond"/>
          <w:b/>
          <w:sz w:val="28"/>
          <w:szCs w:val="28"/>
        </w:rPr>
        <w:lastRenderedPageBreak/>
        <w:t>Tables and Figures</w:t>
      </w:r>
    </w:p>
    <w:p w14:paraId="53F9FA4F" w14:textId="77777777" w:rsidR="00E26DD5" w:rsidRDefault="00E26DD5" w:rsidP="00E26DD5">
      <w:pPr>
        <w:autoSpaceDE w:val="0"/>
        <w:autoSpaceDN w:val="0"/>
        <w:adjustRightInd w:val="0"/>
        <w:spacing w:after="0"/>
        <w:jc w:val="both"/>
        <w:rPr>
          <w:rFonts w:ascii="Garamond" w:hAnsi="Garamond"/>
        </w:rPr>
      </w:pPr>
    </w:p>
    <w:p w14:paraId="38047966" w14:textId="77777777" w:rsidR="00E26DD5" w:rsidRPr="00746CFE" w:rsidRDefault="00E26DD5" w:rsidP="00E26DD5">
      <w:pPr>
        <w:autoSpaceDE w:val="0"/>
        <w:autoSpaceDN w:val="0"/>
        <w:adjustRightInd w:val="0"/>
        <w:spacing w:after="0"/>
        <w:jc w:val="both"/>
        <w:rPr>
          <w:rFonts w:ascii="Garamond" w:hAnsi="Garamond"/>
          <w:b/>
        </w:rPr>
      </w:pPr>
      <w:r w:rsidRPr="00746CFE">
        <w:rPr>
          <w:rFonts w:ascii="Garamond" w:hAnsi="Garamond"/>
          <w:b/>
        </w:rPr>
        <w:t>Table 1. De</w:t>
      </w:r>
      <w:r>
        <w:rPr>
          <w:rFonts w:ascii="Garamond" w:hAnsi="Garamond"/>
          <w:b/>
        </w:rPr>
        <w:t>scriptive Statistics</w:t>
      </w:r>
      <w:r w:rsidR="00A33DC3">
        <w:rPr>
          <w:rFonts w:ascii="Garamond" w:hAnsi="Garamond"/>
          <w:b/>
        </w:rPr>
        <w:t xml:space="preserve"> </w:t>
      </w:r>
      <w:r>
        <w:rPr>
          <w:rFonts w:ascii="Garamond" w:hAnsi="Garamond"/>
          <w:b/>
        </w:rPr>
        <w:t>- Biomarkers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883"/>
        <w:gridCol w:w="991"/>
        <w:gridCol w:w="1887"/>
        <w:gridCol w:w="1447"/>
      </w:tblGrid>
      <w:tr w:rsidR="00E26DD5" w:rsidRPr="001A4FD6" w14:paraId="702534BF" w14:textId="77777777" w:rsidTr="00267BC6">
        <w:tc>
          <w:tcPr>
            <w:tcW w:w="1806" w:type="pct"/>
            <w:tcBorders>
              <w:top w:val="single" w:sz="4" w:space="0" w:color="auto"/>
              <w:bottom w:val="single" w:sz="4" w:space="0" w:color="auto"/>
            </w:tcBorders>
          </w:tcPr>
          <w:p w14:paraId="1EB20996" w14:textId="77777777" w:rsidR="00E26DD5" w:rsidRPr="001A4FD6" w:rsidRDefault="00E26DD5" w:rsidP="00E26DD5">
            <w:pPr>
              <w:autoSpaceDE w:val="0"/>
              <w:autoSpaceDN w:val="0"/>
              <w:adjustRightInd w:val="0"/>
              <w:jc w:val="both"/>
              <w:rPr>
                <w:rFonts w:ascii="Garamond" w:hAnsi="Garamond"/>
                <w:b/>
              </w:rPr>
            </w:pPr>
            <w:r w:rsidRPr="001A4FD6">
              <w:rPr>
                <w:rFonts w:ascii="Garamond" w:hAnsi="Garamond"/>
                <w:b/>
              </w:rPr>
              <w:t>Variable</w:t>
            </w:r>
            <w:r w:rsidR="00267BC6">
              <w:rPr>
                <w:rFonts w:ascii="Garamond" w:hAnsi="Garamond"/>
                <w:b/>
              </w:rPr>
              <w:t>s</w:t>
            </w:r>
          </w:p>
        </w:tc>
        <w:tc>
          <w:tcPr>
            <w:tcW w:w="542" w:type="pct"/>
            <w:tcBorders>
              <w:top w:val="single" w:sz="4" w:space="0" w:color="auto"/>
              <w:bottom w:val="single" w:sz="4" w:space="0" w:color="auto"/>
            </w:tcBorders>
          </w:tcPr>
          <w:p w14:paraId="2F267691" w14:textId="77777777" w:rsidR="00E26DD5" w:rsidRPr="001A4FD6" w:rsidRDefault="00E26DD5" w:rsidP="00E26DD5">
            <w:pPr>
              <w:autoSpaceDE w:val="0"/>
              <w:autoSpaceDN w:val="0"/>
              <w:adjustRightInd w:val="0"/>
              <w:jc w:val="both"/>
              <w:rPr>
                <w:rFonts w:ascii="Garamond" w:hAnsi="Garamond"/>
                <w:b/>
              </w:rPr>
            </w:pPr>
            <w:r w:rsidRPr="001A4FD6">
              <w:rPr>
                <w:rFonts w:ascii="Garamond" w:hAnsi="Garamond"/>
                <w:b/>
              </w:rPr>
              <w:t>Mean</w:t>
            </w:r>
          </w:p>
        </w:tc>
        <w:tc>
          <w:tcPr>
            <w:tcW w:w="608" w:type="pct"/>
            <w:tcBorders>
              <w:top w:val="single" w:sz="4" w:space="0" w:color="auto"/>
              <w:bottom w:val="single" w:sz="4" w:space="0" w:color="auto"/>
            </w:tcBorders>
          </w:tcPr>
          <w:p w14:paraId="719F5F8E" w14:textId="77777777" w:rsidR="00E26DD5" w:rsidRPr="001A4FD6" w:rsidRDefault="00E26DD5" w:rsidP="00E26DD5">
            <w:pPr>
              <w:autoSpaceDE w:val="0"/>
              <w:autoSpaceDN w:val="0"/>
              <w:adjustRightInd w:val="0"/>
              <w:jc w:val="both"/>
              <w:rPr>
                <w:rFonts w:ascii="Garamond" w:hAnsi="Garamond"/>
                <w:b/>
              </w:rPr>
            </w:pPr>
            <w:r w:rsidRPr="001A4FD6">
              <w:rPr>
                <w:rFonts w:ascii="Garamond" w:hAnsi="Garamond"/>
                <w:b/>
              </w:rPr>
              <w:t>Std Dev.</w:t>
            </w:r>
          </w:p>
        </w:tc>
        <w:tc>
          <w:tcPr>
            <w:tcW w:w="1157" w:type="pct"/>
            <w:tcBorders>
              <w:top w:val="single" w:sz="4" w:space="0" w:color="auto"/>
              <w:bottom w:val="single" w:sz="4" w:space="0" w:color="auto"/>
            </w:tcBorders>
          </w:tcPr>
          <w:p w14:paraId="0A21C459" w14:textId="77777777" w:rsidR="00E26DD5" w:rsidRPr="00E90381" w:rsidRDefault="00E26DD5" w:rsidP="00E26DD5">
            <w:pPr>
              <w:autoSpaceDE w:val="0"/>
              <w:autoSpaceDN w:val="0"/>
              <w:adjustRightInd w:val="0"/>
              <w:jc w:val="both"/>
              <w:rPr>
                <w:rFonts w:ascii="Garamond" w:hAnsi="Garamond"/>
                <w:vertAlign w:val="superscript"/>
              </w:rPr>
            </w:pPr>
            <w:r w:rsidRPr="001A4FD6">
              <w:rPr>
                <w:rFonts w:ascii="Garamond" w:hAnsi="Garamond"/>
                <w:b/>
              </w:rPr>
              <w:t>Wave</w:t>
            </w:r>
            <w:r>
              <w:rPr>
                <w:rFonts w:ascii="Garamond" w:hAnsi="Garamond"/>
                <w:b/>
              </w:rPr>
              <w:t>s</w:t>
            </w:r>
            <w:r>
              <w:rPr>
                <w:rFonts w:ascii="Garamond" w:hAnsi="Garamond"/>
                <w:vertAlign w:val="superscript"/>
              </w:rPr>
              <w:t>a</w:t>
            </w:r>
          </w:p>
        </w:tc>
        <w:tc>
          <w:tcPr>
            <w:tcW w:w="888" w:type="pct"/>
            <w:tcBorders>
              <w:top w:val="single" w:sz="4" w:space="0" w:color="auto"/>
              <w:bottom w:val="single" w:sz="4" w:space="0" w:color="auto"/>
            </w:tcBorders>
          </w:tcPr>
          <w:p w14:paraId="4C764440" w14:textId="77777777" w:rsidR="00E26DD5" w:rsidRPr="001A4FD6" w:rsidRDefault="00E26DD5" w:rsidP="00E26DD5">
            <w:pPr>
              <w:autoSpaceDE w:val="0"/>
              <w:autoSpaceDN w:val="0"/>
              <w:adjustRightInd w:val="0"/>
              <w:jc w:val="both"/>
              <w:rPr>
                <w:rFonts w:ascii="Garamond" w:hAnsi="Garamond"/>
                <w:b/>
              </w:rPr>
            </w:pPr>
            <w:r>
              <w:rPr>
                <w:rFonts w:ascii="Garamond" w:hAnsi="Garamond"/>
                <w:b/>
              </w:rPr>
              <w:t>Observations</w:t>
            </w:r>
          </w:p>
        </w:tc>
      </w:tr>
      <w:tr w:rsidR="00E26DD5" w14:paraId="45A7E2EC" w14:textId="77777777" w:rsidTr="00267BC6">
        <w:tc>
          <w:tcPr>
            <w:tcW w:w="1806" w:type="pct"/>
            <w:tcBorders>
              <w:top w:val="single" w:sz="4" w:space="0" w:color="auto"/>
            </w:tcBorders>
          </w:tcPr>
          <w:p w14:paraId="5E6579FF" w14:textId="77777777" w:rsidR="00E26DD5" w:rsidRDefault="00E26DD5" w:rsidP="00E26DD5">
            <w:pPr>
              <w:autoSpaceDE w:val="0"/>
              <w:autoSpaceDN w:val="0"/>
              <w:adjustRightInd w:val="0"/>
              <w:jc w:val="both"/>
              <w:rPr>
                <w:rFonts w:ascii="Garamond" w:hAnsi="Garamond"/>
              </w:rPr>
            </w:pPr>
            <w:r>
              <w:rPr>
                <w:rFonts w:ascii="Garamond" w:hAnsi="Garamond"/>
              </w:rPr>
              <w:t>Cholesterol</w:t>
            </w:r>
          </w:p>
        </w:tc>
        <w:tc>
          <w:tcPr>
            <w:tcW w:w="542" w:type="pct"/>
            <w:tcBorders>
              <w:top w:val="single" w:sz="4" w:space="0" w:color="auto"/>
            </w:tcBorders>
          </w:tcPr>
          <w:p w14:paraId="76061A27" w14:textId="77777777" w:rsidR="00E26DD5" w:rsidRDefault="00E26DD5" w:rsidP="00E26DD5">
            <w:pPr>
              <w:autoSpaceDE w:val="0"/>
              <w:autoSpaceDN w:val="0"/>
              <w:adjustRightInd w:val="0"/>
              <w:jc w:val="both"/>
              <w:rPr>
                <w:rFonts w:ascii="Garamond" w:hAnsi="Garamond"/>
              </w:rPr>
            </w:pPr>
            <w:r>
              <w:rPr>
                <w:rFonts w:ascii="Garamond" w:hAnsi="Garamond"/>
              </w:rPr>
              <w:t>5.57</w:t>
            </w:r>
          </w:p>
        </w:tc>
        <w:tc>
          <w:tcPr>
            <w:tcW w:w="608" w:type="pct"/>
            <w:tcBorders>
              <w:top w:val="single" w:sz="4" w:space="0" w:color="auto"/>
            </w:tcBorders>
          </w:tcPr>
          <w:p w14:paraId="6326474C" w14:textId="77777777" w:rsidR="00E26DD5" w:rsidRDefault="00E26DD5" w:rsidP="00E26DD5">
            <w:pPr>
              <w:autoSpaceDE w:val="0"/>
              <w:autoSpaceDN w:val="0"/>
              <w:adjustRightInd w:val="0"/>
              <w:jc w:val="both"/>
              <w:rPr>
                <w:rFonts w:ascii="Garamond" w:hAnsi="Garamond"/>
              </w:rPr>
            </w:pPr>
            <w:r>
              <w:rPr>
                <w:rFonts w:ascii="Garamond" w:hAnsi="Garamond"/>
              </w:rPr>
              <w:t>1.1</w:t>
            </w:r>
            <w:r w:rsidR="00832EC5">
              <w:rPr>
                <w:rFonts w:ascii="Garamond" w:hAnsi="Garamond"/>
              </w:rPr>
              <w:t>5</w:t>
            </w:r>
          </w:p>
        </w:tc>
        <w:tc>
          <w:tcPr>
            <w:tcW w:w="1157" w:type="pct"/>
            <w:tcBorders>
              <w:top w:val="single" w:sz="4" w:space="0" w:color="auto"/>
            </w:tcBorders>
          </w:tcPr>
          <w:p w14:paraId="4E8A15A3" w14:textId="77777777" w:rsidR="00E26DD5" w:rsidRDefault="00E26DD5" w:rsidP="00E26DD5">
            <w:pPr>
              <w:autoSpaceDE w:val="0"/>
              <w:autoSpaceDN w:val="0"/>
              <w:adjustRightInd w:val="0"/>
              <w:jc w:val="both"/>
              <w:rPr>
                <w:rFonts w:ascii="Garamond" w:hAnsi="Garamond"/>
              </w:rPr>
            </w:pPr>
            <w:r>
              <w:rPr>
                <w:rFonts w:ascii="Garamond" w:hAnsi="Garamond"/>
              </w:rPr>
              <w:t>2,3,4,5,6,7,8,9,10,11</w:t>
            </w:r>
          </w:p>
        </w:tc>
        <w:tc>
          <w:tcPr>
            <w:tcW w:w="888" w:type="pct"/>
            <w:tcBorders>
              <w:top w:val="single" w:sz="4" w:space="0" w:color="auto"/>
            </w:tcBorders>
          </w:tcPr>
          <w:p w14:paraId="226CDEB1" w14:textId="77777777" w:rsidR="00E26DD5" w:rsidRDefault="00E26DD5" w:rsidP="00E26DD5">
            <w:pPr>
              <w:autoSpaceDE w:val="0"/>
              <w:autoSpaceDN w:val="0"/>
              <w:adjustRightInd w:val="0"/>
              <w:jc w:val="both"/>
              <w:rPr>
                <w:rFonts w:ascii="Garamond" w:hAnsi="Garamond"/>
              </w:rPr>
            </w:pPr>
            <w:r>
              <w:rPr>
                <w:rFonts w:ascii="Garamond" w:hAnsi="Garamond"/>
              </w:rPr>
              <w:t>30,770</w:t>
            </w:r>
          </w:p>
        </w:tc>
      </w:tr>
      <w:tr w:rsidR="00E26DD5" w14:paraId="66D4192A" w14:textId="77777777" w:rsidTr="00267BC6">
        <w:tc>
          <w:tcPr>
            <w:tcW w:w="1806" w:type="pct"/>
          </w:tcPr>
          <w:p w14:paraId="54B96188" w14:textId="77777777" w:rsidR="00E26DD5" w:rsidRDefault="00E26DD5" w:rsidP="00E26DD5">
            <w:pPr>
              <w:autoSpaceDE w:val="0"/>
              <w:autoSpaceDN w:val="0"/>
              <w:adjustRightInd w:val="0"/>
              <w:jc w:val="both"/>
              <w:rPr>
                <w:rFonts w:ascii="Garamond" w:hAnsi="Garamond"/>
              </w:rPr>
            </w:pPr>
            <w:r w:rsidRPr="00A920D3">
              <w:rPr>
                <w:rFonts w:ascii="Garamond" w:hAnsi="Garamond"/>
              </w:rPr>
              <w:t>Glycated haemoglobin</w:t>
            </w:r>
          </w:p>
        </w:tc>
        <w:tc>
          <w:tcPr>
            <w:tcW w:w="542" w:type="pct"/>
          </w:tcPr>
          <w:p w14:paraId="66DF8A87" w14:textId="77777777" w:rsidR="00E26DD5" w:rsidRDefault="00E26DD5" w:rsidP="00E26DD5">
            <w:pPr>
              <w:autoSpaceDE w:val="0"/>
              <w:autoSpaceDN w:val="0"/>
              <w:adjustRightInd w:val="0"/>
              <w:jc w:val="both"/>
              <w:rPr>
                <w:rFonts w:ascii="Garamond" w:hAnsi="Garamond"/>
              </w:rPr>
            </w:pPr>
            <w:r>
              <w:rPr>
                <w:rFonts w:ascii="Garamond" w:hAnsi="Garamond"/>
              </w:rPr>
              <w:t>5.5</w:t>
            </w:r>
            <w:r w:rsidR="00832EC5">
              <w:rPr>
                <w:rFonts w:ascii="Garamond" w:hAnsi="Garamond"/>
              </w:rPr>
              <w:t>8</w:t>
            </w:r>
          </w:p>
        </w:tc>
        <w:tc>
          <w:tcPr>
            <w:tcW w:w="608" w:type="pct"/>
          </w:tcPr>
          <w:p w14:paraId="28D23B01" w14:textId="77777777" w:rsidR="00E26DD5" w:rsidRDefault="00E26DD5" w:rsidP="00E26DD5">
            <w:pPr>
              <w:autoSpaceDE w:val="0"/>
              <w:autoSpaceDN w:val="0"/>
              <w:adjustRightInd w:val="0"/>
              <w:jc w:val="both"/>
              <w:rPr>
                <w:rFonts w:ascii="Garamond" w:hAnsi="Garamond"/>
              </w:rPr>
            </w:pPr>
            <w:r>
              <w:rPr>
                <w:rFonts w:ascii="Garamond" w:hAnsi="Garamond"/>
              </w:rPr>
              <w:t>0.75</w:t>
            </w:r>
          </w:p>
        </w:tc>
        <w:tc>
          <w:tcPr>
            <w:tcW w:w="1157" w:type="pct"/>
          </w:tcPr>
          <w:p w14:paraId="242E66AA" w14:textId="77777777" w:rsidR="00E26DD5" w:rsidRDefault="00E26DD5" w:rsidP="00E26DD5">
            <w:pPr>
              <w:autoSpaceDE w:val="0"/>
              <w:autoSpaceDN w:val="0"/>
              <w:adjustRightInd w:val="0"/>
              <w:jc w:val="both"/>
              <w:rPr>
                <w:rFonts w:ascii="Garamond" w:hAnsi="Garamond"/>
              </w:rPr>
            </w:pPr>
            <w:r>
              <w:rPr>
                <w:rFonts w:ascii="Garamond" w:hAnsi="Garamond"/>
              </w:rPr>
              <w:t>2,3,4,5,6,7,8,9,10,11</w:t>
            </w:r>
          </w:p>
        </w:tc>
        <w:tc>
          <w:tcPr>
            <w:tcW w:w="888" w:type="pct"/>
          </w:tcPr>
          <w:p w14:paraId="23253E4F" w14:textId="77777777" w:rsidR="00E26DD5" w:rsidRDefault="00E26DD5" w:rsidP="00E26DD5">
            <w:pPr>
              <w:autoSpaceDE w:val="0"/>
              <w:autoSpaceDN w:val="0"/>
              <w:adjustRightInd w:val="0"/>
              <w:jc w:val="both"/>
              <w:rPr>
                <w:rFonts w:ascii="Garamond" w:hAnsi="Garamond"/>
              </w:rPr>
            </w:pPr>
            <w:r>
              <w:rPr>
                <w:rFonts w:ascii="Garamond" w:hAnsi="Garamond"/>
              </w:rPr>
              <w:t>34,831</w:t>
            </w:r>
          </w:p>
        </w:tc>
      </w:tr>
      <w:tr w:rsidR="00E26DD5" w14:paraId="7C14A661" w14:textId="77777777" w:rsidTr="00267BC6">
        <w:tc>
          <w:tcPr>
            <w:tcW w:w="1806" w:type="pct"/>
          </w:tcPr>
          <w:p w14:paraId="71D6507F" w14:textId="77777777" w:rsidR="00E26DD5" w:rsidRDefault="00E26DD5" w:rsidP="00E26DD5">
            <w:pPr>
              <w:autoSpaceDE w:val="0"/>
              <w:autoSpaceDN w:val="0"/>
              <w:adjustRightInd w:val="0"/>
              <w:jc w:val="both"/>
              <w:rPr>
                <w:rFonts w:ascii="Garamond" w:hAnsi="Garamond"/>
              </w:rPr>
            </w:pPr>
            <w:r>
              <w:rPr>
                <w:rFonts w:ascii="Garamond" w:hAnsi="Garamond"/>
              </w:rPr>
              <w:t>Fibrinogen</w:t>
            </w:r>
          </w:p>
        </w:tc>
        <w:tc>
          <w:tcPr>
            <w:tcW w:w="542" w:type="pct"/>
          </w:tcPr>
          <w:p w14:paraId="45DB1C16" w14:textId="77777777" w:rsidR="00E26DD5" w:rsidRDefault="00E26DD5" w:rsidP="00E26DD5">
            <w:pPr>
              <w:autoSpaceDE w:val="0"/>
              <w:autoSpaceDN w:val="0"/>
              <w:adjustRightInd w:val="0"/>
              <w:jc w:val="both"/>
              <w:rPr>
                <w:rFonts w:ascii="Garamond" w:hAnsi="Garamond"/>
              </w:rPr>
            </w:pPr>
            <w:r>
              <w:rPr>
                <w:rFonts w:ascii="Garamond" w:hAnsi="Garamond"/>
              </w:rPr>
              <w:t>3.01</w:t>
            </w:r>
          </w:p>
        </w:tc>
        <w:tc>
          <w:tcPr>
            <w:tcW w:w="608" w:type="pct"/>
          </w:tcPr>
          <w:p w14:paraId="01D14CE4" w14:textId="77777777" w:rsidR="00E26DD5" w:rsidRDefault="00E26DD5" w:rsidP="00E26DD5">
            <w:pPr>
              <w:autoSpaceDE w:val="0"/>
              <w:autoSpaceDN w:val="0"/>
              <w:adjustRightInd w:val="0"/>
              <w:jc w:val="both"/>
              <w:rPr>
                <w:rFonts w:ascii="Garamond" w:hAnsi="Garamond"/>
              </w:rPr>
            </w:pPr>
            <w:r>
              <w:rPr>
                <w:rFonts w:ascii="Garamond" w:hAnsi="Garamond"/>
              </w:rPr>
              <w:t>0.7</w:t>
            </w:r>
            <w:r w:rsidR="00832EC5">
              <w:rPr>
                <w:rFonts w:ascii="Garamond" w:hAnsi="Garamond"/>
              </w:rPr>
              <w:t>4</w:t>
            </w:r>
          </w:p>
        </w:tc>
        <w:tc>
          <w:tcPr>
            <w:tcW w:w="1157" w:type="pct"/>
          </w:tcPr>
          <w:p w14:paraId="557F7296" w14:textId="77777777" w:rsidR="00E26DD5" w:rsidRDefault="00E26DD5" w:rsidP="00E26DD5">
            <w:pPr>
              <w:autoSpaceDE w:val="0"/>
              <w:autoSpaceDN w:val="0"/>
              <w:adjustRightInd w:val="0"/>
              <w:jc w:val="both"/>
              <w:rPr>
                <w:rFonts w:ascii="Garamond" w:hAnsi="Garamond"/>
              </w:rPr>
            </w:pPr>
            <w:r>
              <w:rPr>
                <w:rFonts w:ascii="Garamond" w:hAnsi="Garamond"/>
              </w:rPr>
              <w:t>2,3,4,5,8</w:t>
            </w:r>
          </w:p>
        </w:tc>
        <w:tc>
          <w:tcPr>
            <w:tcW w:w="888" w:type="pct"/>
          </w:tcPr>
          <w:p w14:paraId="155BC155" w14:textId="77777777" w:rsidR="00E26DD5" w:rsidRDefault="00E26DD5" w:rsidP="00E26DD5">
            <w:pPr>
              <w:autoSpaceDE w:val="0"/>
              <w:autoSpaceDN w:val="0"/>
              <w:adjustRightInd w:val="0"/>
              <w:jc w:val="both"/>
              <w:rPr>
                <w:rFonts w:ascii="Garamond" w:hAnsi="Garamond"/>
              </w:rPr>
            </w:pPr>
            <w:r>
              <w:rPr>
                <w:rFonts w:ascii="Garamond" w:hAnsi="Garamond"/>
              </w:rPr>
              <w:t>15,530</w:t>
            </w:r>
          </w:p>
        </w:tc>
      </w:tr>
      <w:tr w:rsidR="00E26DD5" w14:paraId="060879BA" w14:textId="77777777" w:rsidTr="00267BC6">
        <w:tc>
          <w:tcPr>
            <w:tcW w:w="1806" w:type="pct"/>
          </w:tcPr>
          <w:p w14:paraId="3F3FC289" w14:textId="77777777" w:rsidR="00E26DD5" w:rsidRDefault="00E26DD5" w:rsidP="00E26DD5">
            <w:pPr>
              <w:autoSpaceDE w:val="0"/>
              <w:autoSpaceDN w:val="0"/>
              <w:adjustRightInd w:val="0"/>
              <w:jc w:val="both"/>
              <w:rPr>
                <w:rFonts w:ascii="Garamond" w:hAnsi="Garamond"/>
              </w:rPr>
            </w:pPr>
            <w:r>
              <w:rPr>
                <w:rFonts w:ascii="Garamond" w:hAnsi="Garamond"/>
              </w:rPr>
              <w:t>Ferritin</w:t>
            </w:r>
          </w:p>
        </w:tc>
        <w:tc>
          <w:tcPr>
            <w:tcW w:w="542" w:type="pct"/>
          </w:tcPr>
          <w:p w14:paraId="0C16DFCF" w14:textId="77777777" w:rsidR="00E26DD5" w:rsidRDefault="00E26DD5" w:rsidP="00E26DD5">
            <w:pPr>
              <w:autoSpaceDE w:val="0"/>
              <w:autoSpaceDN w:val="0"/>
              <w:adjustRightInd w:val="0"/>
              <w:jc w:val="both"/>
              <w:rPr>
                <w:rFonts w:ascii="Garamond" w:hAnsi="Garamond"/>
              </w:rPr>
            </w:pPr>
            <w:r>
              <w:rPr>
                <w:rFonts w:ascii="Garamond" w:hAnsi="Garamond"/>
              </w:rPr>
              <w:t>99.2</w:t>
            </w:r>
            <w:r w:rsidR="00832EC5">
              <w:rPr>
                <w:rFonts w:ascii="Garamond" w:hAnsi="Garamond"/>
              </w:rPr>
              <w:t>9</w:t>
            </w:r>
          </w:p>
        </w:tc>
        <w:tc>
          <w:tcPr>
            <w:tcW w:w="608" w:type="pct"/>
          </w:tcPr>
          <w:p w14:paraId="6494BA19" w14:textId="77777777" w:rsidR="00E26DD5" w:rsidRDefault="00E26DD5" w:rsidP="00E26DD5">
            <w:pPr>
              <w:autoSpaceDE w:val="0"/>
              <w:autoSpaceDN w:val="0"/>
              <w:adjustRightInd w:val="0"/>
              <w:jc w:val="both"/>
              <w:rPr>
                <w:rFonts w:ascii="Garamond" w:hAnsi="Garamond"/>
              </w:rPr>
            </w:pPr>
            <w:r>
              <w:rPr>
                <w:rFonts w:ascii="Garamond" w:hAnsi="Garamond"/>
              </w:rPr>
              <w:t>109.3</w:t>
            </w:r>
          </w:p>
        </w:tc>
        <w:tc>
          <w:tcPr>
            <w:tcW w:w="1157" w:type="pct"/>
          </w:tcPr>
          <w:p w14:paraId="38B4503C" w14:textId="77777777" w:rsidR="00E26DD5" w:rsidRDefault="00E26DD5" w:rsidP="00E26DD5">
            <w:pPr>
              <w:autoSpaceDE w:val="0"/>
              <w:autoSpaceDN w:val="0"/>
              <w:adjustRightInd w:val="0"/>
              <w:jc w:val="both"/>
              <w:rPr>
                <w:rFonts w:ascii="Garamond" w:hAnsi="Garamond"/>
              </w:rPr>
            </w:pPr>
            <w:r>
              <w:rPr>
                <w:rFonts w:ascii="Garamond" w:hAnsi="Garamond"/>
              </w:rPr>
              <w:t>1,3,4,5,8</w:t>
            </w:r>
          </w:p>
        </w:tc>
        <w:tc>
          <w:tcPr>
            <w:tcW w:w="888" w:type="pct"/>
          </w:tcPr>
          <w:p w14:paraId="7876F100" w14:textId="77777777" w:rsidR="00E26DD5" w:rsidRDefault="00E26DD5" w:rsidP="00E26DD5">
            <w:pPr>
              <w:autoSpaceDE w:val="0"/>
              <w:autoSpaceDN w:val="0"/>
              <w:adjustRightInd w:val="0"/>
              <w:jc w:val="both"/>
              <w:rPr>
                <w:rFonts w:ascii="Garamond" w:hAnsi="Garamond"/>
              </w:rPr>
            </w:pPr>
            <w:r>
              <w:rPr>
                <w:rFonts w:ascii="Garamond" w:hAnsi="Garamond"/>
              </w:rPr>
              <w:t>13,849</w:t>
            </w:r>
          </w:p>
        </w:tc>
      </w:tr>
    </w:tbl>
    <w:p w14:paraId="0E327744" w14:textId="77777777" w:rsidR="00E26DD5" w:rsidRDefault="00E26DD5" w:rsidP="00E26DD5">
      <w:pPr>
        <w:autoSpaceDE w:val="0"/>
        <w:autoSpaceDN w:val="0"/>
        <w:adjustRightInd w:val="0"/>
        <w:spacing w:after="0"/>
        <w:jc w:val="both"/>
        <w:rPr>
          <w:rFonts w:ascii="Garamond" w:hAnsi="Garamond"/>
        </w:rPr>
      </w:pPr>
      <w:r>
        <w:rPr>
          <w:rFonts w:ascii="Garamond" w:hAnsi="Garamond"/>
          <w:vertAlign w:val="superscript"/>
        </w:rPr>
        <w:t>a</w:t>
      </w:r>
      <w:r>
        <w:rPr>
          <w:rFonts w:ascii="Garamond" w:hAnsi="Garamond"/>
        </w:rPr>
        <w:t xml:space="preserve"> </w:t>
      </w:r>
      <w:r w:rsidRPr="00746CFE">
        <w:rPr>
          <w:rFonts w:ascii="Garamond" w:hAnsi="Garamond"/>
          <w:sz w:val="16"/>
          <w:szCs w:val="16"/>
        </w:rPr>
        <w:t>2002=wave 1; 2012=wave11</w:t>
      </w:r>
    </w:p>
    <w:p w14:paraId="41162300" w14:textId="77777777" w:rsidR="00E26DD5" w:rsidRDefault="00E26DD5" w:rsidP="00E26DD5">
      <w:pPr>
        <w:autoSpaceDE w:val="0"/>
        <w:autoSpaceDN w:val="0"/>
        <w:adjustRightInd w:val="0"/>
        <w:spacing w:after="0"/>
        <w:jc w:val="both"/>
        <w:rPr>
          <w:rFonts w:ascii="Garamond" w:hAnsi="Garamond"/>
          <w:b/>
        </w:rPr>
      </w:pPr>
    </w:p>
    <w:p w14:paraId="094992CA" w14:textId="77777777" w:rsidR="00E26DD5" w:rsidRDefault="00E26DD5" w:rsidP="00E26DD5">
      <w:pPr>
        <w:autoSpaceDE w:val="0"/>
        <w:autoSpaceDN w:val="0"/>
        <w:adjustRightInd w:val="0"/>
        <w:spacing w:after="0"/>
        <w:jc w:val="both"/>
        <w:rPr>
          <w:rFonts w:ascii="Garamond" w:hAnsi="Garamond"/>
          <w:b/>
        </w:rPr>
      </w:pPr>
    </w:p>
    <w:p w14:paraId="6691166A" w14:textId="77777777" w:rsidR="00E26DD5" w:rsidRPr="00746CFE" w:rsidRDefault="00E26DD5" w:rsidP="00E26DD5">
      <w:pPr>
        <w:autoSpaceDE w:val="0"/>
        <w:autoSpaceDN w:val="0"/>
        <w:adjustRightInd w:val="0"/>
        <w:spacing w:after="0"/>
        <w:jc w:val="both"/>
        <w:rPr>
          <w:rFonts w:ascii="Garamond" w:hAnsi="Garamond"/>
          <w:b/>
        </w:rPr>
      </w:pPr>
      <w:r w:rsidRPr="00746CFE">
        <w:rPr>
          <w:rFonts w:ascii="Garamond" w:hAnsi="Garamond"/>
          <w:b/>
        </w:rPr>
        <w:t xml:space="preserve">Table </w:t>
      </w:r>
      <w:r>
        <w:rPr>
          <w:rFonts w:ascii="Garamond" w:hAnsi="Garamond"/>
          <w:b/>
        </w:rPr>
        <w:t>2</w:t>
      </w:r>
      <w:r w:rsidRPr="00746CFE">
        <w:rPr>
          <w:rFonts w:ascii="Garamond" w:hAnsi="Garamond"/>
          <w:b/>
        </w:rPr>
        <w:t>. De</w:t>
      </w:r>
      <w:r>
        <w:rPr>
          <w:rFonts w:ascii="Garamond" w:hAnsi="Garamond"/>
          <w:b/>
        </w:rPr>
        <w:t>scriptive Statistics</w:t>
      </w:r>
      <w:r w:rsidR="00A33DC3">
        <w:rPr>
          <w:rFonts w:ascii="Garamond" w:hAnsi="Garamond"/>
          <w:b/>
        </w:rPr>
        <w:t xml:space="preserve"> </w:t>
      </w:r>
      <w:r>
        <w:rPr>
          <w:rFonts w:ascii="Garamond" w:hAnsi="Garamond"/>
          <w:b/>
        </w:rPr>
        <w:t>- Independent Variables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1495"/>
        <w:gridCol w:w="1676"/>
      </w:tblGrid>
      <w:tr w:rsidR="00E26DD5" w:rsidRPr="001A4FD6" w14:paraId="6059BB9D" w14:textId="77777777" w:rsidTr="00267BC6">
        <w:tc>
          <w:tcPr>
            <w:tcW w:w="3055" w:type="pct"/>
            <w:tcBorders>
              <w:top w:val="single" w:sz="4" w:space="0" w:color="auto"/>
              <w:bottom w:val="single" w:sz="4" w:space="0" w:color="auto"/>
            </w:tcBorders>
          </w:tcPr>
          <w:p w14:paraId="6715C1D6" w14:textId="77777777" w:rsidR="00E26DD5" w:rsidRPr="001A4FD6" w:rsidRDefault="00E26DD5" w:rsidP="00E26DD5">
            <w:pPr>
              <w:autoSpaceDE w:val="0"/>
              <w:autoSpaceDN w:val="0"/>
              <w:adjustRightInd w:val="0"/>
              <w:jc w:val="both"/>
              <w:rPr>
                <w:rFonts w:ascii="Garamond" w:hAnsi="Garamond"/>
                <w:b/>
              </w:rPr>
            </w:pPr>
            <w:r w:rsidRPr="001A4FD6">
              <w:rPr>
                <w:rFonts w:ascii="Garamond" w:hAnsi="Garamond"/>
                <w:b/>
              </w:rPr>
              <w:t>Variable</w:t>
            </w:r>
            <w:r w:rsidR="00267BC6">
              <w:rPr>
                <w:rFonts w:ascii="Garamond" w:hAnsi="Garamond"/>
                <w:b/>
              </w:rPr>
              <w:t>s</w:t>
            </w:r>
          </w:p>
        </w:tc>
        <w:tc>
          <w:tcPr>
            <w:tcW w:w="917" w:type="pct"/>
            <w:tcBorders>
              <w:top w:val="single" w:sz="4" w:space="0" w:color="auto"/>
              <w:bottom w:val="single" w:sz="4" w:space="0" w:color="auto"/>
            </w:tcBorders>
          </w:tcPr>
          <w:p w14:paraId="48BA2D12" w14:textId="77777777" w:rsidR="00E26DD5" w:rsidRPr="001A4FD6" w:rsidRDefault="00E26DD5" w:rsidP="00E26DD5">
            <w:pPr>
              <w:autoSpaceDE w:val="0"/>
              <w:autoSpaceDN w:val="0"/>
              <w:adjustRightInd w:val="0"/>
              <w:jc w:val="both"/>
              <w:rPr>
                <w:rFonts w:ascii="Garamond" w:hAnsi="Garamond"/>
                <w:b/>
              </w:rPr>
            </w:pPr>
            <w:r w:rsidRPr="001A4FD6">
              <w:rPr>
                <w:rFonts w:ascii="Garamond" w:hAnsi="Garamond"/>
                <w:b/>
              </w:rPr>
              <w:t>Mean</w:t>
            </w:r>
          </w:p>
        </w:tc>
        <w:tc>
          <w:tcPr>
            <w:tcW w:w="1028" w:type="pct"/>
            <w:tcBorders>
              <w:top w:val="single" w:sz="4" w:space="0" w:color="auto"/>
              <w:bottom w:val="single" w:sz="4" w:space="0" w:color="auto"/>
            </w:tcBorders>
          </w:tcPr>
          <w:p w14:paraId="295FEED2" w14:textId="77777777" w:rsidR="00E26DD5" w:rsidRPr="001A4FD6" w:rsidRDefault="00E26DD5" w:rsidP="00E26DD5">
            <w:pPr>
              <w:autoSpaceDE w:val="0"/>
              <w:autoSpaceDN w:val="0"/>
              <w:adjustRightInd w:val="0"/>
              <w:jc w:val="both"/>
              <w:rPr>
                <w:rFonts w:ascii="Garamond" w:hAnsi="Garamond"/>
                <w:b/>
              </w:rPr>
            </w:pPr>
            <w:r w:rsidRPr="001A4FD6">
              <w:rPr>
                <w:rFonts w:ascii="Garamond" w:hAnsi="Garamond"/>
                <w:b/>
              </w:rPr>
              <w:t>Std Dev.</w:t>
            </w:r>
          </w:p>
        </w:tc>
      </w:tr>
      <w:tr w:rsidR="00E26DD5" w14:paraId="42DF39C2" w14:textId="77777777" w:rsidTr="00267BC6">
        <w:tc>
          <w:tcPr>
            <w:tcW w:w="3055" w:type="pct"/>
            <w:tcBorders>
              <w:top w:val="single" w:sz="4" w:space="0" w:color="auto"/>
            </w:tcBorders>
          </w:tcPr>
          <w:p w14:paraId="6D7F6141" w14:textId="77777777" w:rsidR="00E26DD5" w:rsidRDefault="00E26DD5" w:rsidP="00E26DD5">
            <w:pPr>
              <w:autoSpaceDE w:val="0"/>
              <w:autoSpaceDN w:val="0"/>
              <w:adjustRightInd w:val="0"/>
              <w:jc w:val="both"/>
              <w:rPr>
                <w:rFonts w:ascii="Garamond" w:hAnsi="Garamond"/>
              </w:rPr>
            </w:pPr>
            <w:r>
              <w:rPr>
                <w:rFonts w:ascii="Garamond" w:hAnsi="Garamond"/>
              </w:rPr>
              <w:t>Log (Household Equivalised Income)</w:t>
            </w:r>
          </w:p>
        </w:tc>
        <w:tc>
          <w:tcPr>
            <w:tcW w:w="917" w:type="pct"/>
            <w:tcBorders>
              <w:top w:val="single" w:sz="4" w:space="0" w:color="auto"/>
            </w:tcBorders>
          </w:tcPr>
          <w:p w14:paraId="4AC2F80B" w14:textId="77777777" w:rsidR="00E26DD5" w:rsidRDefault="00E26DD5" w:rsidP="00E26DD5">
            <w:pPr>
              <w:autoSpaceDE w:val="0"/>
              <w:autoSpaceDN w:val="0"/>
              <w:adjustRightInd w:val="0"/>
              <w:jc w:val="both"/>
              <w:rPr>
                <w:rFonts w:ascii="Garamond" w:hAnsi="Garamond"/>
              </w:rPr>
            </w:pPr>
            <w:r>
              <w:rPr>
                <w:rFonts w:ascii="Garamond" w:hAnsi="Garamond"/>
              </w:rPr>
              <w:t>10.04</w:t>
            </w:r>
          </w:p>
        </w:tc>
        <w:tc>
          <w:tcPr>
            <w:tcW w:w="1028" w:type="pct"/>
            <w:tcBorders>
              <w:top w:val="single" w:sz="4" w:space="0" w:color="auto"/>
            </w:tcBorders>
          </w:tcPr>
          <w:p w14:paraId="34B29A89" w14:textId="77777777" w:rsidR="00E26DD5" w:rsidRDefault="00E26DD5" w:rsidP="00E26DD5">
            <w:pPr>
              <w:autoSpaceDE w:val="0"/>
              <w:autoSpaceDN w:val="0"/>
              <w:adjustRightInd w:val="0"/>
              <w:jc w:val="both"/>
              <w:rPr>
                <w:rFonts w:ascii="Garamond" w:hAnsi="Garamond"/>
              </w:rPr>
            </w:pPr>
            <w:r>
              <w:rPr>
                <w:rFonts w:ascii="Garamond" w:hAnsi="Garamond"/>
              </w:rPr>
              <w:t>0.8</w:t>
            </w:r>
            <w:r w:rsidR="00832EC5">
              <w:rPr>
                <w:rFonts w:ascii="Garamond" w:hAnsi="Garamond"/>
              </w:rPr>
              <w:t>2</w:t>
            </w:r>
          </w:p>
        </w:tc>
      </w:tr>
      <w:tr w:rsidR="00E26DD5" w14:paraId="060916C2" w14:textId="77777777" w:rsidTr="00267BC6">
        <w:tc>
          <w:tcPr>
            <w:tcW w:w="3055" w:type="pct"/>
          </w:tcPr>
          <w:p w14:paraId="08B7A5F7" w14:textId="77777777" w:rsidR="00E26DD5" w:rsidRDefault="00E26DD5" w:rsidP="00E26DD5">
            <w:pPr>
              <w:autoSpaceDE w:val="0"/>
              <w:autoSpaceDN w:val="0"/>
              <w:adjustRightInd w:val="0"/>
              <w:jc w:val="both"/>
              <w:rPr>
                <w:rFonts w:ascii="Garamond" w:hAnsi="Garamond"/>
              </w:rPr>
            </w:pPr>
            <w:r>
              <w:rPr>
                <w:rFonts w:ascii="Garamond" w:hAnsi="Garamond"/>
              </w:rPr>
              <w:t>M (11-18)- Omitt</w:t>
            </w:r>
            <w:r w:rsidR="00A33DC3">
              <w:rPr>
                <w:rFonts w:ascii="Garamond" w:hAnsi="Garamond"/>
              </w:rPr>
              <w:t>ed</w:t>
            </w:r>
            <w:r>
              <w:rPr>
                <w:rFonts w:ascii="Garamond" w:hAnsi="Garamond"/>
              </w:rPr>
              <w:t xml:space="preserve"> Cat</w:t>
            </w:r>
            <w:r w:rsidR="00A33DC3">
              <w:rPr>
                <w:rFonts w:ascii="Garamond" w:hAnsi="Garamond"/>
              </w:rPr>
              <w:t>egory</w:t>
            </w:r>
          </w:p>
        </w:tc>
        <w:tc>
          <w:tcPr>
            <w:tcW w:w="917" w:type="pct"/>
          </w:tcPr>
          <w:p w14:paraId="0866AA15" w14:textId="77777777" w:rsidR="00E26DD5" w:rsidRDefault="00E26DD5" w:rsidP="00E26DD5">
            <w:pPr>
              <w:autoSpaceDE w:val="0"/>
              <w:autoSpaceDN w:val="0"/>
              <w:adjustRightInd w:val="0"/>
              <w:jc w:val="both"/>
              <w:rPr>
                <w:rFonts w:ascii="Garamond" w:hAnsi="Garamond"/>
              </w:rPr>
            </w:pPr>
            <w:r>
              <w:rPr>
                <w:rFonts w:ascii="Garamond" w:hAnsi="Garamond"/>
              </w:rPr>
              <w:t>0.0</w:t>
            </w:r>
            <w:r w:rsidR="00832EC5">
              <w:rPr>
                <w:rFonts w:ascii="Garamond" w:hAnsi="Garamond"/>
              </w:rPr>
              <w:t>1</w:t>
            </w:r>
          </w:p>
        </w:tc>
        <w:tc>
          <w:tcPr>
            <w:tcW w:w="1028" w:type="pct"/>
          </w:tcPr>
          <w:p w14:paraId="6597A7B1" w14:textId="77777777" w:rsidR="00E26DD5" w:rsidRDefault="00E26DD5" w:rsidP="00E26DD5">
            <w:pPr>
              <w:autoSpaceDE w:val="0"/>
              <w:autoSpaceDN w:val="0"/>
              <w:adjustRightInd w:val="0"/>
              <w:jc w:val="both"/>
              <w:rPr>
                <w:rFonts w:ascii="Garamond" w:hAnsi="Garamond"/>
              </w:rPr>
            </w:pPr>
            <w:r>
              <w:rPr>
                <w:rFonts w:ascii="Garamond" w:hAnsi="Garamond"/>
              </w:rPr>
              <w:t>0.1</w:t>
            </w:r>
            <w:r w:rsidR="00832EC5">
              <w:rPr>
                <w:rFonts w:ascii="Garamond" w:hAnsi="Garamond"/>
              </w:rPr>
              <w:t>3</w:t>
            </w:r>
          </w:p>
        </w:tc>
      </w:tr>
      <w:tr w:rsidR="00E26DD5" w:rsidRPr="00757AB7" w14:paraId="0B144949" w14:textId="77777777" w:rsidTr="00267BC6">
        <w:tc>
          <w:tcPr>
            <w:tcW w:w="3055" w:type="pct"/>
          </w:tcPr>
          <w:p w14:paraId="25BAC1B5" w14:textId="77777777" w:rsidR="00E26DD5" w:rsidRDefault="00E26DD5" w:rsidP="00E26DD5">
            <w:pPr>
              <w:autoSpaceDE w:val="0"/>
              <w:autoSpaceDN w:val="0"/>
              <w:adjustRightInd w:val="0"/>
              <w:jc w:val="both"/>
              <w:rPr>
                <w:rFonts w:ascii="Garamond" w:hAnsi="Garamond"/>
              </w:rPr>
            </w:pPr>
            <w:r>
              <w:rPr>
                <w:rFonts w:ascii="Garamond" w:hAnsi="Garamond"/>
              </w:rPr>
              <w:t>M (18-34)</w:t>
            </w:r>
          </w:p>
        </w:tc>
        <w:tc>
          <w:tcPr>
            <w:tcW w:w="917" w:type="pct"/>
            <w:vAlign w:val="bottom"/>
          </w:tcPr>
          <w:p w14:paraId="08A5FD32"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0.09</w:t>
            </w:r>
          </w:p>
        </w:tc>
        <w:tc>
          <w:tcPr>
            <w:tcW w:w="1028" w:type="pct"/>
            <w:vAlign w:val="bottom"/>
          </w:tcPr>
          <w:p w14:paraId="62EF22BB"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0.29</w:t>
            </w:r>
          </w:p>
        </w:tc>
      </w:tr>
      <w:tr w:rsidR="00E26DD5" w:rsidRPr="00757AB7" w14:paraId="56E448BA" w14:textId="77777777" w:rsidTr="00267BC6">
        <w:tc>
          <w:tcPr>
            <w:tcW w:w="3055" w:type="pct"/>
          </w:tcPr>
          <w:p w14:paraId="244C37D5" w14:textId="77777777" w:rsidR="00E26DD5" w:rsidRDefault="00E26DD5" w:rsidP="00E26DD5">
            <w:pPr>
              <w:autoSpaceDE w:val="0"/>
              <w:autoSpaceDN w:val="0"/>
              <w:adjustRightInd w:val="0"/>
              <w:jc w:val="both"/>
              <w:rPr>
                <w:rFonts w:ascii="Garamond" w:hAnsi="Garamond"/>
              </w:rPr>
            </w:pPr>
            <w:r>
              <w:rPr>
                <w:rFonts w:ascii="Garamond" w:hAnsi="Garamond"/>
              </w:rPr>
              <w:t>M (35-44)</w:t>
            </w:r>
          </w:p>
        </w:tc>
        <w:tc>
          <w:tcPr>
            <w:tcW w:w="917" w:type="pct"/>
            <w:vAlign w:val="bottom"/>
          </w:tcPr>
          <w:p w14:paraId="1B06B6B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w:t>
            </w:r>
            <w:r w:rsidR="00832EC5">
              <w:rPr>
                <w:rFonts w:ascii="Garamond" w:hAnsi="Garamond"/>
              </w:rPr>
              <w:t>10</w:t>
            </w:r>
          </w:p>
        </w:tc>
        <w:tc>
          <w:tcPr>
            <w:tcW w:w="1028" w:type="pct"/>
            <w:vAlign w:val="bottom"/>
          </w:tcPr>
          <w:p w14:paraId="6B9BE670"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w:t>
            </w:r>
            <w:r w:rsidR="00832EC5">
              <w:rPr>
                <w:rFonts w:ascii="Garamond" w:hAnsi="Garamond"/>
              </w:rPr>
              <w:t>30</w:t>
            </w:r>
          </w:p>
        </w:tc>
      </w:tr>
      <w:tr w:rsidR="00E26DD5" w:rsidRPr="00757AB7" w14:paraId="400E9A81" w14:textId="77777777" w:rsidTr="00267BC6">
        <w:tc>
          <w:tcPr>
            <w:tcW w:w="3055" w:type="pct"/>
          </w:tcPr>
          <w:p w14:paraId="0EC6F319" w14:textId="77777777" w:rsidR="00E26DD5" w:rsidRPr="009A08D8" w:rsidRDefault="00E26DD5" w:rsidP="00E26DD5">
            <w:pPr>
              <w:autoSpaceDE w:val="0"/>
              <w:autoSpaceDN w:val="0"/>
              <w:adjustRightInd w:val="0"/>
              <w:jc w:val="both"/>
              <w:rPr>
                <w:rFonts w:ascii="Garamond" w:hAnsi="Garamond"/>
                <w:lang w:val="en-GB"/>
              </w:rPr>
            </w:pPr>
            <w:r>
              <w:rPr>
                <w:rFonts w:ascii="Garamond" w:hAnsi="Garamond"/>
              </w:rPr>
              <w:t>M (45-64)</w:t>
            </w:r>
          </w:p>
        </w:tc>
        <w:tc>
          <w:tcPr>
            <w:tcW w:w="917" w:type="pct"/>
            <w:vAlign w:val="bottom"/>
          </w:tcPr>
          <w:p w14:paraId="0168AC4D"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w:t>
            </w:r>
            <w:r w:rsidR="00832EC5">
              <w:rPr>
                <w:rFonts w:ascii="Garamond" w:hAnsi="Garamond"/>
              </w:rPr>
              <w:t>6</w:t>
            </w:r>
          </w:p>
        </w:tc>
        <w:tc>
          <w:tcPr>
            <w:tcW w:w="1028" w:type="pct"/>
            <w:vAlign w:val="bottom"/>
          </w:tcPr>
          <w:p w14:paraId="27A6AB83"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0.36</w:t>
            </w:r>
          </w:p>
        </w:tc>
      </w:tr>
      <w:tr w:rsidR="00E26DD5" w:rsidRPr="00757AB7" w14:paraId="1928C7F2" w14:textId="77777777" w:rsidTr="00267BC6">
        <w:tc>
          <w:tcPr>
            <w:tcW w:w="3055" w:type="pct"/>
          </w:tcPr>
          <w:p w14:paraId="0B4A2B02" w14:textId="77777777" w:rsidR="00E26DD5" w:rsidRDefault="00E26DD5" w:rsidP="00E26DD5">
            <w:pPr>
              <w:autoSpaceDE w:val="0"/>
              <w:autoSpaceDN w:val="0"/>
              <w:adjustRightInd w:val="0"/>
              <w:jc w:val="both"/>
              <w:rPr>
                <w:rFonts w:ascii="Garamond" w:hAnsi="Garamond"/>
              </w:rPr>
            </w:pPr>
            <w:r>
              <w:rPr>
                <w:rFonts w:ascii="Garamond" w:hAnsi="Garamond"/>
              </w:rPr>
              <w:t>M (65-74)</w:t>
            </w:r>
          </w:p>
        </w:tc>
        <w:tc>
          <w:tcPr>
            <w:tcW w:w="917" w:type="pct"/>
            <w:vAlign w:val="bottom"/>
          </w:tcPr>
          <w:p w14:paraId="3760A952"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w:t>
            </w:r>
            <w:r w:rsidR="00832EC5">
              <w:rPr>
                <w:rFonts w:ascii="Garamond" w:hAnsi="Garamond"/>
              </w:rPr>
              <w:t>6</w:t>
            </w:r>
          </w:p>
        </w:tc>
        <w:tc>
          <w:tcPr>
            <w:tcW w:w="1028" w:type="pct"/>
            <w:vAlign w:val="bottom"/>
          </w:tcPr>
          <w:p w14:paraId="124C6E1B"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w:t>
            </w:r>
            <w:r w:rsidR="00832EC5">
              <w:rPr>
                <w:rFonts w:ascii="Garamond" w:hAnsi="Garamond"/>
              </w:rPr>
              <w:t>3</w:t>
            </w:r>
          </w:p>
        </w:tc>
      </w:tr>
      <w:tr w:rsidR="00E26DD5" w:rsidRPr="00757AB7" w14:paraId="2392292D" w14:textId="77777777" w:rsidTr="00267BC6">
        <w:tc>
          <w:tcPr>
            <w:tcW w:w="3055" w:type="pct"/>
          </w:tcPr>
          <w:p w14:paraId="4C8B42FD" w14:textId="77777777" w:rsidR="00E26DD5" w:rsidRDefault="00E26DD5" w:rsidP="00E26DD5">
            <w:pPr>
              <w:autoSpaceDE w:val="0"/>
              <w:autoSpaceDN w:val="0"/>
              <w:adjustRightInd w:val="0"/>
              <w:jc w:val="both"/>
              <w:rPr>
                <w:rFonts w:ascii="Garamond" w:hAnsi="Garamond"/>
              </w:rPr>
            </w:pPr>
            <w:r>
              <w:rPr>
                <w:rFonts w:ascii="Garamond" w:hAnsi="Garamond"/>
              </w:rPr>
              <w:t>M (75+)</w:t>
            </w:r>
          </w:p>
        </w:tc>
        <w:tc>
          <w:tcPr>
            <w:tcW w:w="917" w:type="pct"/>
            <w:vAlign w:val="bottom"/>
          </w:tcPr>
          <w:p w14:paraId="1595C6F8"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0.03</w:t>
            </w:r>
          </w:p>
        </w:tc>
        <w:tc>
          <w:tcPr>
            <w:tcW w:w="1028" w:type="pct"/>
            <w:vAlign w:val="bottom"/>
          </w:tcPr>
          <w:p w14:paraId="2DFED08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0.17</w:t>
            </w:r>
          </w:p>
        </w:tc>
      </w:tr>
      <w:tr w:rsidR="00E26DD5" w:rsidRPr="00757AB7" w14:paraId="2956E2FF" w14:textId="77777777" w:rsidTr="00267BC6">
        <w:tc>
          <w:tcPr>
            <w:tcW w:w="3055" w:type="pct"/>
          </w:tcPr>
          <w:p w14:paraId="3942794B" w14:textId="77777777" w:rsidR="00E26DD5" w:rsidRDefault="00E26DD5" w:rsidP="00E26DD5">
            <w:pPr>
              <w:autoSpaceDE w:val="0"/>
              <w:autoSpaceDN w:val="0"/>
              <w:adjustRightInd w:val="0"/>
              <w:jc w:val="both"/>
              <w:rPr>
                <w:rFonts w:ascii="Garamond" w:hAnsi="Garamond"/>
              </w:rPr>
            </w:pPr>
            <w:r>
              <w:rPr>
                <w:rFonts w:ascii="Garamond" w:hAnsi="Garamond"/>
              </w:rPr>
              <w:t>F (11-18)</w:t>
            </w:r>
          </w:p>
        </w:tc>
        <w:tc>
          <w:tcPr>
            <w:tcW w:w="917" w:type="pct"/>
            <w:vAlign w:val="bottom"/>
          </w:tcPr>
          <w:p w14:paraId="4633F2D6"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w:t>
            </w:r>
            <w:r w:rsidR="00832EC5">
              <w:rPr>
                <w:rFonts w:ascii="Garamond" w:hAnsi="Garamond"/>
              </w:rPr>
              <w:t>2</w:t>
            </w:r>
          </w:p>
        </w:tc>
        <w:tc>
          <w:tcPr>
            <w:tcW w:w="1028" w:type="pct"/>
            <w:vAlign w:val="bottom"/>
          </w:tcPr>
          <w:p w14:paraId="51F7C53F"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w:t>
            </w:r>
            <w:r w:rsidR="00832EC5">
              <w:rPr>
                <w:rFonts w:ascii="Garamond" w:hAnsi="Garamond"/>
              </w:rPr>
              <w:t>3</w:t>
            </w:r>
          </w:p>
        </w:tc>
      </w:tr>
      <w:tr w:rsidR="00E26DD5" w:rsidRPr="00757AB7" w14:paraId="19D72258" w14:textId="77777777" w:rsidTr="00267BC6">
        <w:tc>
          <w:tcPr>
            <w:tcW w:w="3055" w:type="pct"/>
          </w:tcPr>
          <w:p w14:paraId="054F13B4" w14:textId="77777777" w:rsidR="00E26DD5" w:rsidRDefault="00E26DD5" w:rsidP="00E26DD5">
            <w:pPr>
              <w:autoSpaceDE w:val="0"/>
              <w:autoSpaceDN w:val="0"/>
              <w:adjustRightInd w:val="0"/>
              <w:jc w:val="both"/>
              <w:rPr>
                <w:rFonts w:ascii="Garamond" w:hAnsi="Garamond"/>
              </w:rPr>
            </w:pPr>
            <w:r>
              <w:rPr>
                <w:rFonts w:ascii="Garamond" w:hAnsi="Garamond"/>
              </w:rPr>
              <w:t>F (18-34)</w:t>
            </w:r>
          </w:p>
        </w:tc>
        <w:tc>
          <w:tcPr>
            <w:tcW w:w="917" w:type="pct"/>
            <w:vAlign w:val="bottom"/>
          </w:tcPr>
          <w:p w14:paraId="45B3834F"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0.11</w:t>
            </w:r>
          </w:p>
        </w:tc>
        <w:tc>
          <w:tcPr>
            <w:tcW w:w="1028" w:type="pct"/>
            <w:vAlign w:val="bottom"/>
          </w:tcPr>
          <w:p w14:paraId="12C139E8"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0.31</w:t>
            </w:r>
          </w:p>
        </w:tc>
      </w:tr>
      <w:tr w:rsidR="00E26DD5" w:rsidRPr="00757AB7" w14:paraId="5BF2B688" w14:textId="77777777" w:rsidTr="00267BC6">
        <w:tc>
          <w:tcPr>
            <w:tcW w:w="3055" w:type="pct"/>
          </w:tcPr>
          <w:p w14:paraId="6D4D521F" w14:textId="77777777" w:rsidR="00E26DD5" w:rsidRDefault="00E26DD5" w:rsidP="00E26DD5">
            <w:pPr>
              <w:autoSpaceDE w:val="0"/>
              <w:autoSpaceDN w:val="0"/>
              <w:adjustRightInd w:val="0"/>
              <w:jc w:val="both"/>
              <w:rPr>
                <w:rFonts w:ascii="Garamond" w:hAnsi="Garamond"/>
              </w:rPr>
            </w:pPr>
            <w:r>
              <w:rPr>
                <w:rFonts w:ascii="Garamond" w:hAnsi="Garamond"/>
              </w:rPr>
              <w:t>F (35-44)</w:t>
            </w:r>
          </w:p>
        </w:tc>
        <w:tc>
          <w:tcPr>
            <w:tcW w:w="917" w:type="pct"/>
            <w:vAlign w:val="bottom"/>
          </w:tcPr>
          <w:p w14:paraId="4A546C6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0.12</w:t>
            </w:r>
          </w:p>
        </w:tc>
        <w:tc>
          <w:tcPr>
            <w:tcW w:w="1028" w:type="pct"/>
            <w:vAlign w:val="bottom"/>
          </w:tcPr>
          <w:p w14:paraId="23CF1F5B"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0.3</w:t>
            </w:r>
            <w:r w:rsidR="00832EC5">
              <w:rPr>
                <w:rFonts w:ascii="Garamond" w:hAnsi="Garamond"/>
              </w:rPr>
              <w:t>3</w:t>
            </w:r>
          </w:p>
        </w:tc>
      </w:tr>
      <w:tr w:rsidR="00E26DD5" w:rsidRPr="00757AB7" w14:paraId="1FEF5A59" w14:textId="77777777" w:rsidTr="00267BC6">
        <w:tc>
          <w:tcPr>
            <w:tcW w:w="3055" w:type="pct"/>
          </w:tcPr>
          <w:p w14:paraId="09515C65" w14:textId="77777777" w:rsidR="00E26DD5" w:rsidRDefault="00E26DD5" w:rsidP="00E26DD5">
            <w:pPr>
              <w:autoSpaceDE w:val="0"/>
              <w:autoSpaceDN w:val="0"/>
              <w:adjustRightInd w:val="0"/>
              <w:jc w:val="both"/>
              <w:rPr>
                <w:rFonts w:ascii="Garamond" w:hAnsi="Garamond"/>
              </w:rPr>
            </w:pPr>
            <w:r>
              <w:rPr>
                <w:rFonts w:ascii="Garamond" w:hAnsi="Garamond"/>
              </w:rPr>
              <w:t>F (45-64)</w:t>
            </w:r>
          </w:p>
        </w:tc>
        <w:tc>
          <w:tcPr>
            <w:tcW w:w="917" w:type="pct"/>
            <w:vAlign w:val="bottom"/>
          </w:tcPr>
          <w:p w14:paraId="11525221"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0.20</w:t>
            </w:r>
          </w:p>
        </w:tc>
        <w:tc>
          <w:tcPr>
            <w:tcW w:w="1028" w:type="pct"/>
            <w:vAlign w:val="bottom"/>
          </w:tcPr>
          <w:p w14:paraId="1E2581C0"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0.40</w:t>
            </w:r>
          </w:p>
        </w:tc>
      </w:tr>
      <w:tr w:rsidR="00E26DD5" w:rsidRPr="00757AB7" w14:paraId="3F394F58" w14:textId="77777777" w:rsidTr="00267BC6">
        <w:tc>
          <w:tcPr>
            <w:tcW w:w="3055" w:type="pct"/>
          </w:tcPr>
          <w:p w14:paraId="3C69D9A1" w14:textId="77777777" w:rsidR="00E26DD5" w:rsidRDefault="00E26DD5" w:rsidP="00E26DD5">
            <w:pPr>
              <w:autoSpaceDE w:val="0"/>
              <w:autoSpaceDN w:val="0"/>
              <w:adjustRightInd w:val="0"/>
              <w:jc w:val="both"/>
              <w:rPr>
                <w:rFonts w:ascii="Garamond" w:hAnsi="Garamond"/>
              </w:rPr>
            </w:pPr>
            <w:r>
              <w:rPr>
                <w:rFonts w:ascii="Garamond" w:hAnsi="Garamond"/>
              </w:rPr>
              <w:t>F (65-74)</w:t>
            </w:r>
          </w:p>
        </w:tc>
        <w:tc>
          <w:tcPr>
            <w:tcW w:w="917" w:type="pct"/>
            <w:vAlign w:val="bottom"/>
          </w:tcPr>
          <w:p w14:paraId="43CED266"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w:t>
            </w:r>
            <w:r w:rsidR="00832EC5">
              <w:rPr>
                <w:rFonts w:ascii="Garamond" w:hAnsi="Garamond"/>
              </w:rPr>
              <w:t>7</w:t>
            </w:r>
          </w:p>
        </w:tc>
        <w:tc>
          <w:tcPr>
            <w:tcW w:w="1028" w:type="pct"/>
            <w:vAlign w:val="bottom"/>
          </w:tcPr>
          <w:p w14:paraId="706A75E2"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0.25</w:t>
            </w:r>
          </w:p>
        </w:tc>
      </w:tr>
      <w:tr w:rsidR="00E26DD5" w:rsidRPr="00757AB7" w14:paraId="3708EE30" w14:textId="77777777" w:rsidTr="00267BC6">
        <w:tc>
          <w:tcPr>
            <w:tcW w:w="3055" w:type="pct"/>
          </w:tcPr>
          <w:p w14:paraId="14A5C0B5" w14:textId="77777777" w:rsidR="00E26DD5" w:rsidRDefault="00E26DD5" w:rsidP="00E26DD5">
            <w:pPr>
              <w:autoSpaceDE w:val="0"/>
              <w:autoSpaceDN w:val="0"/>
              <w:adjustRightInd w:val="0"/>
              <w:jc w:val="both"/>
              <w:rPr>
                <w:rFonts w:ascii="Garamond" w:hAnsi="Garamond"/>
              </w:rPr>
            </w:pPr>
            <w:r>
              <w:rPr>
                <w:rFonts w:ascii="Garamond" w:hAnsi="Garamond"/>
              </w:rPr>
              <w:t>F (75+)</w:t>
            </w:r>
          </w:p>
        </w:tc>
        <w:tc>
          <w:tcPr>
            <w:tcW w:w="917" w:type="pct"/>
            <w:vAlign w:val="bottom"/>
          </w:tcPr>
          <w:p w14:paraId="35DE9C26"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0.04</w:t>
            </w:r>
          </w:p>
        </w:tc>
        <w:tc>
          <w:tcPr>
            <w:tcW w:w="1028" w:type="pct"/>
            <w:vAlign w:val="bottom"/>
          </w:tcPr>
          <w:p w14:paraId="381920B7"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0.20</w:t>
            </w:r>
          </w:p>
        </w:tc>
      </w:tr>
      <w:tr w:rsidR="00E26DD5" w:rsidRPr="00757AB7" w14:paraId="7E816B20" w14:textId="77777777" w:rsidTr="00267BC6">
        <w:tc>
          <w:tcPr>
            <w:tcW w:w="3055" w:type="pct"/>
          </w:tcPr>
          <w:p w14:paraId="6CA67BE1" w14:textId="77777777" w:rsidR="00E26DD5" w:rsidRDefault="00E26DD5" w:rsidP="00E26DD5">
            <w:pPr>
              <w:autoSpaceDE w:val="0"/>
              <w:autoSpaceDN w:val="0"/>
              <w:adjustRightInd w:val="0"/>
              <w:jc w:val="both"/>
              <w:rPr>
                <w:rFonts w:ascii="Garamond" w:hAnsi="Garamond"/>
              </w:rPr>
            </w:pPr>
            <w:r>
              <w:rPr>
                <w:rFonts w:ascii="Garamond" w:hAnsi="Garamond"/>
              </w:rPr>
              <w:t>No Qualification- Omitt</w:t>
            </w:r>
            <w:r w:rsidR="00A33DC3">
              <w:rPr>
                <w:rFonts w:ascii="Garamond" w:hAnsi="Garamond"/>
              </w:rPr>
              <w:t xml:space="preserve">ed </w:t>
            </w:r>
            <w:r>
              <w:rPr>
                <w:rFonts w:ascii="Garamond" w:hAnsi="Garamond"/>
              </w:rPr>
              <w:t>Cat</w:t>
            </w:r>
            <w:r w:rsidR="00A33DC3">
              <w:rPr>
                <w:rFonts w:ascii="Garamond" w:hAnsi="Garamond"/>
              </w:rPr>
              <w:t>egory</w:t>
            </w:r>
          </w:p>
        </w:tc>
        <w:tc>
          <w:tcPr>
            <w:tcW w:w="917" w:type="pct"/>
            <w:vAlign w:val="bottom"/>
          </w:tcPr>
          <w:p w14:paraId="49EB5BC7"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0.21</w:t>
            </w:r>
          </w:p>
        </w:tc>
        <w:tc>
          <w:tcPr>
            <w:tcW w:w="1028" w:type="pct"/>
            <w:vAlign w:val="bottom"/>
          </w:tcPr>
          <w:p w14:paraId="652CB0A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0.4</w:t>
            </w:r>
            <w:r w:rsidR="00832EC5">
              <w:rPr>
                <w:rFonts w:ascii="Garamond" w:hAnsi="Garamond"/>
              </w:rPr>
              <w:t>1</w:t>
            </w:r>
          </w:p>
        </w:tc>
      </w:tr>
      <w:tr w:rsidR="00E26DD5" w:rsidRPr="00757AB7" w14:paraId="0AA7FE79" w14:textId="77777777" w:rsidTr="00267BC6">
        <w:tc>
          <w:tcPr>
            <w:tcW w:w="3055" w:type="pct"/>
          </w:tcPr>
          <w:p w14:paraId="45F7ABE0" w14:textId="77777777" w:rsidR="00E26DD5" w:rsidRDefault="00E26DD5" w:rsidP="00E26DD5">
            <w:pPr>
              <w:autoSpaceDE w:val="0"/>
              <w:autoSpaceDN w:val="0"/>
              <w:adjustRightInd w:val="0"/>
              <w:jc w:val="both"/>
              <w:rPr>
                <w:rFonts w:ascii="Garamond" w:hAnsi="Garamond"/>
              </w:rPr>
            </w:pPr>
            <w:r>
              <w:rPr>
                <w:rFonts w:ascii="Garamond" w:hAnsi="Garamond"/>
              </w:rPr>
              <w:t>Degree- NVQ 4,5</w:t>
            </w:r>
          </w:p>
        </w:tc>
        <w:tc>
          <w:tcPr>
            <w:tcW w:w="917" w:type="pct"/>
          </w:tcPr>
          <w:p w14:paraId="498996F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0.23</w:t>
            </w:r>
          </w:p>
        </w:tc>
        <w:tc>
          <w:tcPr>
            <w:tcW w:w="1028" w:type="pct"/>
          </w:tcPr>
          <w:p w14:paraId="3E70DBAB"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0.42</w:t>
            </w:r>
          </w:p>
        </w:tc>
      </w:tr>
      <w:tr w:rsidR="00E26DD5" w:rsidRPr="00757AB7" w14:paraId="78E8D1DF" w14:textId="77777777" w:rsidTr="00267BC6">
        <w:tc>
          <w:tcPr>
            <w:tcW w:w="3055" w:type="pct"/>
          </w:tcPr>
          <w:p w14:paraId="69DA2924" w14:textId="77777777" w:rsidR="00E26DD5" w:rsidRDefault="00E26DD5" w:rsidP="00E26DD5">
            <w:pPr>
              <w:autoSpaceDE w:val="0"/>
              <w:autoSpaceDN w:val="0"/>
              <w:adjustRightInd w:val="0"/>
              <w:jc w:val="both"/>
              <w:rPr>
                <w:rFonts w:ascii="Garamond" w:hAnsi="Garamond"/>
              </w:rPr>
            </w:pPr>
            <w:r>
              <w:rPr>
                <w:rFonts w:ascii="Garamond" w:hAnsi="Garamond"/>
              </w:rPr>
              <w:t>Higher Education</w:t>
            </w:r>
          </w:p>
        </w:tc>
        <w:tc>
          <w:tcPr>
            <w:tcW w:w="917" w:type="pct"/>
          </w:tcPr>
          <w:p w14:paraId="71694B5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0.12</w:t>
            </w:r>
          </w:p>
        </w:tc>
        <w:tc>
          <w:tcPr>
            <w:tcW w:w="1028" w:type="pct"/>
          </w:tcPr>
          <w:p w14:paraId="6F7BBC04"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0.3</w:t>
            </w:r>
            <w:r w:rsidR="00832EC5">
              <w:rPr>
                <w:rFonts w:ascii="Garamond" w:hAnsi="Garamond"/>
              </w:rPr>
              <w:t>3</w:t>
            </w:r>
          </w:p>
        </w:tc>
      </w:tr>
      <w:tr w:rsidR="00413A3D" w:rsidRPr="00757AB7" w14:paraId="6F930588" w14:textId="77777777" w:rsidTr="00267BC6">
        <w:tc>
          <w:tcPr>
            <w:tcW w:w="3055" w:type="pct"/>
          </w:tcPr>
          <w:p w14:paraId="16C851EC" w14:textId="77777777" w:rsidR="00413A3D" w:rsidRDefault="00413A3D" w:rsidP="00413A3D">
            <w:pPr>
              <w:autoSpaceDE w:val="0"/>
              <w:autoSpaceDN w:val="0"/>
              <w:adjustRightInd w:val="0"/>
              <w:jc w:val="both"/>
              <w:rPr>
                <w:rFonts w:ascii="Garamond" w:hAnsi="Garamond"/>
              </w:rPr>
            </w:pPr>
            <w:r>
              <w:rPr>
                <w:rFonts w:ascii="Garamond" w:hAnsi="Garamond"/>
              </w:rPr>
              <w:t>NVQ 3- GCE A</w:t>
            </w:r>
          </w:p>
        </w:tc>
        <w:tc>
          <w:tcPr>
            <w:tcW w:w="917" w:type="pct"/>
          </w:tcPr>
          <w:p w14:paraId="1DFB9298" w14:textId="77777777" w:rsidR="00413A3D" w:rsidRPr="00757AB7" w:rsidRDefault="00413A3D" w:rsidP="00E26DD5">
            <w:pPr>
              <w:autoSpaceDE w:val="0"/>
              <w:autoSpaceDN w:val="0"/>
              <w:adjustRightInd w:val="0"/>
              <w:jc w:val="both"/>
              <w:rPr>
                <w:rFonts w:ascii="Garamond" w:hAnsi="Garamond"/>
              </w:rPr>
            </w:pPr>
            <w:r w:rsidRPr="00757AB7">
              <w:rPr>
                <w:rFonts w:ascii="Garamond" w:hAnsi="Garamond"/>
              </w:rPr>
              <w:t>0.14</w:t>
            </w:r>
          </w:p>
        </w:tc>
        <w:tc>
          <w:tcPr>
            <w:tcW w:w="1028" w:type="pct"/>
          </w:tcPr>
          <w:p w14:paraId="57338C1C" w14:textId="77777777" w:rsidR="00413A3D" w:rsidRPr="00757AB7" w:rsidRDefault="00413A3D" w:rsidP="00E26DD5">
            <w:pPr>
              <w:autoSpaceDE w:val="0"/>
              <w:autoSpaceDN w:val="0"/>
              <w:adjustRightInd w:val="0"/>
              <w:jc w:val="both"/>
              <w:rPr>
                <w:rFonts w:ascii="Garamond" w:hAnsi="Garamond"/>
              </w:rPr>
            </w:pPr>
            <w:r w:rsidRPr="00757AB7">
              <w:rPr>
                <w:rFonts w:ascii="Garamond" w:hAnsi="Garamond"/>
              </w:rPr>
              <w:t>0.3</w:t>
            </w:r>
            <w:r w:rsidR="00832EC5">
              <w:rPr>
                <w:rFonts w:ascii="Garamond" w:hAnsi="Garamond"/>
              </w:rPr>
              <w:t>5</w:t>
            </w:r>
          </w:p>
        </w:tc>
      </w:tr>
      <w:tr w:rsidR="00E26DD5" w:rsidRPr="00757AB7" w14:paraId="500B4567" w14:textId="77777777" w:rsidTr="00267BC6">
        <w:tc>
          <w:tcPr>
            <w:tcW w:w="3055" w:type="pct"/>
          </w:tcPr>
          <w:p w14:paraId="764819CE" w14:textId="77777777" w:rsidR="00E26DD5" w:rsidRDefault="00E26DD5" w:rsidP="00E26DD5">
            <w:pPr>
              <w:autoSpaceDE w:val="0"/>
              <w:autoSpaceDN w:val="0"/>
              <w:adjustRightInd w:val="0"/>
              <w:jc w:val="both"/>
              <w:rPr>
                <w:rFonts w:ascii="Garamond" w:hAnsi="Garamond"/>
              </w:rPr>
            </w:pPr>
            <w:r>
              <w:rPr>
                <w:rFonts w:ascii="Garamond" w:hAnsi="Garamond"/>
              </w:rPr>
              <w:t>NVQ 2 – GCE 0</w:t>
            </w:r>
          </w:p>
        </w:tc>
        <w:tc>
          <w:tcPr>
            <w:tcW w:w="917" w:type="pct"/>
          </w:tcPr>
          <w:p w14:paraId="4712E727"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w:t>
            </w:r>
            <w:r w:rsidR="00832EC5">
              <w:rPr>
                <w:rFonts w:ascii="Garamond" w:hAnsi="Garamond"/>
              </w:rPr>
              <w:t>3</w:t>
            </w:r>
          </w:p>
        </w:tc>
        <w:tc>
          <w:tcPr>
            <w:tcW w:w="1028" w:type="pct"/>
          </w:tcPr>
          <w:p w14:paraId="3B3A8BA0"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0.4</w:t>
            </w:r>
            <w:r w:rsidR="00832EC5">
              <w:rPr>
                <w:rFonts w:ascii="Garamond" w:hAnsi="Garamond"/>
              </w:rPr>
              <w:t>2</w:t>
            </w:r>
          </w:p>
        </w:tc>
      </w:tr>
      <w:tr w:rsidR="00E26DD5" w:rsidRPr="00757AB7" w14:paraId="5A9C2590" w14:textId="77777777" w:rsidTr="00267BC6">
        <w:tc>
          <w:tcPr>
            <w:tcW w:w="3055" w:type="pct"/>
          </w:tcPr>
          <w:p w14:paraId="5B7256CF" w14:textId="77777777" w:rsidR="00E26DD5" w:rsidRDefault="00E26DD5" w:rsidP="00E26DD5">
            <w:pPr>
              <w:autoSpaceDE w:val="0"/>
              <w:autoSpaceDN w:val="0"/>
              <w:adjustRightInd w:val="0"/>
              <w:jc w:val="both"/>
              <w:rPr>
                <w:rFonts w:ascii="Garamond" w:hAnsi="Garamond"/>
              </w:rPr>
            </w:pPr>
            <w:r>
              <w:rPr>
                <w:rFonts w:ascii="Garamond" w:hAnsi="Garamond"/>
              </w:rPr>
              <w:t>NVQ1 – CSE</w:t>
            </w:r>
          </w:p>
        </w:tc>
        <w:tc>
          <w:tcPr>
            <w:tcW w:w="917" w:type="pct"/>
          </w:tcPr>
          <w:p w14:paraId="4C792D99"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w:t>
            </w:r>
            <w:r w:rsidR="00832EC5">
              <w:rPr>
                <w:rFonts w:ascii="Garamond" w:hAnsi="Garamond"/>
              </w:rPr>
              <w:t>5</w:t>
            </w:r>
          </w:p>
        </w:tc>
        <w:tc>
          <w:tcPr>
            <w:tcW w:w="1028" w:type="pct"/>
          </w:tcPr>
          <w:p w14:paraId="5FD71DB9"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0.2</w:t>
            </w:r>
            <w:r w:rsidR="00832EC5">
              <w:rPr>
                <w:rFonts w:ascii="Garamond" w:hAnsi="Garamond"/>
              </w:rPr>
              <w:t>1</w:t>
            </w:r>
          </w:p>
        </w:tc>
      </w:tr>
      <w:tr w:rsidR="00E26DD5" w:rsidRPr="00757AB7" w14:paraId="5A5AE05B" w14:textId="77777777" w:rsidTr="00267BC6">
        <w:tc>
          <w:tcPr>
            <w:tcW w:w="3055" w:type="pct"/>
          </w:tcPr>
          <w:p w14:paraId="3359D99C" w14:textId="77777777" w:rsidR="00E26DD5" w:rsidRDefault="00E26DD5" w:rsidP="00E26DD5">
            <w:pPr>
              <w:autoSpaceDE w:val="0"/>
              <w:autoSpaceDN w:val="0"/>
              <w:adjustRightInd w:val="0"/>
              <w:jc w:val="both"/>
              <w:rPr>
                <w:rFonts w:ascii="Garamond" w:hAnsi="Garamond"/>
              </w:rPr>
            </w:pPr>
            <w:r>
              <w:rPr>
                <w:rFonts w:ascii="Garamond" w:hAnsi="Garamond"/>
              </w:rPr>
              <w:t>Other Qualifications</w:t>
            </w:r>
          </w:p>
        </w:tc>
        <w:tc>
          <w:tcPr>
            <w:tcW w:w="917" w:type="pct"/>
          </w:tcPr>
          <w:p w14:paraId="18FDF66A"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0.02</w:t>
            </w:r>
          </w:p>
        </w:tc>
        <w:tc>
          <w:tcPr>
            <w:tcW w:w="1028" w:type="pct"/>
          </w:tcPr>
          <w:p w14:paraId="61E2F196" w14:textId="77777777" w:rsidR="00E26DD5" w:rsidRPr="00757AB7" w:rsidRDefault="00E26DD5" w:rsidP="00E26DD5">
            <w:pPr>
              <w:autoSpaceDE w:val="0"/>
              <w:autoSpaceDN w:val="0"/>
              <w:adjustRightInd w:val="0"/>
              <w:jc w:val="both"/>
              <w:rPr>
                <w:rFonts w:ascii="Garamond" w:hAnsi="Garamond"/>
              </w:rPr>
            </w:pPr>
            <w:r w:rsidRPr="00757AB7">
              <w:rPr>
                <w:rFonts w:ascii="Garamond" w:hAnsi="Garamond"/>
              </w:rPr>
              <w:t>0.1</w:t>
            </w:r>
            <w:r w:rsidR="00832EC5">
              <w:rPr>
                <w:rFonts w:ascii="Garamond" w:hAnsi="Garamond"/>
              </w:rPr>
              <w:t>5</w:t>
            </w:r>
          </w:p>
        </w:tc>
      </w:tr>
    </w:tbl>
    <w:p w14:paraId="6B5DED3B" w14:textId="77777777" w:rsidR="00E26DD5" w:rsidRDefault="00E26DD5" w:rsidP="0099362C">
      <w:pPr>
        <w:jc w:val="both"/>
        <w:rPr>
          <w:b/>
        </w:rPr>
      </w:pPr>
    </w:p>
    <w:p w14:paraId="0D62D909" w14:textId="77777777" w:rsidR="00413A3D" w:rsidRDefault="00413A3D" w:rsidP="0099362C">
      <w:pPr>
        <w:jc w:val="both"/>
        <w:rPr>
          <w:b/>
        </w:rPr>
      </w:pPr>
    </w:p>
    <w:p w14:paraId="242CF7A0" w14:textId="77777777" w:rsidR="00413A3D" w:rsidRDefault="00413A3D" w:rsidP="0099362C">
      <w:pPr>
        <w:jc w:val="both"/>
        <w:rPr>
          <w:b/>
        </w:rPr>
      </w:pPr>
    </w:p>
    <w:p w14:paraId="6C24884B" w14:textId="77777777" w:rsidR="00413A3D" w:rsidRDefault="00413A3D" w:rsidP="0099362C">
      <w:pPr>
        <w:jc w:val="both"/>
        <w:rPr>
          <w:b/>
        </w:rPr>
      </w:pPr>
    </w:p>
    <w:p w14:paraId="508D96E9" w14:textId="77777777" w:rsidR="00413A3D" w:rsidRDefault="00413A3D" w:rsidP="0099362C">
      <w:pPr>
        <w:jc w:val="both"/>
        <w:rPr>
          <w:b/>
        </w:rPr>
      </w:pPr>
    </w:p>
    <w:p w14:paraId="62E3579D" w14:textId="77777777" w:rsidR="00413A3D" w:rsidRDefault="00413A3D" w:rsidP="0099362C">
      <w:pPr>
        <w:jc w:val="both"/>
        <w:rPr>
          <w:b/>
        </w:rPr>
      </w:pPr>
    </w:p>
    <w:p w14:paraId="46A4FC40" w14:textId="77777777" w:rsidR="00042467" w:rsidRDefault="00042467" w:rsidP="0099362C">
      <w:pPr>
        <w:jc w:val="both"/>
        <w:rPr>
          <w:b/>
        </w:rPr>
      </w:pPr>
    </w:p>
    <w:p w14:paraId="426DF166" w14:textId="77777777" w:rsidR="00267BC6" w:rsidRDefault="00267BC6" w:rsidP="0099362C">
      <w:pPr>
        <w:jc w:val="both"/>
        <w:rPr>
          <w:b/>
        </w:rPr>
      </w:pPr>
    </w:p>
    <w:p w14:paraId="0ED2C135" w14:textId="77777777" w:rsidR="00413A3D" w:rsidRPr="005568B0" w:rsidRDefault="00413A3D" w:rsidP="0099362C">
      <w:pPr>
        <w:jc w:val="both"/>
        <w:rPr>
          <w:rFonts w:ascii="Garamond" w:hAnsi="Garamond"/>
          <w:b/>
        </w:rPr>
      </w:pPr>
      <w:r w:rsidRPr="005568B0">
        <w:rPr>
          <w:rFonts w:ascii="Garamond" w:hAnsi="Garamond"/>
          <w:b/>
        </w:rPr>
        <w:lastRenderedPageBreak/>
        <w:t>Table 3.  Cholesterol Results</w:t>
      </w:r>
      <w:r w:rsidR="00A33DC3">
        <w:rPr>
          <w:rFonts w:ascii="Garamond" w:hAnsi="Garamond"/>
          <w:b/>
        </w:rPr>
        <w:t xml:space="preserve"> </w:t>
      </w:r>
      <w:r w:rsidR="00A444A3">
        <w:rPr>
          <w:rFonts w:ascii="Garamond" w:hAnsi="Garamond"/>
          <w:b/>
        </w:rPr>
        <w:t>-</w:t>
      </w:r>
      <w:r w:rsidR="00A33DC3">
        <w:rPr>
          <w:rFonts w:ascii="Garamond" w:hAnsi="Garamond"/>
          <w:b/>
        </w:rPr>
        <w:t xml:space="preserve"> </w:t>
      </w:r>
      <w:r w:rsidR="00A444A3">
        <w:rPr>
          <w:rFonts w:ascii="Garamond" w:hAnsi="Garamond"/>
          <w:b/>
        </w:rPr>
        <w:t>OLS and RIF regression</w:t>
      </w:r>
      <w:r w:rsidR="00832EC5">
        <w:rPr>
          <w:rFonts w:ascii="Garamond" w:hAnsi="Garamond"/>
          <w:b/>
        </w:rPr>
        <w:t>s</w:t>
      </w:r>
    </w:p>
    <w:tbl>
      <w:tblPr>
        <w:tblW w:w="5000" w:type="pct"/>
        <w:tblCellMar>
          <w:left w:w="70" w:type="dxa"/>
          <w:right w:w="70" w:type="dxa"/>
        </w:tblCellMar>
        <w:tblLook w:val="04A0" w:firstRow="1" w:lastRow="0" w:firstColumn="1" w:lastColumn="0" w:noHBand="0" w:noVBand="1"/>
      </w:tblPr>
      <w:tblGrid>
        <w:gridCol w:w="2304"/>
        <w:gridCol w:w="963"/>
        <w:gridCol w:w="919"/>
        <w:gridCol w:w="1005"/>
        <w:gridCol w:w="963"/>
        <w:gridCol w:w="963"/>
        <w:gridCol w:w="959"/>
      </w:tblGrid>
      <w:tr w:rsidR="00BE6D93" w:rsidRPr="00267BC6" w14:paraId="615D61E4" w14:textId="77777777" w:rsidTr="00267BC6">
        <w:trPr>
          <w:cantSplit/>
          <w:trHeight w:val="20"/>
        </w:trPr>
        <w:tc>
          <w:tcPr>
            <w:tcW w:w="1426" w:type="pct"/>
            <w:tcBorders>
              <w:top w:val="single" w:sz="4" w:space="0" w:color="auto"/>
              <w:left w:val="nil"/>
              <w:bottom w:val="single" w:sz="4" w:space="0" w:color="auto"/>
              <w:right w:val="nil"/>
            </w:tcBorders>
            <w:shd w:val="clear" w:color="auto" w:fill="auto"/>
            <w:noWrap/>
            <w:vAlign w:val="bottom"/>
            <w:hideMark/>
          </w:tcPr>
          <w:p w14:paraId="464AB7FD" w14:textId="77777777" w:rsidR="00BE6D93" w:rsidRPr="00267BC6" w:rsidRDefault="00BE6D93" w:rsidP="00BE6D93">
            <w:pPr>
              <w:spacing w:after="0" w:line="240" w:lineRule="auto"/>
              <w:rPr>
                <w:rFonts w:ascii="Garamond" w:eastAsia="Times New Roman" w:hAnsi="Garamond" w:cs="Times New Roman"/>
                <w:color w:val="000000"/>
                <w:lang w:eastAsia="it-IT"/>
              </w:rPr>
            </w:pPr>
          </w:p>
        </w:tc>
        <w:tc>
          <w:tcPr>
            <w:tcW w:w="596" w:type="pct"/>
            <w:tcBorders>
              <w:top w:val="single" w:sz="4" w:space="0" w:color="auto"/>
              <w:left w:val="nil"/>
              <w:bottom w:val="single" w:sz="4" w:space="0" w:color="auto"/>
              <w:right w:val="nil"/>
            </w:tcBorders>
            <w:shd w:val="clear" w:color="auto" w:fill="auto"/>
            <w:noWrap/>
            <w:vAlign w:val="bottom"/>
            <w:hideMark/>
          </w:tcPr>
          <w:p w14:paraId="3B81456B" w14:textId="77777777" w:rsidR="00BE6D93" w:rsidRPr="00267BC6" w:rsidRDefault="00BE6D93" w:rsidP="00BE6D93">
            <w:pPr>
              <w:spacing w:after="0" w:line="240" w:lineRule="auto"/>
              <w:jc w:val="center"/>
              <w:rPr>
                <w:rFonts w:ascii="Garamond" w:eastAsia="Times New Roman" w:hAnsi="Garamond" w:cs="Times New Roman"/>
                <w:b/>
                <w:color w:val="000000"/>
                <w:lang w:val="it-IT" w:eastAsia="it-IT"/>
              </w:rPr>
            </w:pPr>
            <w:r w:rsidRPr="00267BC6">
              <w:rPr>
                <w:rFonts w:ascii="Garamond" w:eastAsia="Times New Roman" w:hAnsi="Garamond" w:cs="Times New Roman"/>
                <w:b/>
                <w:color w:val="000000"/>
                <w:lang w:val="it-IT" w:eastAsia="it-IT"/>
              </w:rPr>
              <w:t>OLS</w:t>
            </w:r>
          </w:p>
        </w:tc>
        <w:tc>
          <w:tcPr>
            <w:tcW w:w="2977" w:type="pct"/>
            <w:gridSpan w:val="5"/>
            <w:tcBorders>
              <w:top w:val="single" w:sz="4" w:space="0" w:color="auto"/>
              <w:left w:val="nil"/>
              <w:bottom w:val="single" w:sz="4" w:space="0" w:color="auto"/>
              <w:right w:val="nil"/>
            </w:tcBorders>
            <w:shd w:val="clear" w:color="auto" w:fill="auto"/>
            <w:noWrap/>
            <w:vAlign w:val="bottom"/>
            <w:hideMark/>
          </w:tcPr>
          <w:p w14:paraId="6950F1E9" w14:textId="77777777" w:rsidR="00BE6D93" w:rsidRPr="00267BC6" w:rsidRDefault="00BE6D93" w:rsidP="00BE6D93">
            <w:pPr>
              <w:spacing w:after="0" w:line="240" w:lineRule="auto"/>
              <w:jc w:val="center"/>
              <w:rPr>
                <w:rFonts w:ascii="Garamond" w:eastAsia="Times New Roman" w:hAnsi="Garamond" w:cs="Times New Roman"/>
                <w:b/>
                <w:color w:val="000000"/>
                <w:lang w:val="it-IT" w:eastAsia="it-IT"/>
              </w:rPr>
            </w:pPr>
            <w:r w:rsidRPr="00267BC6">
              <w:rPr>
                <w:rFonts w:ascii="Garamond" w:eastAsia="Times New Roman" w:hAnsi="Garamond" w:cs="Times New Roman"/>
                <w:b/>
                <w:color w:val="000000"/>
                <w:lang w:val="it-IT" w:eastAsia="it-IT"/>
              </w:rPr>
              <w:t>RIF Regression</w:t>
            </w:r>
            <w:r w:rsidR="00832EC5" w:rsidRPr="00267BC6">
              <w:rPr>
                <w:rFonts w:ascii="Garamond" w:eastAsia="Times New Roman" w:hAnsi="Garamond" w:cs="Times New Roman"/>
                <w:b/>
                <w:color w:val="000000"/>
                <w:lang w:val="it-IT" w:eastAsia="it-IT"/>
              </w:rPr>
              <w:t>s</w:t>
            </w:r>
          </w:p>
        </w:tc>
      </w:tr>
      <w:tr w:rsidR="00BE6D93" w:rsidRPr="00267BC6" w14:paraId="1CA8D99E" w14:textId="77777777" w:rsidTr="00267BC6">
        <w:trPr>
          <w:cantSplit/>
          <w:trHeight w:val="20"/>
        </w:trPr>
        <w:tc>
          <w:tcPr>
            <w:tcW w:w="1426" w:type="pct"/>
            <w:tcBorders>
              <w:top w:val="single" w:sz="4" w:space="0" w:color="auto"/>
              <w:left w:val="nil"/>
              <w:bottom w:val="single" w:sz="4" w:space="0" w:color="auto"/>
              <w:right w:val="nil"/>
            </w:tcBorders>
            <w:shd w:val="clear" w:color="auto" w:fill="auto"/>
            <w:noWrap/>
            <w:vAlign w:val="bottom"/>
            <w:hideMark/>
          </w:tcPr>
          <w:p w14:paraId="56815765" w14:textId="77777777" w:rsidR="00BE6D93" w:rsidRPr="00267BC6" w:rsidRDefault="005568B0"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Variables</w:t>
            </w:r>
          </w:p>
        </w:tc>
        <w:tc>
          <w:tcPr>
            <w:tcW w:w="596" w:type="pct"/>
            <w:tcBorders>
              <w:top w:val="single" w:sz="4" w:space="0" w:color="auto"/>
              <w:left w:val="nil"/>
              <w:bottom w:val="single" w:sz="4" w:space="0" w:color="auto"/>
              <w:right w:val="nil"/>
            </w:tcBorders>
            <w:shd w:val="clear" w:color="auto" w:fill="auto"/>
            <w:noWrap/>
            <w:vAlign w:val="bottom"/>
            <w:hideMark/>
          </w:tcPr>
          <w:p w14:paraId="3B02A94A" w14:textId="77777777" w:rsidR="00BE6D93" w:rsidRPr="00267BC6" w:rsidRDefault="00BE6D93" w:rsidP="00BE6D93">
            <w:pPr>
              <w:spacing w:after="0" w:line="240" w:lineRule="auto"/>
              <w:rPr>
                <w:rFonts w:ascii="Garamond" w:eastAsia="Times New Roman" w:hAnsi="Garamond" w:cs="Times New Roman"/>
                <w:color w:val="000000"/>
                <w:lang w:val="it-IT" w:eastAsia="it-IT"/>
              </w:rPr>
            </w:pPr>
          </w:p>
        </w:tc>
        <w:tc>
          <w:tcPr>
            <w:tcW w:w="569" w:type="pct"/>
            <w:tcBorders>
              <w:top w:val="single" w:sz="4" w:space="0" w:color="auto"/>
              <w:left w:val="nil"/>
              <w:bottom w:val="single" w:sz="4" w:space="0" w:color="auto"/>
              <w:right w:val="nil"/>
            </w:tcBorders>
            <w:shd w:val="clear" w:color="auto" w:fill="auto"/>
            <w:noWrap/>
            <w:vAlign w:val="bottom"/>
            <w:hideMark/>
          </w:tcPr>
          <w:p w14:paraId="70254F6D" w14:textId="77777777" w:rsidR="00BE6D93" w:rsidRPr="00267BC6" w:rsidRDefault="00BE6D93" w:rsidP="00BE6D93">
            <w:pPr>
              <w:spacing w:after="0" w:line="240" w:lineRule="auto"/>
              <w:rPr>
                <w:rFonts w:ascii="Garamond" w:eastAsia="Times New Roman" w:hAnsi="Garamond" w:cs="Times New Roman"/>
                <w:b/>
                <w:i/>
                <w:color w:val="000000"/>
                <w:lang w:val="it-IT" w:eastAsia="it-IT"/>
              </w:rPr>
            </w:pPr>
            <w:r w:rsidRPr="00267BC6">
              <w:rPr>
                <w:rFonts w:ascii="Garamond" w:eastAsia="Times New Roman" w:hAnsi="Garamond" w:cs="Times New Roman"/>
                <w:b/>
                <w:i/>
                <w:color w:val="000000"/>
                <w:lang w:val="it-IT" w:eastAsia="it-IT"/>
              </w:rPr>
              <w:t>Q25</w:t>
            </w:r>
          </w:p>
        </w:tc>
        <w:tc>
          <w:tcPr>
            <w:tcW w:w="622" w:type="pct"/>
            <w:tcBorders>
              <w:top w:val="single" w:sz="4" w:space="0" w:color="auto"/>
              <w:left w:val="nil"/>
              <w:bottom w:val="single" w:sz="4" w:space="0" w:color="auto"/>
              <w:right w:val="nil"/>
            </w:tcBorders>
            <w:shd w:val="clear" w:color="auto" w:fill="auto"/>
            <w:noWrap/>
            <w:vAlign w:val="bottom"/>
            <w:hideMark/>
          </w:tcPr>
          <w:p w14:paraId="6264F6BE" w14:textId="77777777" w:rsidR="00BE6D93" w:rsidRPr="00267BC6" w:rsidRDefault="00BE6D93" w:rsidP="00BE6D93">
            <w:pPr>
              <w:spacing w:after="0" w:line="240" w:lineRule="auto"/>
              <w:rPr>
                <w:rFonts w:ascii="Garamond" w:eastAsia="Times New Roman" w:hAnsi="Garamond" w:cs="Times New Roman"/>
                <w:b/>
                <w:i/>
                <w:color w:val="000000"/>
                <w:lang w:val="it-IT" w:eastAsia="it-IT"/>
              </w:rPr>
            </w:pPr>
            <w:r w:rsidRPr="00267BC6">
              <w:rPr>
                <w:rFonts w:ascii="Garamond" w:eastAsia="Times New Roman" w:hAnsi="Garamond" w:cs="Times New Roman"/>
                <w:b/>
                <w:i/>
                <w:color w:val="000000"/>
                <w:lang w:val="it-IT" w:eastAsia="it-IT"/>
              </w:rPr>
              <w:t>Q50</w:t>
            </w:r>
          </w:p>
        </w:tc>
        <w:tc>
          <w:tcPr>
            <w:tcW w:w="596" w:type="pct"/>
            <w:tcBorders>
              <w:top w:val="single" w:sz="4" w:space="0" w:color="auto"/>
              <w:left w:val="nil"/>
              <w:bottom w:val="single" w:sz="4" w:space="0" w:color="auto"/>
              <w:right w:val="nil"/>
            </w:tcBorders>
            <w:shd w:val="clear" w:color="auto" w:fill="auto"/>
            <w:noWrap/>
            <w:vAlign w:val="bottom"/>
            <w:hideMark/>
          </w:tcPr>
          <w:p w14:paraId="565AB176" w14:textId="77777777" w:rsidR="00BE6D93" w:rsidRPr="00267BC6" w:rsidRDefault="00BE6D93" w:rsidP="00BE6D93">
            <w:pPr>
              <w:spacing w:after="0" w:line="240" w:lineRule="auto"/>
              <w:rPr>
                <w:rFonts w:ascii="Garamond" w:eastAsia="Times New Roman" w:hAnsi="Garamond" w:cs="Times New Roman"/>
                <w:b/>
                <w:i/>
                <w:color w:val="000000"/>
                <w:lang w:val="it-IT" w:eastAsia="it-IT"/>
              </w:rPr>
            </w:pPr>
            <w:r w:rsidRPr="00267BC6">
              <w:rPr>
                <w:rFonts w:ascii="Garamond" w:eastAsia="Times New Roman" w:hAnsi="Garamond" w:cs="Times New Roman"/>
                <w:b/>
                <w:i/>
                <w:color w:val="000000"/>
                <w:lang w:val="it-IT" w:eastAsia="it-IT"/>
              </w:rPr>
              <w:t>Q75</w:t>
            </w:r>
          </w:p>
        </w:tc>
        <w:tc>
          <w:tcPr>
            <w:tcW w:w="596" w:type="pct"/>
            <w:tcBorders>
              <w:top w:val="single" w:sz="4" w:space="0" w:color="auto"/>
              <w:left w:val="nil"/>
              <w:bottom w:val="single" w:sz="4" w:space="0" w:color="auto"/>
              <w:right w:val="nil"/>
            </w:tcBorders>
            <w:shd w:val="clear" w:color="auto" w:fill="auto"/>
            <w:noWrap/>
            <w:vAlign w:val="bottom"/>
            <w:hideMark/>
          </w:tcPr>
          <w:p w14:paraId="7056DEEB" w14:textId="77777777" w:rsidR="00BE6D93" w:rsidRPr="00267BC6" w:rsidRDefault="00BE6D93" w:rsidP="00BE6D93">
            <w:pPr>
              <w:spacing w:after="0" w:line="240" w:lineRule="auto"/>
              <w:rPr>
                <w:rFonts w:ascii="Garamond" w:eastAsia="Times New Roman" w:hAnsi="Garamond" w:cs="Times New Roman"/>
                <w:b/>
                <w:i/>
                <w:color w:val="000000"/>
                <w:lang w:val="it-IT" w:eastAsia="it-IT"/>
              </w:rPr>
            </w:pPr>
            <w:r w:rsidRPr="00267BC6">
              <w:rPr>
                <w:rFonts w:ascii="Garamond" w:eastAsia="Times New Roman" w:hAnsi="Garamond" w:cs="Times New Roman"/>
                <w:b/>
                <w:i/>
                <w:color w:val="000000"/>
                <w:lang w:val="it-IT" w:eastAsia="it-IT"/>
              </w:rPr>
              <w:t>Q90</w:t>
            </w:r>
          </w:p>
        </w:tc>
        <w:tc>
          <w:tcPr>
            <w:tcW w:w="594" w:type="pct"/>
            <w:tcBorders>
              <w:top w:val="single" w:sz="4" w:space="0" w:color="auto"/>
              <w:left w:val="nil"/>
              <w:bottom w:val="single" w:sz="4" w:space="0" w:color="auto"/>
              <w:right w:val="nil"/>
            </w:tcBorders>
            <w:shd w:val="clear" w:color="auto" w:fill="auto"/>
            <w:noWrap/>
            <w:vAlign w:val="bottom"/>
            <w:hideMark/>
          </w:tcPr>
          <w:p w14:paraId="4FB2E285" w14:textId="77777777" w:rsidR="00BE6D93" w:rsidRPr="00267BC6" w:rsidRDefault="00BE6D93" w:rsidP="00BE6D93">
            <w:pPr>
              <w:spacing w:after="0" w:line="240" w:lineRule="auto"/>
              <w:rPr>
                <w:rFonts w:ascii="Garamond" w:eastAsia="Times New Roman" w:hAnsi="Garamond" w:cs="Times New Roman"/>
                <w:b/>
                <w:i/>
                <w:color w:val="000000"/>
                <w:lang w:val="it-IT" w:eastAsia="it-IT"/>
              </w:rPr>
            </w:pPr>
            <w:r w:rsidRPr="00267BC6">
              <w:rPr>
                <w:rFonts w:ascii="Garamond" w:eastAsia="Times New Roman" w:hAnsi="Garamond" w:cs="Times New Roman"/>
                <w:b/>
                <w:i/>
                <w:color w:val="000000"/>
                <w:lang w:val="it-IT" w:eastAsia="it-IT"/>
              </w:rPr>
              <w:t>Q95</w:t>
            </w:r>
          </w:p>
        </w:tc>
      </w:tr>
      <w:tr w:rsidR="00BE6D93" w:rsidRPr="00267BC6" w14:paraId="1EDE195E" w14:textId="77777777" w:rsidTr="00267BC6">
        <w:trPr>
          <w:cantSplit/>
          <w:trHeight w:val="20"/>
        </w:trPr>
        <w:tc>
          <w:tcPr>
            <w:tcW w:w="1426" w:type="pct"/>
            <w:tcBorders>
              <w:top w:val="single" w:sz="4" w:space="0" w:color="auto"/>
              <w:left w:val="nil"/>
              <w:bottom w:val="nil"/>
              <w:right w:val="nil"/>
            </w:tcBorders>
            <w:shd w:val="clear" w:color="auto" w:fill="auto"/>
            <w:hideMark/>
          </w:tcPr>
          <w:p w14:paraId="14B138F3"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Log Income</w:t>
            </w:r>
          </w:p>
        </w:tc>
        <w:tc>
          <w:tcPr>
            <w:tcW w:w="596" w:type="pct"/>
            <w:tcBorders>
              <w:top w:val="single" w:sz="4" w:space="0" w:color="auto"/>
              <w:left w:val="nil"/>
              <w:bottom w:val="nil"/>
              <w:right w:val="nil"/>
            </w:tcBorders>
            <w:shd w:val="clear" w:color="auto" w:fill="auto"/>
            <w:noWrap/>
            <w:vAlign w:val="bottom"/>
            <w:hideMark/>
          </w:tcPr>
          <w:p w14:paraId="6DE27EB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0.035***</w:t>
            </w:r>
          </w:p>
        </w:tc>
        <w:tc>
          <w:tcPr>
            <w:tcW w:w="569" w:type="pct"/>
            <w:tcBorders>
              <w:top w:val="single" w:sz="4" w:space="0" w:color="auto"/>
              <w:left w:val="nil"/>
              <w:bottom w:val="nil"/>
              <w:right w:val="nil"/>
            </w:tcBorders>
            <w:shd w:val="clear" w:color="auto" w:fill="auto"/>
            <w:noWrap/>
            <w:vAlign w:val="bottom"/>
            <w:hideMark/>
          </w:tcPr>
          <w:p w14:paraId="25252F45"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0.048***</w:t>
            </w:r>
          </w:p>
        </w:tc>
        <w:tc>
          <w:tcPr>
            <w:tcW w:w="622" w:type="pct"/>
            <w:tcBorders>
              <w:top w:val="single" w:sz="4" w:space="0" w:color="auto"/>
              <w:left w:val="nil"/>
              <w:bottom w:val="nil"/>
              <w:right w:val="nil"/>
            </w:tcBorders>
            <w:shd w:val="clear" w:color="auto" w:fill="auto"/>
            <w:noWrap/>
            <w:vAlign w:val="bottom"/>
            <w:hideMark/>
          </w:tcPr>
          <w:p w14:paraId="1E932171"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0.039***</w:t>
            </w:r>
          </w:p>
        </w:tc>
        <w:tc>
          <w:tcPr>
            <w:tcW w:w="596" w:type="pct"/>
            <w:tcBorders>
              <w:top w:val="single" w:sz="4" w:space="0" w:color="auto"/>
              <w:left w:val="nil"/>
              <w:bottom w:val="nil"/>
              <w:right w:val="nil"/>
            </w:tcBorders>
            <w:shd w:val="clear" w:color="auto" w:fill="auto"/>
            <w:noWrap/>
            <w:vAlign w:val="bottom"/>
            <w:hideMark/>
          </w:tcPr>
          <w:p w14:paraId="0D76A87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0.015</w:t>
            </w:r>
          </w:p>
        </w:tc>
        <w:tc>
          <w:tcPr>
            <w:tcW w:w="596" w:type="pct"/>
            <w:tcBorders>
              <w:top w:val="single" w:sz="4" w:space="0" w:color="auto"/>
              <w:left w:val="nil"/>
              <w:bottom w:val="nil"/>
              <w:right w:val="nil"/>
            </w:tcBorders>
            <w:shd w:val="clear" w:color="auto" w:fill="auto"/>
            <w:noWrap/>
            <w:vAlign w:val="bottom"/>
            <w:hideMark/>
          </w:tcPr>
          <w:p w14:paraId="1C28E054"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-0.014</w:t>
            </w:r>
          </w:p>
        </w:tc>
        <w:tc>
          <w:tcPr>
            <w:tcW w:w="594" w:type="pct"/>
            <w:tcBorders>
              <w:top w:val="single" w:sz="4" w:space="0" w:color="auto"/>
              <w:left w:val="nil"/>
              <w:bottom w:val="nil"/>
              <w:right w:val="nil"/>
            </w:tcBorders>
            <w:shd w:val="clear" w:color="auto" w:fill="auto"/>
            <w:noWrap/>
            <w:vAlign w:val="bottom"/>
            <w:hideMark/>
          </w:tcPr>
          <w:p w14:paraId="6732B1D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-0.015</w:t>
            </w:r>
          </w:p>
        </w:tc>
      </w:tr>
      <w:tr w:rsidR="00BE6D93" w:rsidRPr="00267BC6" w14:paraId="365B039E" w14:textId="77777777" w:rsidTr="00267BC6">
        <w:trPr>
          <w:cantSplit/>
          <w:trHeight w:val="20"/>
        </w:trPr>
        <w:tc>
          <w:tcPr>
            <w:tcW w:w="1426" w:type="pct"/>
            <w:tcBorders>
              <w:top w:val="nil"/>
              <w:left w:val="nil"/>
              <w:bottom w:val="nil"/>
              <w:right w:val="nil"/>
            </w:tcBorders>
            <w:shd w:val="clear" w:color="auto" w:fill="auto"/>
            <w:noWrap/>
            <w:vAlign w:val="bottom"/>
            <w:hideMark/>
          </w:tcPr>
          <w:p w14:paraId="497FF9D3"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4D9FE2D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0.008</w:t>
            </w:r>
          </w:p>
        </w:tc>
        <w:tc>
          <w:tcPr>
            <w:tcW w:w="569" w:type="pct"/>
            <w:tcBorders>
              <w:top w:val="nil"/>
              <w:left w:val="nil"/>
              <w:bottom w:val="nil"/>
              <w:right w:val="nil"/>
            </w:tcBorders>
            <w:shd w:val="clear" w:color="auto" w:fill="auto"/>
            <w:noWrap/>
            <w:vAlign w:val="bottom"/>
            <w:hideMark/>
          </w:tcPr>
          <w:p w14:paraId="09CE9ED0"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0.013</w:t>
            </w:r>
          </w:p>
        </w:tc>
        <w:tc>
          <w:tcPr>
            <w:tcW w:w="622" w:type="pct"/>
            <w:tcBorders>
              <w:top w:val="nil"/>
              <w:left w:val="nil"/>
              <w:bottom w:val="nil"/>
              <w:right w:val="nil"/>
            </w:tcBorders>
            <w:shd w:val="clear" w:color="auto" w:fill="auto"/>
            <w:noWrap/>
            <w:vAlign w:val="bottom"/>
            <w:hideMark/>
          </w:tcPr>
          <w:p w14:paraId="56AF4E5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0.011</w:t>
            </w:r>
          </w:p>
        </w:tc>
        <w:tc>
          <w:tcPr>
            <w:tcW w:w="596" w:type="pct"/>
            <w:tcBorders>
              <w:top w:val="nil"/>
              <w:left w:val="nil"/>
              <w:bottom w:val="nil"/>
              <w:right w:val="nil"/>
            </w:tcBorders>
            <w:shd w:val="clear" w:color="auto" w:fill="auto"/>
            <w:noWrap/>
            <w:vAlign w:val="bottom"/>
            <w:hideMark/>
          </w:tcPr>
          <w:p w14:paraId="1E5CD24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0.013</w:t>
            </w:r>
          </w:p>
        </w:tc>
        <w:tc>
          <w:tcPr>
            <w:tcW w:w="596" w:type="pct"/>
            <w:tcBorders>
              <w:top w:val="nil"/>
              <w:left w:val="nil"/>
              <w:bottom w:val="nil"/>
              <w:right w:val="nil"/>
            </w:tcBorders>
            <w:shd w:val="clear" w:color="auto" w:fill="auto"/>
            <w:noWrap/>
            <w:vAlign w:val="bottom"/>
            <w:hideMark/>
          </w:tcPr>
          <w:p w14:paraId="69FB6E2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0.017</w:t>
            </w:r>
          </w:p>
        </w:tc>
        <w:tc>
          <w:tcPr>
            <w:tcW w:w="594" w:type="pct"/>
            <w:tcBorders>
              <w:top w:val="nil"/>
              <w:left w:val="nil"/>
              <w:bottom w:val="nil"/>
              <w:right w:val="nil"/>
            </w:tcBorders>
            <w:shd w:val="clear" w:color="auto" w:fill="auto"/>
            <w:noWrap/>
            <w:vAlign w:val="bottom"/>
            <w:hideMark/>
          </w:tcPr>
          <w:p w14:paraId="6DBE3DF0"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0.023</w:t>
            </w:r>
          </w:p>
        </w:tc>
      </w:tr>
      <w:tr w:rsidR="00BE6D93" w:rsidRPr="00267BC6" w14:paraId="2916A572" w14:textId="77777777" w:rsidTr="00267BC6">
        <w:trPr>
          <w:cantSplit/>
          <w:trHeight w:val="20"/>
        </w:trPr>
        <w:tc>
          <w:tcPr>
            <w:tcW w:w="1426" w:type="pct"/>
            <w:tcBorders>
              <w:top w:val="nil"/>
              <w:left w:val="nil"/>
              <w:bottom w:val="nil"/>
              <w:right w:val="nil"/>
            </w:tcBorders>
            <w:shd w:val="clear" w:color="auto" w:fill="auto"/>
            <w:noWrap/>
            <w:vAlign w:val="bottom"/>
            <w:hideMark/>
          </w:tcPr>
          <w:p w14:paraId="5CA69FBC" w14:textId="77777777" w:rsidR="00BE6D93" w:rsidRPr="00267BC6" w:rsidRDefault="00BE6D93"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M (18-34)</w:t>
            </w:r>
          </w:p>
        </w:tc>
        <w:tc>
          <w:tcPr>
            <w:tcW w:w="596" w:type="pct"/>
            <w:tcBorders>
              <w:top w:val="nil"/>
              <w:left w:val="nil"/>
              <w:bottom w:val="nil"/>
              <w:right w:val="nil"/>
            </w:tcBorders>
            <w:shd w:val="clear" w:color="auto" w:fill="auto"/>
            <w:noWrap/>
            <w:vAlign w:val="bottom"/>
            <w:hideMark/>
          </w:tcPr>
          <w:p w14:paraId="7F4AD93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0.695***</w:t>
            </w:r>
          </w:p>
        </w:tc>
        <w:tc>
          <w:tcPr>
            <w:tcW w:w="569" w:type="pct"/>
            <w:tcBorders>
              <w:top w:val="nil"/>
              <w:left w:val="nil"/>
              <w:bottom w:val="nil"/>
              <w:right w:val="nil"/>
            </w:tcBorders>
            <w:shd w:val="clear" w:color="auto" w:fill="auto"/>
            <w:noWrap/>
            <w:vAlign w:val="bottom"/>
            <w:hideMark/>
          </w:tcPr>
          <w:p w14:paraId="757D1994"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1.018***</w:t>
            </w:r>
          </w:p>
        </w:tc>
        <w:tc>
          <w:tcPr>
            <w:tcW w:w="622" w:type="pct"/>
            <w:tcBorders>
              <w:top w:val="nil"/>
              <w:left w:val="nil"/>
              <w:bottom w:val="nil"/>
              <w:right w:val="nil"/>
            </w:tcBorders>
            <w:shd w:val="clear" w:color="auto" w:fill="auto"/>
            <w:noWrap/>
            <w:vAlign w:val="bottom"/>
            <w:hideMark/>
          </w:tcPr>
          <w:p w14:paraId="5B4B3EE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0.572***</w:t>
            </w:r>
          </w:p>
        </w:tc>
        <w:tc>
          <w:tcPr>
            <w:tcW w:w="596" w:type="pct"/>
            <w:tcBorders>
              <w:top w:val="nil"/>
              <w:left w:val="nil"/>
              <w:bottom w:val="nil"/>
              <w:right w:val="nil"/>
            </w:tcBorders>
            <w:shd w:val="clear" w:color="auto" w:fill="auto"/>
            <w:noWrap/>
            <w:vAlign w:val="bottom"/>
            <w:hideMark/>
          </w:tcPr>
          <w:p w14:paraId="70B9BCD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0.388***</w:t>
            </w:r>
          </w:p>
        </w:tc>
        <w:tc>
          <w:tcPr>
            <w:tcW w:w="596" w:type="pct"/>
            <w:tcBorders>
              <w:top w:val="nil"/>
              <w:left w:val="nil"/>
              <w:bottom w:val="nil"/>
              <w:right w:val="nil"/>
            </w:tcBorders>
            <w:shd w:val="clear" w:color="auto" w:fill="auto"/>
            <w:noWrap/>
            <w:vAlign w:val="bottom"/>
            <w:hideMark/>
          </w:tcPr>
          <w:p w14:paraId="208DC35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0.288***</w:t>
            </w:r>
          </w:p>
        </w:tc>
        <w:tc>
          <w:tcPr>
            <w:tcW w:w="594" w:type="pct"/>
            <w:tcBorders>
              <w:top w:val="nil"/>
              <w:left w:val="nil"/>
              <w:bottom w:val="nil"/>
              <w:right w:val="nil"/>
            </w:tcBorders>
            <w:shd w:val="clear" w:color="auto" w:fill="auto"/>
            <w:noWrap/>
            <w:vAlign w:val="bottom"/>
            <w:hideMark/>
          </w:tcPr>
          <w:p w14:paraId="798CC96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0.263***</w:t>
            </w:r>
          </w:p>
        </w:tc>
      </w:tr>
      <w:tr w:rsidR="00BE6D93" w:rsidRPr="00267BC6" w14:paraId="55DA76A3" w14:textId="77777777" w:rsidTr="00267BC6">
        <w:trPr>
          <w:cantSplit/>
          <w:trHeight w:val="20"/>
        </w:trPr>
        <w:tc>
          <w:tcPr>
            <w:tcW w:w="1426" w:type="pct"/>
            <w:tcBorders>
              <w:top w:val="nil"/>
              <w:left w:val="nil"/>
              <w:bottom w:val="nil"/>
              <w:right w:val="nil"/>
            </w:tcBorders>
            <w:shd w:val="clear" w:color="auto" w:fill="auto"/>
            <w:noWrap/>
            <w:vAlign w:val="bottom"/>
            <w:hideMark/>
          </w:tcPr>
          <w:p w14:paraId="64D5CF2B"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79798CC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0.038</w:t>
            </w:r>
          </w:p>
        </w:tc>
        <w:tc>
          <w:tcPr>
            <w:tcW w:w="569" w:type="pct"/>
            <w:tcBorders>
              <w:top w:val="nil"/>
              <w:left w:val="nil"/>
              <w:bottom w:val="nil"/>
              <w:right w:val="nil"/>
            </w:tcBorders>
            <w:shd w:val="clear" w:color="auto" w:fill="auto"/>
            <w:noWrap/>
            <w:vAlign w:val="bottom"/>
            <w:hideMark/>
          </w:tcPr>
          <w:p w14:paraId="471A4DD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0.087</w:t>
            </w:r>
          </w:p>
        </w:tc>
        <w:tc>
          <w:tcPr>
            <w:tcW w:w="622" w:type="pct"/>
            <w:tcBorders>
              <w:top w:val="nil"/>
              <w:left w:val="nil"/>
              <w:bottom w:val="nil"/>
              <w:right w:val="nil"/>
            </w:tcBorders>
            <w:shd w:val="clear" w:color="auto" w:fill="auto"/>
            <w:noWrap/>
            <w:vAlign w:val="bottom"/>
            <w:hideMark/>
          </w:tcPr>
          <w:p w14:paraId="5728F6B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0.044</w:t>
            </w:r>
          </w:p>
        </w:tc>
        <w:tc>
          <w:tcPr>
            <w:tcW w:w="596" w:type="pct"/>
            <w:tcBorders>
              <w:top w:val="nil"/>
              <w:left w:val="nil"/>
              <w:bottom w:val="nil"/>
              <w:right w:val="nil"/>
            </w:tcBorders>
            <w:shd w:val="clear" w:color="auto" w:fill="auto"/>
            <w:noWrap/>
            <w:vAlign w:val="bottom"/>
            <w:hideMark/>
          </w:tcPr>
          <w:p w14:paraId="598D9A81"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0.039</w:t>
            </w:r>
          </w:p>
        </w:tc>
        <w:tc>
          <w:tcPr>
            <w:tcW w:w="596" w:type="pct"/>
            <w:tcBorders>
              <w:top w:val="nil"/>
              <w:left w:val="nil"/>
              <w:bottom w:val="nil"/>
              <w:right w:val="nil"/>
            </w:tcBorders>
            <w:shd w:val="clear" w:color="auto" w:fill="auto"/>
            <w:noWrap/>
            <w:vAlign w:val="bottom"/>
            <w:hideMark/>
          </w:tcPr>
          <w:p w14:paraId="286D206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0.040</w:t>
            </w:r>
          </w:p>
        </w:tc>
        <w:tc>
          <w:tcPr>
            <w:tcW w:w="594" w:type="pct"/>
            <w:tcBorders>
              <w:top w:val="nil"/>
              <w:left w:val="nil"/>
              <w:bottom w:val="nil"/>
              <w:right w:val="nil"/>
            </w:tcBorders>
            <w:shd w:val="clear" w:color="auto" w:fill="auto"/>
            <w:noWrap/>
            <w:vAlign w:val="bottom"/>
            <w:hideMark/>
          </w:tcPr>
          <w:p w14:paraId="7D80EB9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0.054</w:t>
            </w:r>
          </w:p>
        </w:tc>
      </w:tr>
      <w:tr w:rsidR="00BE6D93" w:rsidRPr="00267BC6" w14:paraId="4C92D9A3" w14:textId="77777777" w:rsidTr="00267BC6">
        <w:trPr>
          <w:cantSplit/>
          <w:trHeight w:val="20"/>
        </w:trPr>
        <w:tc>
          <w:tcPr>
            <w:tcW w:w="1426" w:type="pct"/>
            <w:tcBorders>
              <w:top w:val="nil"/>
              <w:left w:val="nil"/>
              <w:bottom w:val="nil"/>
              <w:right w:val="nil"/>
            </w:tcBorders>
            <w:shd w:val="clear" w:color="auto" w:fill="auto"/>
            <w:noWrap/>
            <w:vAlign w:val="bottom"/>
            <w:hideMark/>
          </w:tcPr>
          <w:p w14:paraId="39063E61" w14:textId="77777777" w:rsidR="00BE6D93" w:rsidRPr="00267BC6" w:rsidRDefault="00BE6D93"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M (35-44)</w:t>
            </w:r>
          </w:p>
        </w:tc>
        <w:tc>
          <w:tcPr>
            <w:tcW w:w="596" w:type="pct"/>
            <w:tcBorders>
              <w:top w:val="nil"/>
              <w:left w:val="nil"/>
              <w:bottom w:val="nil"/>
              <w:right w:val="nil"/>
            </w:tcBorders>
            <w:shd w:val="clear" w:color="auto" w:fill="auto"/>
            <w:noWrap/>
            <w:vAlign w:val="bottom"/>
            <w:hideMark/>
          </w:tcPr>
          <w:p w14:paraId="3F93F00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1.353***</w:t>
            </w:r>
          </w:p>
        </w:tc>
        <w:tc>
          <w:tcPr>
            <w:tcW w:w="569" w:type="pct"/>
            <w:tcBorders>
              <w:top w:val="nil"/>
              <w:left w:val="nil"/>
              <w:bottom w:val="nil"/>
              <w:right w:val="nil"/>
            </w:tcBorders>
            <w:shd w:val="clear" w:color="auto" w:fill="auto"/>
            <w:noWrap/>
            <w:vAlign w:val="bottom"/>
            <w:hideMark/>
          </w:tcPr>
          <w:p w14:paraId="296CC9E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1.739***</w:t>
            </w:r>
          </w:p>
        </w:tc>
        <w:tc>
          <w:tcPr>
            <w:tcW w:w="622" w:type="pct"/>
            <w:tcBorders>
              <w:top w:val="nil"/>
              <w:left w:val="nil"/>
              <w:bottom w:val="nil"/>
              <w:right w:val="nil"/>
            </w:tcBorders>
            <w:shd w:val="clear" w:color="auto" w:fill="auto"/>
            <w:noWrap/>
            <w:vAlign w:val="bottom"/>
            <w:hideMark/>
          </w:tcPr>
          <w:p w14:paraId="4D8AC968"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1.268***</w:t>
            </w:r>
          </w:p>
        </w:tc>
        <w:tc>
          <w:tcPr>
            <w:tcW w:w="596" w:type="pct"/>
            <w:tcBorders>
              <w:top w:val="nil"/>
              <w:left w:val="nil"/>
              <w:bottom w:val="nil"/>
              <w:right w:val="nil"/>
            </w:tcBorders>
            <w:shd w:val="clear" w:color="auto" w:fill="auto"/>
            <w:noWrap/>
            <w:vAlign w:val="bottom"/>
            <w:hideMark/>
          </w:tcPr>
          <w:p w14:paraId="605D8BD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1.058***</w:t>
            </w:r>
          </w:p>
        </w:tc>
        <w:tc>
          <w:tcPr>
            <w:tcW w:w="596" w:type="pct"/>
            <w:tcBorders>
              <w:top w:val="nil"/>
              <w:left w:val="nil"/>
              <w:bottom w:val="nil"/>
              <w:right w:val="nil"/>
            </w:tcBorders>
            <w:shd w:val="clear" w:color="auto" w:fill="auto"/>
            <w:noWrap/>
            <w:vAlign w:val="bottom"/>
            <w:hideMark/>
          </w:tcPr>
          <w:p w14:paraId="7FCAE157"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0.880***</w:t>
            </w:r>
          </w:p>
        </w:tc>
        <w:tc>
          <w:tcPr>
            <w:tcW w:w="594" w:type="pct"/>
            <w:tcBorders>
              <w:top w:val="nil"/>
              <w:left w:val="nil"/>
              <w:bottom w:val="nil"/>
              <w:right w:val="nil"/>
            </w:tcBorders>
            <w:shd w:val="clear" w:color="auto" w:fill="auto"/>
            <w:noWrap/>
            <w:vAlign w:val="bottom"/>
            <w:hideMark/>
          </w:tcPr>
          <w:p w14:paraId="2533BAD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0.815***</w:t>
            </w:r>
          </w:p>
        </w:tc>
      </w:tr>
      <w:tr w:rsidR="00BE6D93" w:rsidRPr="00267BC6" w14:paraId="0296495C" w14:textId="77777777" w:rsidTr="00267BC6">
        <w:trPr>
          <w:cantSplit/>
          <w:trHeight w:val="20"/>
        </w:trPr>
        <w:tc>
          <w:tcPr>
            <w:tcW w:w="1426" w:type="pct"/>
            <w:tcBorders>
              <w:top w:val="nil"/>
              <w:left w:val="nil"/>
              <w:bottom w:val="nil"/>
              <w:right w:val="nil"/>
            </w:tcBorders>
            <w:shd w:val="clear" w:color="auto" w:fill="auto"/>
            <w:noWrap/>
            <w:vAlign w:val="bottom"/>
            <w:hideMark/>
          </w:tcPr>
          <w:p w14:paraId="38B429C4"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72B31F1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0.039</w:t>
            </w:r>
          </w:p>
        </w:tc>
        <w:tc>
          <w:tcPr>
            <w:tcW w:w="569" w:type="pct"/>
            <w:tcBorders>
              <w:top w:val="nil"/>
              <w:left w:val="nil"/>
              <w:bottom w:val="nil"/>
              <w:right w:val="nil"/>
            </w:tcBorders>
            <w:shd w:val="clear" w:color="auto" w:fill="auto"/>
            <w:noWrap/>
            <w:vAlign w:val="bottom"/>
            <w:hideMark/>
          </w:tcPr>
          <w:p w14:paraId="5CBC9BDB"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0.085</w:t>
            </w:r>
          </w:p>
        </w:tc>
        <w:tc>
          <w:tcPr>
            <w:tcW w:w="622" w:type="pct"/>
            <w:tcBorders>
              <w:top w:val="nil"/>
              <w:left w:val="nil"/>
              <w:bottom w:val="nil"/>
              <w:right w:val="nil"/>
            </w:tcBorders>
            <w:shd w:val="clear" w:color="auto" w:fill="auto"/>
            <w:noWrap/>
            <w:vAlign w:val="bottom"/>
            <w:hideMark/>
          </w:tcPr>
          <w:p w14:paraId="4AB40CFB"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0.045</w:t>
            </w:r>
          </w:p>
        </w:tc>
        <w:tc>
          <w:tcPr>
            <w:tcW w:w="596" w:type="pct"/>
            <w:tcBorders>
              <w:top w:val="nil"/>
              <w:left w:val="nil"/>
              <w:bottom w:val="nil"/>
              <w:right w:val="nil"/>
            </w:tcBorders>
            <w:shd w:val="clear" w:color="auto" w:fill="auto"/>
            <w:noWrap/>
            <w:vAlign w:val="bottom"/>
            <w:hideMark/>
          </w:tcPr>
          <w:p w14:paraId="7862CCA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0.046</w:t>
            </w:r>
          </w:p>
        </w:tc>
        <w:tc>
          <w:tcPr>
            <w:tcW w:w="596" w:type="pct"/>
            <w:tcBorders>
              <w:top w:val="nil"/>
              <w:left w:val="nil"/>
              <w:bottom w:val="nil"/>
              <w:right w:val="nil"/>
            </w:tcBorders>
            <w:shd w:val="clear" w:color="auto" w:fill="auto"/>
            <w:noWrap/>
            <w:vAlign w:val="bottom"/>
            <w:hideMark/>
          </w:tcPr>
          <w:p w14:paraId="015209D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0.057</w:t>
            </w:r>
          </w:p>
        </w:tc>
        <w:tc>
          <w:tcPr>
            <w:tcW w:w="594" w:type="pct"/>
            <w:tcBorders>
              <w:top w:val="nil"/>
              <w:left w:val="nil"/>
              <w:bottom w:val="nil"/>
              <w:right w:val="nil"/>
            </w:tcBorders>
            <w:shd w:val="clear" w:color="auto" w:fill="auto"/>
            <w:noWrap/>
            <w:vAlign w:val="bottom"/>
            <w:hideMark/>
          </w:tcPr>
          <w:p w14:paraId="435081F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0.074</w:t>
            </w:r>
          </w:p>
        </w:tc>
      </w:tr>
      <w:tr w:rsidR="00BE6D93" w:rsidRPr="00267BC6" w14:paraId="29B38750" w14:textId="77777777" w:rsidTr="00267BC6">
        <w:trPr>
          <w:cantSplit/>
          <w:trHeight w:val="20"/>
        </w:trPr>
        <w:tc>
          <w:tcPr>
            <w:tcW w:w="1426" w:type="pct"/>
            <w:tcBorders>
              <w:top w:val="nil"/>
              <w:left w:val="nil"/>
              <w:bottom w:val="nil"/>
              <w:right w:val="nil"/>
            </w:tcBorders>
            <w:shd w:val="clear" w:color="auto" w:fill="auto"/>
            <w:hideMark/>
          </w:tcPr>
          <w:p w14:paraId="5A88F396"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M (45-64)</w:t>
            </w:r>
          </w:p>
        </w:tc>
        <w:tc>
          <w:tcPr>
            <w:tcW w:w="596" w:type="pct"/>
            <w:tcBorders>
              <w:top w:val="nil"/>
              <w:left w:val="nil"/>
              <w:bottom w:val="nil"/>
              <w:right w:val="nil"/>
            </w:tcBorders>
            <w:shd w:val="clear" w:color="auto" w:fill="auto"/>
            <w:noWrap/>
            <w:vAlign w:val="bottom"/>
            <w:hideMark/>
          </w:tcPr>
          <w:p w14:paraId="52F59EE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1.559***</w:t>
            </w:r>
          </w:p>
        </w:tc>
        <w:tc>
          <w:tcPr>
            <w:tcW w:w="569" w:type="pct"/>
            <w:tcBorders>
              <w:top w:val="nil"/>
              <w:left w:val="nil"/>
              <w:bottom w:val="nil"/>
              <w:right w:val="nil"/>
            </w:tcBorders>
            <w:shd w:val="clear" w:color="auto" w:fill="auto"/>
            <w:noWrap/>
            <w:vAlign w:val="bottom"/>
            <w:hideMark/>
          </w:tcPr>
          <w:p w14:paraId="33DEEE5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1.949***</w:t>
            </w:r>
          </w:p>
        </w:tc>
        <w:tc>
          <w:tcPr>
            <w:tcW w:w="622" w:type="pct"/>
            <w:tcBorders>
              <w:top w:val="nil"/>
              <w:left w:val="nil"/>
              <w:bottom w:val="nil"/>
              <w:right w:val="nil"/>
            </w:tcBorders>
            <w:shd w:val="clear" w:color="auto" w:fill="auto"/>
            <w:noWrap/>
            <w:vAlign w:val="bottom"/>
            <w:hideMark/>
          </w:tcPr>
          <w:p w14:paraId="0A6A96AA"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1.525***</w:t>
            </w:r>
          </w:p>
        </w:tc>
        <w:tc>
          <w:tcPr>
            <w:tcW w:w="596" w:type="pct"/>
            <w:tcBorders>
              <w:top w:val="nil"/>
              <w:left w:val="nil"/>
              <w:bottom w:val="nil"/>
              <w:right w:val="nil"/>
            </w:tcBorders>
            <w:shd w:val="clear" w:color="auto" w:fill="auto"/>
            <w:noWrap/>
            <w:vAlign w:val="bottom"/>
            <w:hideMark/>
          </w:tcPr>
          <w:p w14:paraId="3622B26D"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1.276***</w:t>
            </w:r>
          </w:p>
        </w:tc>
        <w:tc>
          <w:tcPr>
            <w:tcW w:w="596" w:type="pct"/>
            <w:tcBorders>
              <w:top w:val="nil"/>
              <w:left w:val="nil"/>
              <w:bottom w:val="nil"/>
              <w:right w:val="nil"/>
            </w:tcBorders>
            <w:shd w:val="clear" w:color="auto" w:fill="auto"/>
            <w:noWrap/>
            <w:vAlign w:val="bottom"/>
            <w:hideMark/>
          </w:tcPr>
          <w:p w14:paraId="6C23E20D"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1.051***</w:t>
            </w:r>
          </w:p>
        </w:tc>
        <w:tc>
          <w:tcPr>
            <w:tcW w:w="594" w:type="pct"/>
            <w:tcBorders>
              <w:top w:val="nil"/>
              <w:left w:val="nil"/>
              <w:bottom w:val="nil"/>
              <w:right w:val="nil"/>
            </w:tcBorders>
            <w:shd w:val="clear" w:color="auto" w:fill="auto"/>
            <w:noWrap/>
            <w:vAlign w:val="bottom"/>
            <w:hideMark/>
          </w:tcPr>
          <w:p w14:paraId="37A4007D"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0.964***</w:t>
            </w:r>
          </w:p>
        </w:tc>
      </w:tr>
      <w:tr w:rsidR="00BE6D93" w:rsidRPr="00267BC6" w14:paraId="1DAD8B27" w14:textId="77777777" w:rsidTr="00267BC6">
        <w:trPr>
          <w:cantSplit/>
          <w:trHeight w:val="20"/>
        </w:trPr>
        <w:tc>
          <w:tcPr>
            <w:tcW w:w="1426" w:type="pct"/>
            <w:tcBorders>
              <w:top w:val="nil"/>
              <w:left w:val="nil"/>
              <w:bottom w:val="nil"/>
              <w:right w:val="nil"/>
            </w:tcBorders>
            <w:shd w:val="clear" w:color="auto" w:fill="auto"/>
            <w:noWrap/>
            <w:vAlign w:val="bottom"/>
            <w:hideMark/>
          </w:tcPr>
          <w:p w14:paraId="675AE1F9"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249C0C7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0.037</w:t>
            </w:r>
          </w:p>
        </w:tc>
        <w:tc>
          <w:tcPr>
            <w:tcW w:w="569" w:type="pct"/>
            <w:tcBorders>
              <w:top w:val="nil"/>
              <w:left w:val="nil"/>
              <w:bottom w:val="nil"/>
              <w:right w:val="nil"/>
            </w:tcBorders>
            <w:shd w:val="clear" w:color="auto" w:fill="auto"/>
            <w:noWrap/>
            <w:vAlign w:val="bottom"/>
            <w:hideMark/>
          </w:tcPr>
          <w:p w14:paraId="1196E02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0.082</w:t>
            </w:r>
          </w:p>
        </w:tc>
        <w:tc>
          <w:tcPr>
            <w:tcW w:w="622" w:type="pct"/>
            <w:tcBorders>
              <w:top w:val="nil"/>
              <w:left w:val="nil"/>
              <w:bottom w:val="nil"/>
              <w:right w:val="nil"/>
            </w:tcBorders>
            <w:shd w:val="clear" w:color="auto" w:fill="auto"/>
            <w:noWrap/>
            <w:vAlign w:val="bottom"/>
            <w:hideMark/>
          </w:tcPr>
          <w:p w14:paraId="64216D50"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0.041</w:t>
            </w:r>
          </w:p>
        </w:tc>
        <w:tc>
          <w:tcPr>
            <w:tcW w:w="596" w:type="pct"/>
            <w:tcBorders>
              <w:top w:val="nil"/>
              <w:left w:val="nil"/>
              <w:bottom w:val="nil"/>
              <w:right w:val="nil"/>
            </w:tcBorders>
            <w:shd w:val="clear" w:color="auto" w:fill="auto"/>
            <w:noWrap/>
            <w:vAlign w:val="bottom"/>
            <w:hideMark/>
          </w:tcPr>
          <w:p w14:paraId="716B84A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0.041</w:t>
            </w:r>
          </w:p>
        </w:tc>
        <w:tc>
          <w:tcPr>
            <w:tcW w:w="596" w:type="pct"/>
            <w:tcBorders>
              <w:top w:val="nil"/>
              <w:left w:val="nil"/>
              <w:bottom w:val="nil"/>
              <w:right w:val="nil"/>
            </w:tcBorders>
            <w:shd w:val="clear" w:color="auto" w:fill="auto"/>
            <w:noWrap/>
            <w:vAlign w:val="bottom"/>
            <w:hideMark/>
          </w:tcPr>
          <w:p w14:paraId="44CCFEC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0.050</w:t>
            </w:r>
          </w:p>
        </w:tc>
        <w:tc>
          <w:tcPr>
            <w:tcW w:w="594" w:type="pct"/>
            <w:tcBorders>
              <w:top w:val="nil"/>
              <w:left w:val="nil"/>
              <w:bottom w:val="nil"/>
              <w:right w:val="nil"/>
            </w:tcBorders>
            <w:shd w:val="clear" w:color="auto" w:fill="auto"/>
            <w:noWrap/>
            <w:vAlign w:val="bottom"/>
            <w:hideMark/>
          </w:tcPr>
          <w:p w14:paraId="0756880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0.069</w:t>
            </w:r>
          </w:p>
        </w:tc>
      </w:tr>
      <w:tr w:rsidR="00BE6D93" w:rsidRPr="00267BC6" w14:paraId="25225E81" w14:textId="77777777" w:rsidTr="00267BC6">
        <w:trPr>
          <w:cantSplit/>
          <w:trHeight w:val="20"/>
        </w:trPr>
        <w:tc>
          <w:tcPr>
            <w:tcW w:w="1426" w:type="pct"/>
            <w:tcBorders>
              <w:top w:val="nil"/>
              <w:left w:val="nil"/>
              <w:bottom w:val="nil"/>
              <w:right w:val="nil"/>
            </w:tcBorders>
            <w:shd w:val="clear" w:color="auto" w:fill="auto"/>
            <w:hideMark/>
          </w:tcPr>
          <w:p w14:paraId="25C00E64"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M (65-74)</w:t>
            </w:r>
          </w:p>
        </w:tc>
        <w:tc>
          <w:tcPr>
            <w:tcW w:w="596" w:type="pct"/>
            <w:tcBorders>
              <w:top w:val="nil"/>
              <w:left w:val="nil"/>
              <w:bottom w:val="nil"/>
              <w:right w:val="nil"/>
            </w:tcBorders>
            <w:shd w:val="clear" w:color="auto" w:fill="auto"/>
            <w:noWrap/>
            <w:vAlign w:val="bottom"/>
            <w:hideMark/>
          </w:tcPr>
          <w:p w14:paraId="53F4E725"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1.395***</w:t>
            </w:r>
          </w:p>
        </w:tc>
        <w:tc>
          <w:tcPr>
            <w:tcW w:w="569" w:type="pct"/>
            <w:tcBorders>
              <w:top w:val="nil"/>
              <w:left w:val="nil"/>
              <w:bottom w:val="nil"/>
              <w:right w:val="nil"/>
            </w:tcBorders>
            <w:shd w:val="clear" w:color="auto" w:fill="auto"/>
            <w:noWrap/>
            <w:vAlign w:val="bottom"/>
            <w:hideMark/>
          </w:tcPr>
          <w:p w14:paraId="755467F4"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1.857***</w:t>
            </w:r>
          </w:p>
        </w:tc>
        <w:tc>
          <w:tcPr>
            <w:tcW w:w="622" w:type="pct"/>
            <w:tcBorders>
              <w:top w:val="nil"/>
              <w:left w:val="nil"/>
              <w:bottom w:val="nil"/>
              <w:right w:val="nil"/>
            </w:tcBorders>
            <w:shd w:val="clear" w:color="auto" w:fill="auto"/>
            <w:noWrap/>
            <w:vAlign w:val="bottom"/>
            <w:hideMark/>
          </w:tcPr>
          <w:p w14:paraId="422502F6"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1.364***</w:t>
            </w:r>
          </w:p>
        </w:tc>
        <w:tc>
          <w:tcPr>
            <w:tcW w:w="596" w:type="pct"/>
            <w:tcBorders>
              <w:top w:val="nil"/>
              <w:left w:val="nil"/>
              <w:bottom w:val="nil"/>
              <w:right w:val="nil"/>
            </w:tcBorders>
            <w:shd w:val="clear" w:color="auto" w:fill="auto"/>
            <w:noWrap/>
            <w:vAlign w:val="bottom"/>
            <w:hideMark/>
          </w:tcPr>
          <w:p w14:paraId="20EF730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1.081***</w:t>
            </w:r>
          </w:p>
        </w:tc>
        <w:tc>
          <w:tcPr>
            <w:tcW w:w="596" w:type="pct"/>
            <w:tcBorders>
              <w:top w:val="nil"/>
              <w:left w:val="nil"/>
              <w:bottom w:val="nil"/>
              <w:right w:val="nil"/>
            </w:tcBorders>
            <w:shd w:val="clear" w:color="auto" w:fill="auto"/>
            <w:noWrap/>
            <w:vAlign w:val="bottom"/>
            <w:hideMark/>
          </w:tcPr>
          <w:p w14:paraId="1D1BCCD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0.824***</w:t>
            </w:r>
          </w:p>
        </w:tc>
        <w:tc>
          <w:tcPr>
            <w:tcW w:w="594" w:type="pct"/>
            <w:tcBorders>
              <w:top w:val="nil"/>
              <w:left w:val="nil"/>
              <w:bottom w:val="nil"/>
              <w:right w:val="nil"/>
            </w:tcBorders>
            <w:shd w:val="clear" w:color="auto" w:fill="auto"/>
            <w:noWrap/>
            <w:vAlign w:val="bottom"/>
            <w:hideMark/>
          </w:tcPr>
          <w:p w14:paraId="4E8D7DDD"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0.593***</w:t>
            </w:r>
          </w:p>
        </w:tc>
      </w:tr>
      <w:tr w:rsidR="00BE6D93" w:rsidRPr="00267BC6" w14:paraId="1A096EA1" w14:textId="77777777" w:rsidTr="00267BC6">
        <w:trPr>
          <w:cantSplit/>
          <w:trHeight w:val="20"/>
        </w:trPr>
        <w:tc>
          <w:tcPr>
            <w:tcW w:w="1426" w:type="pct"/>
            <w:tcBorders>
              <w:top w:val="nil"/>
              <w:left w:val="nil"/>
              <w:bottom w:val="nil"/>
              <w:right w:val="nil"/>
            </w:tcBorders>
            <w:shd w:val="clear" w:color="auto" w:fill="auto"/>
            <w:noWrap/>
            <w:vAlign w:val="bottom"/>
            <w:hideMark/>
          </w:tcPr>
          <w:p w14:paraId="32903ED3"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62C6F4D3"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0.045</w:t>
            </w:r>
          </w:p>
        </w:tc>
        <w:tc>
          <w:tcPr>
            <w:tcW w:w="569" w:type="pct"/>
            <w:tcBorders>
              <w:top w:val="nil"/>
              <w:left w:val="nil"/>
              <w:bottom w:val="nil"/>
              <w:right w:val="nil"/>
            </w:tcBorders>
            <w:shd w:val="clear" w:color="auto" w:fill="auto"/>
            <w:noWrap/>
            <w:vAlign w:val="bottom"/>
            <w:hideMark/>
          </w:tcPr>
          <w:p w14:paraId="05AB2A22"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0.086</w:t>
            </w:r>
          </w:p>
        </w:tc>
        <w:tc>
          <w:tcPr>
            <w:tcW w:w="622" w:type="pct"/>
            <w:tcBorders>
              <w:top w:val="nil"/>
              <w:left w:val="nil"/>
              <w:bottom w:val="nil"/>
              <w:right w:val="nil"/>
            </w:tcBorders>
            <w:shd w:val="clear" w:color="auto" w:fill="auto"/>
            <w:noWrap/>
            <w:vAlign w:val="bottom"/>
            <w:hideMark/>
          </w:tcPr>
          <w:p w14:paraId="127C07E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0.052</w:t>
            </w:r>
          </w:p>
        </w:tc>
        <w:tc>
          <w:tcPr>
            <w:tcW w:w="596" w:type="pct"/>
            <w:tcBorders>
              <w:top w:val="nil"/>
              <w:left w:val="nil"/>
              <w:bottom w:val="nil"/>
              <w:right w:val="nil"/>
            </w:tcBorders>
            <w:shd w:val="clear" w:color="auto" w:fill="auto"/>
            <w:noWrap/>
            <w:vAlign w:val="bottom"/>
            <w:hideMark/>
          </w:tcPr>
          <w:p w14:paraId="3B4839E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0.057</w:t>
            </w:r>
          </w:p>
        </w:tc>
        <w:tc>
          <w:tcPr>
            <w:tcW w:w="596" w:type="pct"/>
            <w:tcBorders>
              <w:top w:val="nil"/>
              <w:left w:val="nil"/>
              <w:bottom w:val="nil"/>
              <w:right w:val="nil"/>
            </w:tcBorders>
            <w:shd w:val="clear" w:color="auto" w:fill="auto"/>
            <w:noWrap/>
            <w:vAlign w:val="bottom"/>
            <w:hideMark/>
          </w:tcPr>
          <w:p w14:paraId="5CE23EF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0.077</w:t>
            </w:r>
          </w:p>
        </w:tc>
        <w:tc>
          <w:tcPr>
            <w:tcW w:w="594" w:type="pct"/>
            <w:tcBorders>
              <w:top w:val="nil"/>
              <w:left w:val="nil"/>
              <w:bottom w:val="nil"/>
              <w:right w:val="nil"/>
            </w:tcBorders>
            <w:shd w:val="clear" w:color="auto" w:fill="auto"/>
            <w:noWrap/>
            <w:vAlign w:val="bottom"/>
            <w:hideMark/>
          </w:tcPr>
          <w:p w14:paraId="6E9660B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0.102</w:t>
            </w:r>
          </w:p>
        </w:tc>
      </w:tr>
      <w:tr w:rsidR="00BE6D93" w:rsidRPr="00267BC6" w14:paraId="2D9DCEB7" w14:textId="77777777" w:rsidTr="00267BC6">
        <w:trPr>
          <w:cantSplit/>
          <w:trHeight w:val="20"/>
        </w:trPr>
        <w:tc>
          <w:tcPr>
            <w:tcW w:w="1426" w:type="pct"/>
            <w:tcBorders>
              <w:top w:val="nil"/>
              <w:left w:val="nil"/>
              <w:bottom w:val="nil"/>
              <w:right w:val="nil"/>
            </w:tcBorders>
            <w:shd w:val="clear" w:color="auto" w:fill="auto"/>
            <w:noWrap/>
            <w:vAlign w:val="bottom"/>
            <w:hideMark/>
          </w:tcPr>
          <w:p w14:paraId="76E5CCA9" w14:textId="77777777" w:rsidR="00BE6D93" w:rsidRPr="00267BC6" w:rsidRDefault="00BE6D93"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M (75+)</w:t>
            </w:r>
          </w:p>
        </w:tc>
        <w:tc>
          <w:tcPr>
            <w:tcW w:w="596" w:type="pct"/>
            <w:tcBorders>
              <w:top w:val="nil"/>
              <w:left w:val="nil"/>
              <w:bottom w:val="nil"/>
              <w:right w:val="nil"/>
            </w:tcBorders>
            <w:shd w:val="clear" w:color="auto" w:fill="auto"/>
            <w:noWrap/>
            <w:vAlign w:val="bottom"/>
            <w:hideMark/>
          </w:tcPr>
          <w:p w14:paraId="68E955B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1.082***</w:t>
            </w:r>
          </w:p>
        </w:tc>
        <w:tc>
          <w:tcPr>
            <w:tcW w:w="569" w:type="pct"/>
            <w:tcBorders>
              <w:top w:val="nil"/>
              <w:left w:val="nil"/>
              <w:bottom w:val="nil"/>
              <w:right w:val="nil"/>
            </w:tcBorders>
            <w:shd w:val="clear" w:color="auto" w:fill="auto"/>
            <w:noWrap/>
            <w:vAlign w:val="bottom"/>
            <w:hideMark/>
          </w:tcPr>
          <w:p w14:paraId="5A8B5F05"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1.552***</w:t>
            </w:r>
          </w:p>
        </w:tc>
        <w:tc>
          <w:tcPr>
            <w:tcW w:w="622" w:type="pct"/>
            <w:tcBorders>
              <w:top w:val="nil"/>
              <w:left w:val="nil"/>
              <w:bottom w:val="nil"/>
              <w:right w:val="nil"/>
            </w:tcBorders>
            <w:shd w:val="clear" w:color="auto" w:fill="auto"/>
            <w:noWrap/>
            <w:vAlign w:val="bottom"/>
            <w:hideMark/>
          </w:tcPr>
          <w:p w14:paraId="2FC92C77"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1.013***</w:t>
            </w:r>
          </w:p>
        </w:tc>
        <w:tc>
          <w:tcPr>
            <w:tcW w:w="596" w:type="pct"/>
            <w:tcBorders>
              <w:top w:val="nil"/>
              <w:left w:val="nil"/>
              <w:bottom w:val="nil"/>
              <w:right w:val="nil"/>
            </w:tcBorders>
            <w:shd w:val="clear" w:color="auto" w:fill="auto"/>
            <w:noWrap/>
            <w:vAlign w:val="bottom"/>
            <w:hideMark/>
          </w:tcPr>
          <w:p w14:paraId="53BBAF6A"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0.737***</w:t>
            </w:r>
          </w:p>
        </w:tc>
        <w:tc>
          <w:tcPr>
            <w:tcW w:w="596" w:type="pct"/>
            <w:tcBorders>
              <w:top w:val="nil"/>
              <w:left w:val="nil"/>
              <w:bottom w:val="nil"/>
              <w:right w:val="nil"/>
            </w:tcBorders>
            <w:shd w:val="clear" w:color="auto" w:fill="auto"/>
            <w:noWrap/>
            <w:vAlign w:val="bottom"/>
            <w:hideMark/>
          </w:tcPr>
          <w:p w14:paraId="62455BB5"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0.424***</w:t>
            </w:r>
          </w:p>
        </w:tc>
        <w:tc>
          <w:tcPr>
            <w:tcW w:w="594" w:type="pct"/>
            <w:tcBorders>
              <w:top w:val="nil"/>
              <w:left w:val="nil"/>
              <w:bottom w:val="nil"/>
              <w:right w:val="nil"/>
            </w:tcBorders>
            <w:shd w:val="clear" w:color="auto" w:fill="auto"/>
            <w:noWrap/>
            <w:vAlign w:val="bottom"/>
            <w:hideMark/>
          </w:tcPr>
          <w:p w14:paraId="19DC25A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0.248**</w:t>
            </w:r>
          </w:p>
        </w:tc>
      </w:tr>
      <w:tr w:rsidR="00BE6D93" w:rsidRPr="00267BC6" w14:paraId="7F3FD6EC" w14:textId="77777777" w:rsidTr="00267BC6">
        <w:trPr>
          <w:cantSplit/>
          <w:trHeight w:val="20"/>
        </w:trPr>
        <w:tc>
          <w:tcPr>
            <w:tcW w:w="1426" w:type="pct"/>
            <w:tcBorders>
              <w:top w:val="nil"/>
              <w:left w:val="nil"/>
              <w:bottom w:val="nil"/>
              <w:right w:val="nil"/>
            </w:tcBorders>
            <w:shd w:val="clear" w:color="auto" w:fill="auto"/>
            <w:noWrap/>
            <w:vAlign w:val="bottom"/>
            <w:hideMark/>
          </w:tcPr>
          <w:p w14:paraId="1A1001CC"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7321B53D"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0.050</w:t>
            </w:r>
          </w:p>
        </w:tc>
        <w:tc>
          <w:tcPr>
            <w:tcW w:w="569" w:type="pct"/>
            <w:tcBorders>
              <w:top w:val="nil"/>
              <w:left w:val="nil"/>
              <w:bottom w:val="nil"/>
              <w:right w:val="nil"/>
            </w:tcBorders>
            <w:shd w:val="clear" w:color="auto" w:fill="auto"/>
            <w:noWrap/>
            <w:vAlign w:val="bottom"/>
            <w:hideMark/>
          </w:tcPr>
          <w:p w14:paraId="6F32E5F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0.094</w:t>
            </w:r>
          </w:p>
        </w:tc>
        <w:tc>
          <w:tcPr>
            <w:tcW w:w="622" w:type="pct"/>
            <w:tcBorders>
              <w:top w:val="nil"/>
              <w:left w:val="nil"/>
              <w:bottom w:val="nil"/>
              <w:right w:val="nil"/>
            </w:tcBorders>
            <w:shd w:val="clear" w:color="auto" w:fill="auto"/>
            <w:noWrap/>
            <w:vAlign w:val="bottom"/>
            <w:hideMark/>
          </w:tcPr>
          <w:p w14:paraId="0EACF180"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0.059</w:t>
            </w:r>
          </w:p>
        </w:tc>
        <w:tc>
          <w:tcPr>
            <w:tcW w:w="596" w:type="pct"/>
            <w:tcBorders>
              <w:top w:val="nil"/>
              <w:left w:val="nil"/>
              <w:bottom w:val="nil"/>
              <w:right w:val="nil"/>
            </w:tcBorders>
            <w:shd w:val="clear" w:color="auto" w:fill="auto"/>
            <w:noWrap/>
            <w:vAlign w:val="bottom"/>
            <w:hideMark/>
          </w:tcPr>
          <w:p w14:paraId="1BB97AF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0.064</w:t>
            </w:r>
          </w:p>
        </w:tc>
        <w:tc>
          <w:tcPr>
            <w:tcW w:w="596" w:type="pct"/>
            <w:tcBorders>
              <w:top w:val="nil"/>
              <w:left w:val="nil"/>
              <w:bottom w:val="nil"/>
              <w:right w:val="nil"/>
            </w:tcBorders>
            <w:shd w:val="clear" w:color="auto" w:fill="auto"/>
            <w:noWrap/>
            <w:vAlign w:val="bottom"/>
            <w:hideMark/>
          </w:tcPr>
          <w:p w14:paraId="35AF29CD"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0.083</w:t>
            </w:r>
          </w:p>
        </w:tc>
        <w:tc>
          <w:tcPr>
            <w:tcW w:w="594" w:type="pct"/>
            <w:tcBorders>
              <w:top w:val="nil"/>
              <w:left w:val="nil"/>
              <w:bottom w:val="nil"/>
              <w:right w:val="nil"/>
            </w:tcBorders>
            <w:shd w:val="clear" w:color="auto" w:fill="auto"/>
            <w:noWrap/>
            <w:vAlign w:val="bottom"/>
            <w:hideMark/>
          </w:tcPr>
          <w:p w14:paraId="1BE36FA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0.103</w:t>
            </w:r>
          </w:p>
        </w:tc>
      </w:tr>
      <w:tr w:rsidR="00BE6D93" w:rsidRPr="00267BC6" w14:paraId="78FB3E58" w14:textId="77777777" w:rsidTr="00267BC6">
        <w:trPr>
          <w:cantSplit/>
          <w:trHeight w:val="20"/>
        </w:trPr>
        <w:tc>
          <w:tcPr>
            <w:tcW w:w="1426" w:type="pct"/>
            <w:tcBorders>
              <w:top w:val="nil"/>
              <w:left w:val="nil"/>
              <w:bottom w:val="nil"/>
              <w:right w:val="nil"/>
            </w:tcBorders>
            <w:shd w:val="clear" w:color="auto" w:fill="auto"/>
            <w:noWrap/>
            <w:vAlign w:val="bottom"/>
            <w:hideMark/>
          </w:tcPr>
          <w:p w14:paraId="4F2519D7" w14:textId="77777777" w:rsidR="00BE6D93" w:rsidRPr="00267BC6" w:rsidRDefault="00BE6D93"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F (11-18)</w:t>
            </w:r>
          </w:p>
        </w:tc>
        <w:tc>
          <w:tcPr>
            <w:tcW w:w="596" w:type="pct"/>
            <w:tcBorders>
              <w:top w:val="nil"/>
              <w:left w:val="nil"/>
              <w:bottom w:val="nil"/>
              <w:right w:val="nil"/>
            </w:tcBorders>
            <w:shd w:val="clear" w:color="auto" w:fill="auto"/>
            <w:noWrap/>
            <w:vAlign w:val="bottom"/>
            <w:hideMark/>
          </w:tcPr>
          <w:p w14:paraId="5D5D1B8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0.104**</w:t>
            </w:r>
          </w:p>
        </w:tc>
        <w:tc>
          <w:tcPr>
            <w:tcW w:w="569" w:type="pct"/>
            <w:tcBorders>
              <w:top w:val="nil"/>
              <w:left w:val="nil"/>
              <w:bottom w:val="nil"/>
              <w:right w:val="nil"/>
            </w:tcBorders>
            <w:shd w:val="clear" w:color="auto" w:fill="auto"/>
            <w:noWrap/>
            <w:vAlign w:val="bottom"/>
            <w:hideMark/>
          </w:tcPr>
          <w:p w14:paraId="57F6F73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0.270**</w:t>
            </w:r>
          </w:p>
        </w:tc>
        <w:tc>
          <w:tcPr>
            <w:tcW w:w="622" w:type="pct"/>
            <w:tcBorders>
              <w:top w:val="nil"/>
              <w:left w:val="nil"/>
              <w:bottom w:val="nil"/>
              <w:right w:val="nil"/>
            </w:tcBorders>
            <w:shd w:val="clear" w:color="auto" w:fill="auto"/>
            <w:noWrap/>
            <w:vAlign w:val="bottom"/>
            <w:hideMark/>
          </w:tcPr>
          <w:p w14:paraId="3877EB8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0.022</w:t>
            </w:r>
          </w:p>
        </w:tc>
        <w:tc>
          <w:tcPr>
            <w:tcW w:w="596" w:type="pct"/>
            <w:tcBorders>
              <w:top w:val="nil"/>
              <w:left w:val="nil"/>
              <w:bottom w:val="nil"/>
              <w:right w:val="nil"/>
            </w:tcBorders>
            <w:shd w:val="clear" w:color="auto" w:fill="auto"/>
            <w:noWrap/>
            <w:vAlign w:val="bottom"/>
            <w:hideMark/>
          </w:tcPr>
          <w:p w14:paraId="6B926F81"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0.008</w:t>
            </w:r>
          </w:p>
        </w:tc>
        <w:tc>
          <w:tcPr>
            <w:tcW w:w="596" w:type="pct"/>
            <w:tcBorders>
              <w:top w:val="nil"/>
              <w:left w:val="nil"/>
              <w:bottom w:val="nil"/>
              <w:right w:val="nil"/>
            </w:tcBorders>
            <w:shd w:val="clear" w:color="auto" w:fill="auto"/>
            <w:noWrap/>
            <w:vAlign w:val="bottom"/>
            <w:hideMark/>
          </w:tcPr>
          <w:p w14:paraId="6BCC982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0.024</w:t>
            </w:r>
          </w:p>
        </w:tc>
        <w:tc>
          <w:tcPr>
            <w:tcW w:w="594" w:type="pct"/>
            <w:tcBorders>
              <w:top w:val="nil"/>
              <w:left w:val="nil"/>
              <w:bottom w:val="nil"/>
              <w:right w:val="nil"/>
            </w:tcBorders>
            <w:shd w:val="clear" w:color="auto" w:fill="auto"/>
            <w:noWrap/>
            <w:vAlign w:val="bottom"/>
            <w:hideMark/>
          </w:tcPr>
          <w:p w14:paraId="22F70157"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0.067</w:t>
            </w:r>
          </w:p>
        </w:tc>
      </w:tr>
      <w:tr w:rsidR="00BE6D93" w:rsidRPr="00267BC6" w14:paraId="0410DA18" w14:textId="77777777" w:rsidTr="00267BC6">
        <w:trPr>
          <w:cantSplit/>
          <w:trHeight w:val="20"/>
        </w:trPr>
        <w:tc>
          <w:tcPr>
            <w:tcW w:w="1426" w:type="pct"/>
            <w:tcBorders>
              <w:top w:val="nil"/>
              <w:left w:val="nil"/>
              <w:bottom w:val="nil"/>
              <w:right w:val="nil"/>
            </w:tcBorders>
            <w:shd w:val="clear" w:color="auto" w:fill="auto"/>
            <w:noWrap/>
            <w:vAlign w:val="bottom"/>
            <w:hideMark/>
          </w:tcPr>
          <w:p w14:paraId="5993AAB5"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1108BB9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0.042</w:t>
            </w:r>
          </w:p>
        </w:tc>
        <w:tc>
          <w:tcPr>
            <w:tcW w:w="569" w:type="pct"/>
            <w:tcBorders>
              <w:top w:val="nil"/>
              <w:left w:val="nil"/>
              <w:bottom w:val="nil"/>
              <w:right w:val="nil"/>
            </w:tcBorders>
            <w:shd w:val="clear" w:color="auto" w:fill="auto"/>
            <w:noWrap/>
            <w:vAlign w:val="bottom"/>
            <w:hideMark/>
          </w:tcPr>
          <w:p w14:paraId="171187E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0.105</w:t>
            </w:r>
          </w:p>
        </w:tc>
        <w:tc>
          <w:tcPr>
            <w:tcW w:w="622" w:type="pct"/>
            <w:tcBorders>
              <w:top w:val="nil"/>
              <w:left w:val="nil"/>
              <w:bottom w:val="nil"/>
              <w:right w:val="nil"/>
            </w:tcBorders>
            <w:shd w:val="clear" w:color="auto" w:fill="auto"/>
            <w:noWrap/>
            <w:vAlign w:val="bottom"/>
            <w:hideMark/>
          </w:tcPr>
          <w:p w14:paraId="16970F3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0.057</w:t>
            </w:r>
          </w:p>
        </w:tc>
        <w:tc>
          <w:tcPr>
            <w:tcW w:w="596" w:type="pct"/>
            <w:tcBorders>
              <w:top w:val="nil"/>
              <w:left w:val="nil"/>
              <w:bottom w:val="nil"/>
              <w:right w:val="nil"/>
            </w:tcBorders>
            <w:shd w:val="clear" w:color="auto" w:fill="auto"/>
            <w:noWrap/>
            <w:vAlign w:val="bottom"/>
            <w:hideMark/>
          </w:tcPr>
          <w:p w14:paraId="3C2FA592"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0.043</w:t>
            </w:r>
          </w:p>
        </w:tc>
        <w:tc>
          <w:tcPr>
            <w:tcW w:w="596" w:type="pct"/>
            <w:tcBorders>
              <w:top w:val="nil"/>
              <w:left w:val="nil"/>
              <w:bottom w:val="nil"/>
              <w:right w:val="nil"/>
            </w:tcBorders>
            <w:shd w:val="clear" w:color="auto" w:fill="auto"/>
            <w:noWrap/>
            <w:vAlign w:val="bottom"/>
            <w:hideMark/>
          </w:tcPr>
          <w:p w14:paraId="0AEF9DC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0.051</w:t>
            </w:r>
          </w:p>
        </w:tc>
        <w:tc>
          <w:tcPr>
            <w:tcW w:w="594" w:type="pct"/>
            <w:tcBorders>
              <w:top w:val="nil"/>
              <w:left w:val="nil"/>
              <w:bottom w:val="nil"/>
              <w:right w:val="nil"/>
            </w:tcBorders>
            <w:shd w:val="clear" w:color="auto" w:fill="auto"/>
            <w:noWrap/>
            <w:vAlign w:val="bottom"/>
            <w:hideMark/>
          </w:tcPr>
          <w:p w14:paraId="258540B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0.075</w:t>
            </w:r>
          </w:p>
        </w:tc>
      </w:tr>
      <w:tr w:rsidR="00BE6D93" w:rsidRPr="00267BC6" w14:paraId="73F9FFF7" w14:textId="77777777" w:rsidTr="00267BC6">
        <w:trPr>
          <w:cantSplit/>
          <w:trHeight w:val="20"/>
        </w:trPr>
        <w:tc>
          <w:tcPr>
            <w:tcW w:w="1426" w:type="pct"/>
            <w:tcBorders>
              <w:top w:val="nil"/>
              <w:left w:val="nil"/>
              <w:bottom w:val="nil"/>
              <w:right w:val="nil"/>
            </w:tcBorders>
            <w:shd w:val="clear" w:color="auto" w:fill="auto"/>
            <w:hideMark/>
          </w:tcPr>
          <w:p w14:paraId="158B78E1"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F (18-34)</w:t>
            </w:r>
          </w:p>
        </w:tc>
        <w:tc>
          <w:tcPr>
            <w:tcW w:w="596" w:type="pct"/>
            <w:tcBorders>
              <w:top w:val="nil"/>
              <w:left w:val="nil"/>
              <w:bottom w:val="nil"/>
              <w:right w:val="nil"/>
            </w:tcBorders>
            <w:shd w:val="clear" w:color="auto" w:fill="auto"/>
            <w:noWrap/>
            <w:vAlign w:val="bottom"/>
            <w:hideMark/>
          </w:tcPr>
          <w:p w14:paraId="22A8FF05"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0.514***</w:t>
            </w:r>
          </w:p>
        </w:tc>
        <w:tc>
          <w:tcPr>
            <w:tcW w:w="569" w:type="pct"/>
            <w:tcBorders>
              <w:top w:val="nil"/>
              <w:left w:val="nil"/>
              <w:bottom w:val="nil"/>
              <w:right w:val="nil"/>
            </w:tcBorders>
            <w:shd w:val="clear" w:color="auto" w:fill="auto"/>
            <w:noWrap/>
            <w:vAlign w:val="bottom"/>
            <w:hideMark/>
          </w:tcPr>
          <w:p w14:paraId="484C2DE5"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0.842***</w:t>
            </w:r>
          </w:p>
        </w:tc>
        <w:tc>
          <w:tcPr>
            <w:tcW w:w="622" w:type="pct"/>
            <w:tcBorders>
              <w:top w:val="nil"/>
              <w:left w:val="nil"/>
              <w:bottom w:val="nil"/>
              <w:right w:val="nil"/>
            </w:tcBorders>
            <w:shd w:val="clear" w:color="auto" w:fill="auto"/>
            <w:noWrap/>
            <w:vAlign w:val="bottom"/>
            <w:hideMark/>
          </w:tcPr>
          <w:p w14:paraId="2D89842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0.348***</w:t>
            </w:r>
          </w:p>
        </w:tc>
        <w:tc>
          <w:tcPr>
            <w:tcW w:w="596" w:type="pct"/>
            <w:tcBorders>
              <w:top w:val="nil"/>
              <w:left w:val="nil"/>
              <w:bottom w:val="nil"/>
              <w:right w:val="nil"/>
            </w:tcBorders>
            <w:shd w:val="clear" w:color="auto" w:fill="auto"/>
            <w:noWrap/>
            <w:vAlign w:val="bottom"/>
            <w:hideMark/>
          </w:tcPr>
          <w:p w14:paraId="0FA0B85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0.197***</w:t>
            </w:r>
          </w:p>
        </w:tc>
        <w:tc>
          <w:tcPr>
            <w:tcW w:w="596" w:type="pct"/>
            <w:tcBorders>
              <w:top w:val="nil"/>
              <w:left w:val="nil"/>
              <w:bottom w:val="nil"/>
              <w:right w:val="nil"/>
            </w:tcBorders>
            <w:shd w:val="clear" w:color="auto" w:fill="auto"/>
            <w:noWrap/>
            <w:vAlign w:val="bottom"/>
            <w:hideMark/>
          </w:tcPr>
          <w:p w14:paraId="23CBF2F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0.159***</w:t>
            </w:r>
          </w:p>
        </w:tc>
        <w:tc>
          <w:tcPr>
            <w:tcW w:w="594" w:type="pct"/>
            <w:tcBorders>
              <w:top w:val="nil"/>
              <w:left w:val="nil"/>
              <w:bottom w:val="nil"/>
              <w:right w:val="nil"/>
            </w:tcBorders>
            <w:shd w:val="clear" w:color="auto" w:fill="auto"/>
            <w:noWrap/>
            <w:vAlign w:val="bottom"/>
            <w:hideMark/>
          </w:tcPr>
          <w:p w14:paraId="6233B02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0.147***</w:t>
            </w:r>
          </w:p>
        </w:tc>
      </w:tr>
      <w:tr w:rsidR="00BE6D93" w:rsidRPr="00267BC6" w14:paraId="667AFE4F" w14:textId="77777777" w:rsidTr="00267BC6">
        <w:trPr>
          <w:cantSplit/>
          <w:trHeight w:val="20"/>
        </w:trPr>
        <w:tc>
          <w:tcPr>
            <w:tcW w:w="1426" w:type="pct"/>
            <w:tcBorders>
              <w:top w:val="nil"/>
              <w:left w:val="nil"/>
              <w:bottom w:val="nil"/>
              <w:right w:val="nil"/>
            </w:tcBorders>
            <w:shd w:val="clear" w:color="auto" w:fill="auto"/>
            <w:noWrap/>
            <w:vAlign w:val="bottom"/>
            <w:hideMark/>
          </w:tcPr>
          <w:p w14:paraId="58DD9639"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47D8ED5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0.036</w:t>
            </w:r>
          </w:p>
        </w:tc>
        <w:tc>
          <w:tcPr>
            <w:tcW w:w="569" w:type="pct"/>
            <w:tcBorders>
              <w:top w:val="nil"/>
              <w:left w:val="nil"/>
              <w:bottom w:val="nil"/>
              <w:right w:val="nil"/>
            </w:tcBorders>
            <w:shd w:val="clear" w:color="auto" w:fill="auto"/>
            <w:noWrap/>
            <w:vAlign w:val="bottom"/>
            <w:hideMark/>
          </w:tcPr>
          <w:p w14:paraId="6815D3E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0.085</w:t>
            </w:r>
          </w:p>
        </w:tc>
        <w:tc>
          <w:tcPr>
            <w:tcW w:w="622" w:type="pct"/>
            <w:tcBorders>
              <w:top w:val="nil"/>
              <w:left w:val="nil"/>
              <w:bottom w:val="nil"/>
              <w:right w:val="nil"/>
            </w:tcBorders>
            <w:shd w:val="clear" w:color="auto" w:fill="auto"/>
            <w:noWrap/>
            <w:vAlign w:val="bottom"/>
            <w:hideMark/>
          </w:tcPr>
          <w:p w14:paraId="286F590E"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0.039</w:t>
            </w:r>
          </w:p>
        </w:tc>
        <w:tc>
          <w:tcPr>
            <w:tcW w:w="596" w:type="pct"/>
            <w:tcBorders>
              <w:top w:val="nil"/>
              <w:left w:val="nil"/>
              <w:bottom w:val="nil"/>
              <w:right w:val="nil"/>
            </w:tcBorders>
            <w:shd w:val="clear" w:color="auto" w:fill="auto"/>
            <w:noWrap/>
            <w:vAlign w:val="bottom"/>
            <w:hideMark/>
          </w:tcPr>
          <w:p w14:paraId="52B8258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0.033</w:t>
            </w:r>
          </w:p>
        </w:tc>
        <w:tc>
          <w:tcPr>
            <w:tcW w:w="596" w:type="pct"/>
            <w:tcBorders>
              <w:top w:val="nil"/>
              <w:left w:val="nil"/>
              <w:bottom w:val="nil"/>
              <w:right w:val="nil"/>
            </w:tcBorders>
            <w:shd w:val="clear" w:color="auto" w:fill="auto"/>
            <w:noWrap/>
            <w:vAlign w:val="bottom"/>
            <w:hideMark/>
          </w:tcPr>
          <w:p w14:paraId="7D84BC20"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0.034</w:t>
            </w:r>
          </w:p>
        </w:tc>
        <w:tc>
          <w:tcPr>
            <w:tcW w:w="594" w:type="pct"/>
            <w:tcBorders>
              <w:top w:val="nil"/>
              <w:left w:val="nil"/>
              <w:bottom w:val="nil"/>
              <w:right w:val="nil"/>
            </w:tcBorders>
            <w:shd w:val="clear" w:color="auto" w:fill="auto"/>
            <w:noWrap/>
            <w:vAlign w:val="bottom"/>
            <w:hideMark/>
          </w:tcPr>
          <w:p w14:paraId="6832232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0.047</w:t>
            </w:r>
          </w:p>
        </w:tc>
      </w:tr>
      <w:tr w:rsidR="00BE6D93" w:rsidRPr="00267BC6" w14:paraId="3D353E93" w14:textId="77777777" w:rsidTr="00267BC6">
        <w:trPr>
          <w:cantSplit/>
          <w:trHeight w:val="20"/>
        </w:trPr>
        <w:tc>
          <w:tcPr>
            <w:tcW w:w="1426" w:type="pct"/>
            <w:tcBorders>
              <w:top w:val="nil"/>
              <w:left w:val="nil"/>
              <w:bottom w:val="nil"/>
              <w:right w:val="nil"/>
            </w:tcBorders>
            <w:shd w:val="clear" w:color="auto" w:fill="auto"/>
            <w:hideMark/>
          </w:tcPr>
          <w:p w14:paraId="177AFB90"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F (35-44)</w:t>
            </w:r>
          </w:p>
        </w:tc>
        <w:tc>
          <w:tcPr>
            <w:tcW w:w="596" w:type="pct"/>
            <w:tcBorders>
              <w:top w:val="nil"/>
              <w:left w:val="nil"/>
              <w:bottom w:val="nil"/>
              <w:right w:val="nil"/>
            </w:tcBorders>
            <w:shd w:val="clear" w:color="auto" w:fill="auto"/>
            <w:noWrap/>
            <w:vAlign w:val="bottom"/>
            <w:hideMark/>
          </w:tcPr>
          <w:p w14:paraId="6411752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0.940***</w:t>
            </w:r>
          </w:p>
        </w:tc>
        <w:tc>
          <w:tcPr>
            <w:tcW w:w="569" w:type="pct"/>
            <w:tcBorders>
              <w:top w:val="nil"/>
              <w:left w:val="nil"/>
              <w:bottom w:val="nil"/>
              <w:right w:val="nil"/>
            </w:tcBorders>
            <w:shd w:val="clear" w:color="auto" w:fill="auto"/>
            <w:noWrap/>
            <w:vAlign w:val="bottom"/>
            <w:hideMark/>
          </w:tcPr>
          <w:p w14:paraId="0CC7B7E7"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1.451***</w:t>
            </w:r>
          </w:p>
        </w:tc>
        <w:tc>
          <w:tcPr>
            <w:tcW w:w="622" w:type="pct"/>
            <w:tcBorders>
              <w:top w:val="nil"/>
              <w:left w:val="nil"/>
              <w:bottom w:val="nil"/>
              <w:right w:val="nil"/>
            </w:tcBorders>
            <w:shd w:val="clear" w:color="auto" w:fill="auto"/>
            <w:noWrap/>
            <w:vAlign w:val="bottom"/>
            <w:hideMark/>
          </w:tcPr>
          <w:p w14:paraId="64E6D9E1"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0.773***</w:t>
            </w:r>
          </w:p>
        </w:tc>
        <w:tc>
          <w:tcPr>
            <w:tcW w:w="596" w:type="pct"/>
            <w:tcBorders>
              <w:top w:val="nil"/>
              <w:left w:val="nil"/>
              <w:bottom w:val="nil"/>
              <w:right w:val="nil"/>
            </w:tcBorders>
            <w:shd w:val="clear" w:color="auto" w:fill="auto"/>
            <w:noWrap/>
            <w:vAlign w:val="bottom"/>
            <w:hideMark/>
          </w:tcPr>
          <w:p w14:paraId="07417917"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0.476***</w:t>
            </w:r>
          </w:p>
        </w:tc>
        <w:tc>
          <w:tcPr>
            <w:tcW w:w="596" w:type="pct"/>
            <w:tcBorders>
              <w:top w:val="nil"/>
              <w:left w:val="nil"/>
              <w:bottom w:val="nil"/>
              <w:right w:val="nil"/>
            </w:tcBorders>
            <w:shd w:val="clear" w:color="auto" w:fill="auto"/>
            <w:noWrap/>
            <w:vAlign w:val="bottom"/>
            <w:hideMark/>
          </w:tcPr>
          <w:p w14:paraId="75CF0D7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0.392***</w:t>
            </w:r>
          </w:p>
        </w:tc>
        <w:tc>
          <w:tcPr>
            <w:tcW w:w="594" w:type="pct"/>
            <w:tcBorders>
              <w:top w:val="nil"/>
              <w:left w:val="nil"/>
              <w:bottom w:val="nil"/>
              <w:right w:val="nil"/>
            </w:tcBorders>
            <w:shd w:val="clear" w:color="auto" w:fill="auto"/>
            <w:noWrap/>
            <w:vAlign w:val="bottom"/>
            <w:hideMark/>
          </w:tcPr>
          <w:p w14:paraId="2345861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0.358***</w:t>
            </w:r>
          </w:p>
        </w:tc>
      </w:tr>
      <w:tr w:rsidR="00BE6D93" w:rsidRPr="00267BC6" w14:paraId="540B8642" w14:textId="77777777" w:rsidTr="00267BC6">
        <w:trPr>
          <w:cantSplit/>
          <w:trHeight w:val="20"/>
        </w:trPr>
        <w:tc>
          <w:tcPr>
            <w:tcW w:w="1426" w:type="pct"/>
            <w:tcBorders>
              <w:top w:val="nil"/>
              <w:left w:val="nil"/>
              <w:bottom w:val="nil"/>
              <w:right w:val="nil"/>
            </w:tcBorders>
            <w:shd w:val="clear" w:color="auto" w:fill="auto"/>
            <w:noWrap/>
            <w:vAlign w:val="bottom"/>
            <w:hideMark/>
          </w:tcPr>
          <w:p w14:paraId="3EAE65AB"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437F29E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0.038</w:t>
            </w:r>
          </w:p>
        </w:tc>
        <w:tc>
          <w:tcPr>
            <w:tcW w:w="569" w:type="pct"/>
            <w:tcBorders>
              <w:top w:val="nil"/>
              <w:left w:val="nil"/>
              <w:bottom w:val="nil"/>
              <w:right w:val="nil"/>
            </w:tcBorders>
            <w:shd w:val="clear" w:color="auto" w:fill="auto"/>
            <w:noWrap/>
            <w:vAlign w:val="bottom"/>
            <w:hideMark/>
          </w:tcPr>
          <w:p w14:paraId="0077B2DB"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0.085</w:t>
            </w:r>
          </w:p>
        </w:tc>
        <w:tc>
          <w:tcPr>
            <w:tcW w:w="622" w:type="pct"/>
            <w:tcBorders>
              <w:top w:val="nil"/>
              <w:left w:val="nil"/>
              <w:bottom w:val="nil"/>
              <w:right w:val="nil"/>
            </w:tcBorders>
            <w:shd w:val="clear" w:color="auto" w:fill="auto"/>
            <w:noWrap/>
            <w:vAlign w:val="bottom"/>
            <w:hideMark/>
          </w:tcPr>
          <w:p w14:paraId="0B151B8E"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0.042</w:t>
            </w:r>
          </w:p>
        </w:tc>
        <w:tc>
          <w:tcPr>
            <w:tcW w:w="596" w:type="pct"/>
            <w:tcBorders>
              <w:top w:val="nil"/>
              <w:left w:val="nil"/>
              <w:bottom w:val="nil"/>
              <w:right w:val="nil"/>
            </w:tcBorders>
            <w:shd w:val="clear" w:color="auto" w:fill="auto"/>
            <w:noWrap/>
            <w:vAlign w:val="bottom"/>
            <w:hideMark/>
          </w:tcPr>
          <w:p w14:paraId="43CEDF91"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0.037</w:t>
            </w:r>
          </w:p>
        </w:tc>
        <w:tc>
          <w:tcPr>
            <w:tcW w:w="596" w:type="pct"/>
            <w:tcBorders>
              <w:top w:val="nil"/>
              <w:left w:val="nil"/>
              <w:bottom w:val="nil"/>
              <w:right w:val="nil"/>
            </w:tcBorders>
            <w:shd w:val="clear" w:color="auto" w:fill="auto"/>
            <w:noWrap/>
            <w:vAlign w:val="bottom"/>
            <w:hideMark/>
          </w:tcPr>
          <w:p w14:paraId="72639FDE"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0.043</w:t>
            </w:r>
          </w:p>
        </w:tc>
        <w:tc>
          <w:tcPr>
            <w:tcW w:w="594" w:type="pct"/>
            <w:tcBorders>
              <w:top w:val="nil"/>
              <w:left w:val="nil"/>
              <w:bottom w:val="nil"/>
              <w:right w:val="nil"/>
            </w:tcBorders>
            <w:shd w:val="clear" w:color="auto" w:fill="auto"/>
            <w:noWrap/>
            <w:vAlign w:val="bottom"/>
            <w:hideMark/>
          </w:tcPr>
          <w:p w14:paraId="72F8F63D"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0.058</w:t>
            </w:r>
          </w:p>
        </w:tc>
      </w:tr>
      <w:tr w:rsidR="00BE6D93" w:rsidRPr="00267BC6" w14:paraId="40CFFD37" w14:textId="77777777" w:rsidTr="00267BC6">
        <w:trPr>
          <w:cantSplit/>
          <w:trHeight w:val="20"/>
        </w:trPr>
        <w:tc>
          <w:tcPr>
            <w:tcW w:w="1426" w:type="pct"/>
            <w:tcBorders>
              <w:top w:val="nil"/>
              <w:left w:val="nil"/>
              <w:bottom w:val="nil"/>
              <w:right w:val="nil"/>
            </w:tcBorders>
            <w:shd w:val="clear" w:color="auto" w:fill="auto"/>
            <w:hideMark/>
          </w:tcPr>
          <w:p w14:paraId="592A74CE"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F (45-64)</w:t>
            </w:r>
          </w:p>
        </w:tc>
        <w:tc>
          <w:tcPr>
            <w:tcW w:w="596" w:type="pct"/>
            <w:tcBorders>
              <w:top w:val="nil"/>
              <w:left w:val="nil"/>
              <w:bottom w:val="nil"/>
              <w:right w:val="nil"/>
            </w:tcBorders>
            <w:shd w:val="clear" w:color="auto" w:fill="auto"/>
            <w:noWrap/>
            <w:vAlign w:val="bottom"/>
            <w:hideMark/>
          </w:tcPr>
          <w:p w14:paraId="4CCFF314"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1.661***</w:t>
            </w:r>
          </w:p>
        </w:tc>
        <w:tc>
          <w:tcPr>
            <w:tcW w:w="569" w:type="pct"/>
            <w:tcBorders>
              <w:top w:val="nil"/>
              <w:left w:val="nil"/>
              <w:bottom w:val="nil"/>
              <w:right w:val="nil"/>
            </w:tcBorders>
            <w:shd w:val="clear" w:color="auto" w:fill="auto"/>
            <w:noWrap/>
            <w:vAlign w:val="bottom"/>
            <w:hideMark/>
          </w:tcPr>
          <w:p w14:paraId="60AD23D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1.988***</w:t>
            </w:r>
          </w:p>
        </w:tc>
        <w:tc>
          <w:tcPr>
            <w:tcW w:w="622" w:type="pct"/>
            <w:tcBorders>
              <w:top w:val="nil"/>
              <w:left w:val="nil"/>
              <w:bottom w:val="nil"/>
              <w:right w:val="nil"/>
            </w:tcBorders>
            <w:shd w:val="clear" w:color="auto" w:fill="auto"/>
            <w:noWrap/>
            <w:vAlign w:val="bottom"/>
            <w:hideMark/>
          </w:tcPr>
          <w:p w14:paraId="6D45370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1.586***</w:t>
            </w:r>
          </w:p>
        </w:tc>
        <w:tc>
          <w:tcPr>
            <w:tcW w:w="596" w:type="pct"/>
            <w:tcBorders>
              <w:top w:val="nil"/>
              <w:left w:val="nil"/>
              <w:bottom w:val="nil"/>
              <w:right w:val="nil"/>
            </w:tcBorders>
            <w:shd w:val="clear" w:color="auto" w:fill="auto"/>
            <w:noWrap/>
            <w:vAlign w:val="bottom"/>
            <w:hideMark/>
          </w:tcPr>
          <w:p w14:paraId="135C5F9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1.449***</w:t>
            </w:r>
          </w:p>
        </w:tc>
        <w:tc>
          <w:tcPr>
            <w:tcW w:w="596" w:type="pct"/>
            <w:tcBorders>
              <w:top w:val="nil"/>
              <w:left w:val="nil"/>
              <w:bottom w:val="nil"/>
              <w:right w:val="nil"/>
            </w:tcBorders>
            <w:shd w:val="clear" w:color="auto" w:fill="auto"/>
            <w:noWrap/>
            <w:vAlign w:val="bottom"/>
            <w:hideMark/>
          </w:tcPr>
          <w:p w14:paraId="59CC9E57"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1.240***</w:t>
            </w:r>
          </w:p>
        </w:tc>
        <w:tc>
          <w:tcPr>
            <w:tcW w:w="594" w:type="pct"/>
            <w:tcBorders>
              <w:top w:val="nil"/>
              <w:left w:val="nil"/>
              <w:bottom w:val="nil"/>
              <w:right w:val="nil"/>
            </w:tcBorders>
            <w:shd w:val="clear" w:color="auto" w:fill="auto"/>
            <w:noWrap/>
            <w:vAlign w:val="bottom"/>
            <w:hideMark/>
          </w:tcPr>
          <w:p w14:paraId="19E3521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1.238***</w:t>
            </w:r>
          </w:p>
        </w:tc>
      </w:tr>
      <w:tr w:rsidR="00BE6D93" w:rsidRPr="00267BC6" w14:paraId="00D7BC04" w14:textId="77777777" w:rsidTr="00267BC6">
        <w:trPr>
          <w:cantSplit/>
          <w:trHeight w:val="20"/>
        </w:trPr>
        <w:tc>
          <w:tcPr>
            <w:tcW w:w="1426" w:type="pct"/>
            <w:tcBorders>
              <w:top w:val="nil"/>
              <w:left w:val="nil"/>
              <w:bottom w:val="nil"/>
              <w:right w:val="nil"/>
            </w:tcBorders>
            <w:shd w:val="clear" w:color="auto" w:fill="auto"/>
            <w:noWrap/>
            <w:vAlign w:val="bottom"/>
            <w:hideMark/>
          </w:tcPr>
          <w:p w14:paraId="0631F2D0"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453CC22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0.037</w:t>
            </w:r>
          </w:p>
        </w:tc>
        <w:tc>
          <w:tcPr>
            <w:tcW w:w="569" w:type="pct"/>
            <w:tcBorders>
              <w:top w:val="nil"/>
              <w:left w:val="nil"/>
              <w:bottom w:val="nil"/>
              <w:right w:val="nil"/>
            </w:tcBorders>
            <w:shd w:val="clear" w:color="auto" w:fill="auto"/>
            <w:noWrap/>
            <w:vAlign w:val="bottom"/>
            <w:hideMark/>
          </w:tcPr>
          <w:p w14:paraId="46F0E23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0.082</w:t>
            </w:r>
          </w:p>
        </w:tc>
        <w:tc>
          <w:tcPr>
            <w:tcW w:w="622" w:type="pct"/>
            <w:tcBorders>
              <w:top w:val="nil"/>
              <w:left w:val="nil"/>
              <w:bottom w:val="nil"/>
              <w:right w:val="nil"/>
            </w:tcBorders>
            <w:shd w:val="clear" w:color="auto" w:fill="auto"/>
            <w:noWrap/>
            <w:vAlign w:val="bottom"/>
            <w:hideMark/>
          </w:tcPr>
          <w:p w14:paraId="2222B9C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0.040</w:t>
            </w:r>
          </w:p>
        </w:tc>
        <w:tc>
          <w:tcPr>
            <w:tcW w:w="596" w:type="pct"/>
            <w:tcBorders>
              <w:top w:val="nil"/>
              <w:left w:val="nil"/>
              <w:bottom w:val="nil"/>
              <w:right w:val="nil"/>
            </w:tcBorders>
            <w:shd w:val="clear" w:color="auto" w:fill="auto"/>
            <w:noWrap/>
            <w:vAlign w:val="bottom"/>
            <w:hideMark/>
          </w:tcPr>
          <w:p w14:paraId="293E262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0.039</w:t>
            </w:r>
          </w:p>
        </w:tc>
        <w:tc>
          <w:tcPr>
            <w:tcW w:w="596" w:type="pct"/>
            <w:tcBorders>
              <w:top w:val="nil"/>
              <w:left w:val="nil"/>
              <w:bottom w:val="nil"/>
              <w:right w:val="nil"/>
            </w:tcBorders>
            <w:shd w:val="clear" w:color="auto" w:fill="auto"/>
            <w:noWrap/>
            <w:vAlign w:val="bottom"/>
            <w:hideMark/>
          </w:tcPr>
          <w:p w14:paraId="504A0FE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0.050</w:t>
            </w:r>
          </w:p>
        </w:tc>
        <w:tc>
          <w:tcPr>
            <w:tcW w:w="594" w:type="pct"/>
            <w:tcBorders>
              <w:top w:val="nil"/>
              <w:left w:val="nil"/>
              <w:bottom w:val="nil"/>
              <w:right w:val="nil"/>
            </w:tcBorders>
            <w:shd w:val="clear" w:color="auto" w:fill="auto"/>
            <w:noWrap/>
            <w:vAlign w:val="bottom"/>
            <w:hideMark/>
          </w:tcPr>
          <w:p w14:paraId="44515FDF"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0.071</w:t>
            </w:r>
          </w:p>
        </w:tc>
      </w:tr>
      <w:tr w:rsidR="00BE6D93" w:rsidRPr="00267BC6" w14:paraId="33BE12F8" w14:textId="77777777" w:rsidTr="00267BC6">
        <w:trPr>
          <w:cantSplit/>
          <w:trHeight w:val="20"/>
        </w:trPr>
        <w:tc>
          <w:tcPr>
            <w:tcW w:w="1426" w:type="pct"/>
            <w:tcBorders>
              <w:top w:val="nil"/>
              <w:left w:val="nil"/>
              <w:bottom w:val="nil"/>
              <w:right w:val="nil"/>
            </w:tcBorders>
            <w:shd w:val="clear" w:color="auto" w:fill="auto"/>
            <w:hideMark/>
          </w:tcPr>
          <w:p w14:paraId="6F549C4C"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F (65-74)</w:t>
            </w:r>
          </w:p>
        </w:tc>
        <w:tc>
          <w:tcPr>
            <w:tcW w:w="596" w:type="pct"/>
            <w:tcBorders>
              <w:top w:val="nil"/>
              <w:left w:val="nil"/>
              <w:bottom w:val="nil"/>
              <w:right w:val="nil"/>
            </w:tcBorders>
            <w:shd w:val="clear" w:color="auto" w:fill="auto"/>
            <w:noWrap/>
            <w:vAlign w:val="bottom"/>
            <w:hideMark/>
          </w:tcPr>
          <w:p w14:paraId="1BFD0E51"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1.985***</w:t>
            </w:r>
          </w:p>
        </w:tc>
        <w:tc>
          <w:tcPr>
            <w:tcW w:w="569" w:type="pct"/>
            <w:tcBorders>
              <w:top w:val="nil"/>
              <w:left w:val="nil"/>
              <w:bottom w:val="nil"/>
              <w:right w:val="nil"/>
            </w:tcBorders>
            <w:shd w:val="clear" w:color="auto" w:fill="auto"/>
            <w:noWrap/>
            <w:vAlign w:val="bottom"/>
            <w:hideMark/>
          </w:tcPr>
          <w:p w14:paraId="561AFE6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2.098***</w:t>
            </w:r>
          </w:p>
        </w:tc>
        <w:tc>
          <w:tcPr>
            <w:tcW w:w="622" w:type="pct"/>
            <w:tcBorders>
              <w:top w:val="nil"/>
              <w:left w:val="nil"/>
              <w:bottom w:val="nil"/>
              <w:right w:val="nil"/>
            </w:tcBorders>
            <w:shd w:val="clear" w:color="auto" w:fill="auto"/>
            <w:noWrap/>
            <w:vAlign w:val="bottom"/>
            <w:hideMark/>
          </w:tcPr>
          <w:p w14:paraId="649FCD5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1.923***</w:t>
            </w:r>
          </w:p>
        </w:tc>
        <w:tc>
          <w:tcPr>
            <w:tcW w:w="596" w:type="pct"/>
            <w:tcBorders>
              <w:top w:val="nil"/>
              <w:left w:val="nil"/>
              <w:bottom w:val="nil"/>
              <w:right w:val="nil"/>
            </w:tcBorders>
            <w:shd w:val="clear" w:color="auto" w:fill="auto"/>
            <w:noWrap/>
            <w:vAlign w:val="bottom"/>
            <w:hideMark/>
          </w:tcPr>
          <w:p w14:paraId="6194E3A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2.026***</w:t>
            </w:r>
          </w:p>
        </w:tc>
        <w:tc>
          <w:tcPr>
            <w:tcW w:w="596" w:type="pct"/>
            <w:tcBorders>
              <w:top w:val="nil"/>
              <w:left w:val="nil"/>
              <w:bottom w:val="nil"/>
              <w:right w:val="nil"/>
            </w:tcBorders>
            <w:shd w:val="clear" w:color="auto" w:fill="auto"/>
            <w:noWrap/>
            <w:vAlign w:val="bottom"/>
            <w:hideMark/>
          </w:tcPr>
          <w:p w14:paraId="27EEA39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1.848***</w:t>
            </w:r>
          </w:p>
        </w:tc>
        <w:tc>
          <w:tcPr>
            <w:tcW w:w="594" w:type="pct"/>
            <w:tcBorders>
              <w:top w:val="nil"/>
              <w:left w:val="nil"/>
              <w:bottom w:val="nil"/>
              <w:right w:val="nil"/>
            </w:tcBorders>
            <w:shd w:val="clear" w:color="auto" w:fill="auto"/>
            <w:noWrap/>
            <w:vAlign w:val="bottom"/>
            <w:hideMark/>
          </w:tcPr>
          <w:p w14:paraId="090584A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1.840***</w:t>
            </w:r>
          </w:p>
        </w:tc>
      </w:tr>
      <w:tr w:rsidR="00BE6D93" w:rsidRPr="00267BC6" w14:paraId="4A3B7A64" w14:textId="77777777" w:rsidTr="00267BC6">
        <w:trPr>
          <w:cantSplit/>
          <w:trHeight w:val="20"/>
        </w:trPr>
        <w:tc>
          <w:tcPr>
            <w:tcW w:w="1426" w:type="pct"/>
            <w:tcBorders>
              <w:top w:val="nil"/>
              <w:left w:val="nil"/>
              <w:bottom w:val="nil"/>
              <w:right w:val="nil"/>
            </w:tcBorders>
            <w:shd w:val="clear" w:color="auto" w:fill="auto"/>
            <w:noWrap/>
            <w:vAlign w:val="bottom"/>
            <w:hideMark/>
          </w:tcPr>
          <w:p w14:paraId="1DEA7EF3"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4814F55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0.043</w:t>
            </w:r>
          </w:p>
        </w:tc>
        <w:tc>
          <w:tcPr>
            <w:tcW w:w="569" w:type="pct"/>
            <w:tcBorders>
              <w:top w:val="nil"/>
              <w:left w:val="nil"/>
              <w:bottom w:val="nil"/>
              <w:right w:val="nil"/>
            </w:tcBorders>
            <w:shd w:val="clear" w:color="auto" w:fill="auto"/>
            <w:noWrap/>
            <w:vAlign w:val="bottom"/>
            <w:hideMark/>
          </w:tcPr>
          <w:p w14:paraId="6715B66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0.083</w:t>
            </w:r>
          </w:p>
        </w:tc>
        <w:tc>
          <w:tcPr>
            <w:tcW w:w="622" w:type="pct"/>
            <w:tcBorders>
              <w:top w:val="nil"/>
              <w:left w:val="nil"/>
              <w:bottom w:val="nil"/>
              <w:right w:val="nil"/>
            </w:tcBorders>
            <w:shd w:val="clear" w:color="auto" w:fill="auto"/>
            <w:noWrap/>
            <w:vAlign w:val="bottom"/>
            <w:hideMark/>
          </w:tcPr>
          <w:p w14:paraId="470310B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0.045</w:t>
            </w:r>
          </w:p>
        </w:tc>
        <w:tc>
          <w:tcPr>
            <w:tcW w:w="596" w:type="pct"/>
            <w:tcBorders>
              <w:top w:val="nil"/>
              <w:left w:val="nil"/>
              <w:bottom w:val="nil"/>
              <w:right w:val="nil"/>
            </w:tcBorders>
            <w:shd w:val="clear" w:color="auto" w:fill="auto"/>
            <w:noWrap/>
            <w:vAlign w:val="bottom"/>
            <w:hideMark/>
          </w:tcPr>
          <w:p w14:paraId="5BA5160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0.056</w:t>
            </w:r>
          </w:p>
        </w:tc>
        <w:tc>
          <w:tcPr>
            <w:tcW w:w="596" w:type="pct"/>
            <w:tcBorders>
              <w:top w:val="nil"/>
              <w:left w:val="nil"/>
              <w:bottom w:val="nil"/>
              <w:right w:val="nil"/>
            </w:tcBorders>
            <w:shd w:val="clear" w:color="auto" w:fill="auto"/>
            <w:noWrap/>
            <w:vAlign w:val="bottom"/>
            <w:hideMark/>
          </w:tcPr>
          <w:p w14:paraId="674A99F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0.086</w:t>
            </w:r>
          </w:p>
        </w:tc>
        <w:tc>
          <w:tcPr>
            <w:tcW w:w="594" w:type="pct"/>
            <w:tcBorders>
              <w:top w:val="nil"/>
              <w:left w:val="nil"/>
              <w:bottom w:val="nil"/>
              <w:right w:val="nil"/>
            </w:tcBorders>
            <w:shd w:val="clear" w:color="auto" w:fill="auto"/>
            <w:noWrap/>
            <w:vAlign w:val="bottom"/>
            <w:hideMark/>
          </w:tcPr>
          <w:p w14:paraId="3401F5B2"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0.120</w:t>
            </w:r>
          </w:p>
        </w:tc>
      </w:tr>
      <w:tr w:rsidR="00BE6D93" w:rsidRPr="00267BC6" w14:paraId="596E27D3" w14:textId="77777777" w:rsidTr="00267BC6">
        <w:trPr>
          <w:cantSplit/>
          <w:trHeight w:val="20"/>
        </w:trPr>
        <w:tc>
          <w:tcPr>
            <w:tcW w:w="1426" w:type="pct"/>
            <w:tcBorders>
              <w:top w:val="nil"/>
              <w:left w:val="nil"/>
              <w:bottom w:val="nil"/>
              <w:right w:val="nil"/>
            </w:tcBorders>
            <w:shd w:val="clear" w:color="auto" w:fill="auto"/>
            <w:hideMark/>
          </w:tcPr>
          <w:p w14:paraId="66D3282A"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F (75+)</w:t>
            </w:r>
          </w:p>
        </w:tc>
        <w:tc>
          <w:tcPr>
            <w:tcW w:w="596" w:type="pct"/>
            <w:tcBorders>
              <w:top w:val="nil"/>
              <w:left w:val="nil"/>
              <w:bottom w:val="nil"/>
              <w:right w:val="nil"/>
            </w:tcBorders>
            <w:shd w:val="clear" w:color="auto" w:fill="auto"/>
            <w:noWrap/>
            <w:vAlign w:val="bottom"/>
            <w:hideMark/>
          </w:tcPr>
          <w:p w14:paraId="4DB8CB4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1.787***</w:t>
            </w:r>
          </w:p>
        </w:tc>
        <w:tc>
          <w:tcPr>
            <w:tcW w:w="569" w:type="pct"/>
            <w:tcBorders>
              <w:top w:val="nil"/>
              <w:left w:val="nil"/>
              <w:bottom w:val="nil"/>
              <w:right w:val="nil"/>
            </w:tcBorders>
            <w:shd w:val="clear" w:color="auto" w:fill="auto"/>
            <w:noWrap/>
            <w:vAlign w:val="bottom"/>
            <w:hideMark/>
          </w:tcPr>
          <w:p w14:paraId="455BD5A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2.013***</w:t>
            </w:r>
          </w:p>
        </w:tc>
        <w:tc>
          <w:tcPr>
            <w:tcW w:w="622" w:type="pct"/>
            <w:tcBorders>
              <w:top w:val="nil"/>
              <w:left w:val="nil"/>
              <w:bottom w:val="nil"/>
              <w:right w:val="nil"/>
            </w:tcBorders>
            <w:shd w:val="clear" w:color="auto" w:fill="auto"/>
            <w:noWrap/>
            <w:vAlign w:val="bottom"/>
            <w:hideMark/>
          </w:tcPr>
          <w:p w14:paraId="6F1F9C7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1.749***</w:t>
            </w:r>
          </w:p>
        </w:tc>
        <w:tc>
          <w:tcPr>
            <w:tcW w:w="596" w:type="pct"/>
            <w:tcBorders>
              <w:top w:val="nil"/>
              <w:left w:val="nil"/>
              <w:bottom w:val="nil"/>
              <w:right w:val="nil"/>
            </w:tcBorders>
            <w:shd w:val="clear" w:color="auto" w:fill="auto"/>
            <w:noWrap/>
            <w:vAlign w:val="bottom"/>
            <w:hideMark/>
          </w:tcPr>
          <w:p w14:paraId="2AC166C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1.646***</w:t>
            </w:r>
          </w:p>
        </w:tc>
        <w:tc>
          <w:tcPr>
            <w:tcW w:w="596" w:type="pct"/>
            <w:tcBorders>
              <w:top w:val="nil"/>
              <w:left w:val="nil"/>
              <w:bottom w:val="nil"/>
              <w:right w:val="nil"/>
            </w:tcBorders>
            <w:shd w:val="clear" w:color="auto" w:fill="auto"/>
            <w:noWrap/>
            <w:vAlign w:val="bottom"/>
            <w:hideMark/>
          </w:tcPr>
          <w:p w14:paraId="5891B8E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1.549***</w:t>
            </w:r>
          </w:p>
        </w:tc>
        <w:tc>
          <w:tcPr>
            <w:tcW w:w="594" w:type="pct"/>
            <w:tcBorders>
              <w:top w:val="nil"/>
              <w:left w:val="nil"/>
              <w:bottom w:val="nil"/>
              <w:right w:val="nil"/>
            </w:tcBorders>
            <w:shd w:val="clear" w:color="auto" w:fill="auto"/>
            <w:noWrap/>
            <w:vAlign w:val="bottom"/>
            <w:hideMark/>
          </w:tcPr>
          <w:p w14:paraId="696EC45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1.389***</w:t>
            </w:r>
          </w:p>
        </w:tc>
      </w:tr>
      <w:tr w:rsidR="00BE6D93" w:rsidRPr="00267BC6" w14:paraId="4D3A4892" w14:textId="77777777" w:rsidTr="00267BC6">
        <w:trPr>
          <w:cantSplit/>
          <w:trHeight w:val="20"/>
        </w:trPr>
        <w:tc>
          <w:tcPr>
            <w:tcW w:w="1426" w:type="pct"/>
            <w:tcBorders>
              <w:top w:val="nil"/>
              <w:left w:val="nil"/>
              <w:bottom w:val="nil"/>
              <w:right w:val="nil"/>
            </w:tcBorders>
            <w:shd w:val="clear" w:color="auto" w:fill="auto"/>
            <w:noWrap/>
            <w:vAlign w:val="bottom"/>
            <w:hideMark/>
          </w:tcPr>
          <w:p w14:paraId="71FA9FAB"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36CC510B"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0.045</w:t>
            </w:r>
          </w:p>
        </w:tc>
        <w:tc>
          <w:tcPr>
            <w:tcW w:w="569" w:type="pct"/>
            <w:tcBorders>
              <w:top w:val="nil"/>
              <w:left w:val="nil"/>
              <w:bottom w:val="nil"/>
              <w:right w:val="nil"/>
            </w:tcBorders>
            <w:shd w:val="clear" w:color="auto" w:fill="auto"/>
            <w:noWrap/>
            <w:vAlign w:val="bottom"/>
            <w:hideMark/>
          </w:tcPr>
          <w:p w14:paraId="574DD87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0.087</w:t>
            </w:r>
          </w:p>
        </w:tc>
        <w:tc>
          <w:tcPr>
            <w:tcW w:w="622" w:type="pct"/>
            <w:tcBorders>
              <w:top w:val="nil"/>
              <w:left w:val="nil"/>
              <w:bottom w:val="nil"/>
              <w:right w:val="nil"/>
            </w:tcBorders>
            <w:shd w:val="clear" w:color="auto" w:fill="auto"/>
            <w:noWrap/>
            <w:vAlign w:val="bottom"/>
            <w:hideMark/>
          </w:tcPr>
          <w:p w14:paraId="6075C29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0.052</w:t>
            </w:r>
          </w:p>
        </w:tc>
        <w:tc>
          <w:tcPr>
            <w:tcW w:w="596" w:type="pct"/>
            <w:tcBorders>
              <w:top w:val="nil"/>
              <w:left w:val="nil"/>
              <w:bottom w:val="nil"/>
              <w:right w:val="nil"/>
            </w:tcBorders>
            <w:shd w:val="clear" w:color="auto" w:fill="auto"/>
            <w:noWrap/>
            <w:vAlign w:val="bottom"/>
            <w:hideMark/>
          </w:tcPr>
          <w:p w14:paraId="20B6FCA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0.066</w:t>
            </w:r>
          </w:p>
        </w:tc>
        <w:tc>
          <w:tcPr>
            <w:tcW w:w="596" w:type="pct"/>
            <w:tcBorders>
              <w:top w:val="nil"/>
              <w:left w:val="nil"/>
              <w:bottom w:val="nil"/>
              <w:right w:val="nil"/>
            </w:tcBorders>
            <w:shd w:val="clear" w:color="auto" w:fill="auto"/>
            <w:noWrap/>
            <w:vAlign w:val="bottom"/>
            <w:hideMark/>
          </w:tcPr>
          <w:p w14:paraId="2706D4A1"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0.102</w:t>
            </w:r>
          </w:p>
        </w:tc>
        <w:tc>
          <w:tcPr>
            <w:tcW w:w="594" w:type="pct"/>
            <w:tcBorders>
              <w:top w:val="nil"/>
              <w:left w:val="nil"/>
              <w:bottom w:val="nil"/>
              <w:right w:val="nil"/>
            </w:tcBorders>
            <w:shd w:val="clear" w:color="auto" w:fill="auto"/>
            <w:noWrap/>
            <w:vAlign w:val="bottom"/>
            <w:hideMark/>
          </w:tcPr>
          <w:p w14:paraId="4C17EF0B"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0.140</w:t>
            </w:r>
          </w:p>
        </w:tc>
      </w:tr>
      <w:tr w:rsidR="00BE6D93" w:rsidRPr="00267BC6" w14:paraId="5A80042B" w14:textId="77777777" w:rsidTr="00267BC6">
        <w:trPr>
          <w:cantSplit/>
          <w:trHeight w:val="20"/>
        </w:trPr>
        <w:tc>
          <w:tcPr>
            <w:tcW w:w="1426" w:type="pct"/>
            <w:tcBorders>
              <w:top w:val="nil"/>
              <w:left w:val="nil"/>
              <w:bottom w:val="nil"/>
              <w:right w:val="nil"/>
            </w:tcBorders>
            <w:shd w:val="clear" w:color="auto" w:fill="auto"/>
            <w:hideMark/>
          </w:tcPr>
          <w:p w14:paraId="4FFEDF22"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Degree- NVQ 4,5</w:t>
            </w:r>
          </w:p>
        </w:tc>
        <w:tc>
          <w:tcPr>
            <w:tcW w:w="596" w:type="pct"/>
            <w:tcBorders>
              <w:top w:val="nil"/>
              <w:left w:val="nil"/>
              <w:bottom w:val="nil"/>
              <w:right w:val="nil"/>
            </w:tcBorders>
            <w:shd w:val="clear" w:color="auto" w:fill="auto"/>
            <w:noWrap/>
            <w:vAlign w:val="bottom"/>
            <w:hideMark/>
          </w:tcPr>
          <w:p w14:paraId="7FC2E9D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-0.080***</w:t>
            </w:r>
          </w:p>
        </w:tc>
        <w:tc>
          <w:tcPr>
            <w:tcW w:w="569" w:type="pct"/>
            <w:tcBorders>
              <w:top w:val="nil"/>
              <w:left w:val="nil"/>
              <w:bottom w:val="nil"/>
              <w:right w:val="nil"/>
            </w:tcBorders>
            <w:shd w:val="clear" w:color="auto" w:fill="auto"/>
            <w:noWrap/>
            <w:vAlign w:val="bottom"/>
            <w:hideMark/>
          </w:tcPr>
          <w:p w14:paraId="73931DF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-0.016</w:t>
            </w:r>
          </w:p>
        </w:tc>
        <w:tc>
          <w:tcPr>
            <w:tcW w:w="622" w:type="pct"/>
            <w:tcBorders>
              <w:top w:val="nil"/>
              <w:left w:val="nil"/>
              <w:bottom w:val="nil"/>
              <w:right w:val="nil"/>
            </w:tcBorders>
            <w:shd w:val="clear" w:color="auto" w:fill="auto"/>
            <w:noWrap/>
            <w:vAlign w:val="bottom"/>
            <w:hideMark/>
          </w:tcPr>
          <w:p w14:paraId="6DF2C7EE"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-0.087***</w:t>
            </w:r>
          </w:p>
        </w:tc>
        <w:tc>
          <w:tcPr>
            <w:tcW w:w="596" w:type="pct"/>
            <w:tcBorders>
              <w:top w:val="nil"/>
              <w:left w:val="nil"/>
              <w:bottom w:val="nil"/>
              <w:right w:val="nil"/>
            </w:tcBorders>
            <w:shd w:val="clear" w:color="auto" w:fill="auto"/>
            <w:noWrap/>
            <w:vAlign w:val="bottom"/>
            <w:hideMark/>
          </w:tcPr>
          <w:p w14:paraId="15ECDEE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-0.090***</w:t>
            </w:r>
          </w:p>
        </w:tc>
        <w:tc>
          <w:tcPr>
            <w:tcW w:w="596" w:type="pct"/>
            <w:tcBorders>
              <w:top w:val="nil"/>
              <w:left w:val="nil"/>
              <w:bottom w:val="nil"/>
              <w:right w:val="nil"/>
            </w:tcBorders>
            <w:shd w:val="clear" w:color="auto" w:fill="auto"/>
            <w:noWrap/>
            <w:vAlign w:val="bottom"/>
            <w:hideMark/>
          </w:tcPr>
          <w:p w14:paraId="3B2F73D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-0.186***</w:t>
            </w:r>
          </w:p>
        </w:tc>
        <w:tc>
          <w:tcPr>
            <w:tcW w:w="594" w:type="pct"/>
            <w:tcBorders>
              <w:top w:val="nil"/>
              <w:left w:val="nil"/>
              <w:bottom w:val="nil"/>
              <w:right w:val="nil"/>
            </w:tcBorders>
            <w:shd w:val="clear" w:color="auto" w:fill="auto"/>
            <w:noWrap/>
            <w:vAlign w:val="bottom"/>
            <w:hideMark/>
          </w:tcPr>
          <w:p w14:paraId="267B1276"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-0.225***</w:t>
            </w:r>
          </w:p>
        </w:tc>
      </w:tr>
      <w:tr w:rsidR="00BE6D93" w:rsidRPr="00267BC6" w14:paraId="264C5E63" w14:textId="77777777" w:rsidTr="00267BC6">
        <w:trPr>
          <w:cantSplit/>
          <w:trHeight w:val="20"/>
        </w:trPr>
        <w:tc>
          <w:tcPr>
            <w:tcW w:w="1426" w:type="pct"/>
            <w:tcBorders>
              <w:top w:val="nil"/>
              <w:left w:val="nil"/>
              <w:bottom w:val="nil"/>
              <w:right w:val="nil"/>
            </w:tcBorders>
            <w:shd w:val="clear" w:color="auto" w:fill="auto"/>
            <w:noWrap/>
            <w:vAlign w:val="bottom"/>
            <w:hideMark/>
          </w:tcPr>
          <w:p w14:paraId="7C2CD483"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5EE19F32"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0.021</w:t>
            </w:r>
          </w:p>
        </w:tc>
        <w:tc>
          <w:tcPr>
            <w:tcW w:w="569" w:type="pct"/>
            <w:tcBorders>
              <w:top w:val="nil"/>
              <w:left w:val="nil"/>
              <w:bottom w:val="nil"/>
              <w:right w:val="nil"/>
            </w:tcBorders>
            <w:shd w:val="clear" w:color="auto" w:fill="auto"/>
            <w:noWrap/>
            <w:vAlign w:val="bottom"/>
            <w:hideMark/>
          </w:tcPr>
          <w:p w14:paraId="10A539E0"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0.030</w:t>
            </w:r>
          </w:p>
        </w:tc>
        <w:tc>
          <w:tcPr>
            <w:tcW w:w="622" w:type="pct"/>
            <w:tcBorders>
              <w:top w:val="nil"/>
              <w:left w:val="nil"/>
              <w:bottom w:val="nil"/>
              <w:right w:val="nil"/>
            </w:tcBorders>
            <w:shd w:val="clear" w:color="auto" w:fill="auto"/>
            <w:noWrap/>
            <w:vAlign w:val="bottom"/>
            <w:hideMark/>
          </w:tcPr>
          <w:p w14:paraId="2DAA11C1"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0.028</w:t>
            </w:r>
          </w:p>
        </w:tc>
        <w:tc>
          <w:tcPr>
            <w:tcW w:w="596" w:type="pct"/>
            <w:tcBorders>
              <w:top w:val="nil"/>
              <w:left w:val="nil"/>
              <w:bottom w:val="nil"/>
              <w:right w:val="nil"/>
            </w:tcBorders>
            <w:shd w:val="clear" w:color="auto" w:fill="auto"/>
            <w:noWrap/>
            <w:vAlign w:val="bottom"/>
            <w:hideMark/>
          </w:tcPr>
          <w:p w14:paraId="7077E89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0.035</w:t>
            </w:r>
          </w:p>
        </w:tc>
        <w:tc>
          <w:tcPr>
            <w:tcW w:w="596" w:type="pct"/>
            <w:tcBorders>
              <w:top w:val="nil"/>
              <w:left w:val="nil"/>
              <w:bottom w:val="nil"/>
              <w:right w:val="nil"/>
            </w:tcBorders>
            <w:shd w:val="clear" w:color="auto" w:fill="auto"/>
            <w:noWrap/>
            <w:vAlign w:val="bottom"/>
            <w:hideMark/>
          </w:tcPr>
          <w:p w14:paraId="43239E2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0.049</w:t>
            </w:r>
          </w:p>
        </w:tc>
        <w:tc>
          <w:tcPr>
            <w:tcW w:w="594" w:type="pct"/>
            <w:tcBorders>
              <w:top w:val="nil"/>
              <w:left w:val="nil"/>
              <w:bottom w:val="nil"/>
              <w:right w:val="nil"/>
            </w:tcBorders>
            <w:shd w:val="clear" w:color="auto" w:fill="auto"/>
            <w:noWrap/>
            <w:vAlign w:val="bottom"/>
            <w:hideMark/>
          </w:tcPr>
          <w:p w14:paraId="48775D8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0.066</w:t>
            </w:r>
          </w:p>
        </w:tc>
      </w:tr>
      <w:tr w:rsidR="00BE6D93" w:rsidRPr="00267BC6" w14:paraId="457A1750" w14:textId="77777777" w:rsidTr="00267BC6">
        <w:trPr>
          <w:cantSplit/>
          <w:trHeight w:val="20"/>
        </w:trPr>
        <w:tc>
          <w:tcPr>
            <w:tcW w:w="1426" w:type="pct"/>
            <w:tcBorders>
              <w:top w:val="nil"/>
              <w:left w:val="nil"/>
              <w:bottom w:val="nil"/>
              <w:right w:val="nil"/>
            </w:tcBorders>
            <w:shd w:val="clear" w:color="auto" w:fill="auto"/>
            <w:hideMark/>
          </w:tcPr>
          <w:p w14:paraId="5ACDBAFA"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Higher Education</w:t>
            </w:r>
          </w:p>
        </w:tc>
        <w:tc>
          <w:tcPr>
            <w:tcW w:w="596" w:type="pct"/>
            <w:tcBorders>
              <w:top w:val="nil"/>
              <w:left w:val="nil"/>
              <w:bottom w:val="nil"/>
              <w:right w:val="nil"/>
            </w:tcBorders>
            <w:shd w:val="clear" w:color="auto" w:fill="auto"/>
            <w:noWrap/>
            <w:vAlign w:val="bottom"/>
            <w:hideMark/>
          </w:tcPr>
          <w:p w14:paraId="218AFFC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-0.016</w:t>
            </w:r>
          </w:p>
        </w:tc>
        <w:tc>
          <w:tcPr>
            <w:tcW w:w="569" w:type="pct"/>
            <w:tcBorders>
              <w:top w:val="nil"/>
              <w:left w:val="nil"/>
              <w:bottom w:val="nil"/>
              <w:right w:val="nil"/>
            </w:tcBorders>
            <w:shd w:val="clear" w:color="auto" w:fill="auto"/>
            <w:noWrap/>
            <w:vAlign w:val="bottom"/>
            <w:hideMark/>
          </w:tcPr>
          <w:p w14:paraId="6C846CC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0.016</w:t>
            </w:r>
          </w:p>
        </w:tc>
        <w:tc>
          <w:tcPr>
            <w:tcW w:w="622" w:type="pct"/>
            <w:tcBorders>
              <w:top w:val="nil"/>
              <w:left w:val="nil"/>
              <w:bottom w:val="nil"/>
              <w:right w:val="nil"/>
            </w:tcBorders>
            <w:shd w:val="clear" w:color="auto" w:fill="auto"/>
            <w:noWrap/>
            <w:vAlign w:val="bottom"/>
            <w:hideMark/>
          </w:tcPr>
          <w:p w14:paraId="2F4D300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-0.017</w:t>
            </w:r>
          </w:p>
        </w:tc>
        <w:tc>
          <w:tcPr>
            <w:tcW w:w="596" w:type="pct"/>
            <w:tcBorders>
              <w:top w:val="nil"/>
              <w:left w:val="nil"/>
              <w:bottom w:val="nil"/>
              <w:right w:val="nil"/>
            </w:tcBorders>
            <w:shd w:val="clear" w:color="auto" w:fill="auto"/>
            <w:noWrap/>
            <w:vAlign w:val="bottom"/>
            <w:hideMark/>
          </w:tcPr>
          <w:p w14:paraId="3F388FED"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0.016</w:t>
            </w:r>
          </w:p>
        </w:tc>
        <w:tc>
          <w:tcPr>
            <w:tcW w:w="596" w:type="pct"/>
            <w:tcBorders>
              <w:top w:val="nil"/>
              <w:left w:val="nil"/>
              <w:bottom w:val="nil"/>
              <w:right w:val="nil"/>
            </w:tcBorders>
            <w:shd w:val="clear" w:color="auto" w:fill="auto"/>
            <w:noWrap/>
            <w:vAlign w:val="bottom"/>
            <w:hideMark/>
          </w:tcPr>
          <w:p w14:paraId="77F65BF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-0.080</w:t>
            </w:r>
          </w:p>
        </w:tc>
        <w:tc>
          <w:tcPr>
            <w:tcW w:w="594" w:type="pct"/>
            <w:tcBorders>
              <w:top w:val="nil"/>
              <w:left w:val="nil"/>
              <w:bottom w:val="nil"/>
              <w:right w:val="nil"/>
            </w:tcBorders>
            <w:shd w:val="clear" w:color="auto" w:fill="auto"/>
            <w:noWrap/>
            <w:vAlign w:val="bottom"/>
            <w:hideMark/>
          </w:tcPr>
          <w:p w14:paraId="413265D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-0.192**</w:t>
            </w:r>
          </w:p>
        </w:tc>
      </w:tr>
      <w:tr w:rsidR="00BE6D93" w:rsidRPr="00267BC6" w14:paraId="67E1491E" w14:textId="77777777" w:rsidTr="00267BC6">
        <w:trPr>
          <w:cantSplit/>
          <w:trHeight w:val="20"/>
        </w:trPr>
        <w:tc>
          <w:tcPr>
            <w:tcW w:w="1426" w:type="pct"/>
            <w:tcBorders>
              <w:top w:val="nil"/>
              <w:left w:val="nil"/>
              <w:bottom w:val="nil"/>
              <w:right w:val="nil"/>
            </w:tcBorders>
            <w:shd w:val="clear" w:color="auto" w:fill="auto"/>
            <w:noWrap/>
            <w:vAlign w:val="bottom"/>
            <w:hideMark/>
          </w:tcPr>
          <w:p w14:paraId="77DD3DF6"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7D9F07C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0.023</w:t>
            </w:r>
          </w:p>
        </w:tc>
        <w:tc>
          <w:tcPr>
            <w:tcW w:w="569" w:type="pct"/>
            <w:tcBorders>
              <w:top w:val="nil"/>
              <w:left w:val="nil"/>
              <w:bottom w:val="nil"/>
              <w:right w:val="nil"/>
            </w:tcBorders>
            <w:shd w:val="clear" w:color="auto" w:fill="auto"/>
            <w:noWrap/>
            <w:vAlign w:val="bottom"/>
            <w:hideMark/>
          </w:tcPr>
          <w:p w14:paraId="58F9DEB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0.031</w:t>
            </w:r>
          </w:p>
        </w:tc>
        <w:tc>
          <w:tcPr>
            <w:tcW w:w="622" w:type="pct"/>
            <w:tcBorders>
              <w:top w:val="nil"/>
              <w:left w:val="nil"/>
              <w:bottom w:val="nil"/>
              <w:right w:val="nil"/>
            </w:tcBorders>
            <w:shd w:val="clear" w:color="auto" w:fill="auto"/>
            <w:noWrap/>
            <w:vAlign w:val="bottom"/>
            <w:hideMark/>
          </w:tcPr>
          <w:p w14:paraId="04E1FDB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0.031</w:t>
            </w:r>
          </w:p>
        </w:tc>
        <w:tc>
          <w:tcPr>
            <w:tcW w:w="596" w:type="pct"/>
            <w:tcBorders>
              <w:top w:val="nil"/>
              <w:left w:val="nil"/>
              <w:bottom w:val="nil"/>
              <w:right w:val="nil"/>
            </w:tcBorders>
            <w:shd w:val="clear" w:color="auto" w:fill="auto"/>
            <w:noWrap/>
            <w:vAlign w:val="bottom"/>
            <w:hideMark/>
          </w:tcPr>
          <w:p w14:paraId="6CCEB97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0.040</w:t>
            </w:r>
          </w:p>
        </w:tc>
        <w:tc>
          <w:tcPr>
            <w:tcW w:w="596" w:type="pct"/>
            <w:tcBorders>
              <w:top w:val="nil"/>
              <w:left w:val="nil"/>
              <w:bottom w:val="nil"/>
              <w:right w:val="nil"/>
            </w:tcBorders>
            <w:shd w:val="clear" w:color="auto" w:fill="auto"/>
            <w:noWrap/>
            <w:vAlign w:val="bottom"/>
            <w:hideMark/>
          </w:tcPr>
          <w:p w14:paraId="51AD99E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0.058</w:t>
            </w:r>
          </w:p>
        </w:tc>
        <w:tc>
          <w:tcPr>
            <w:tcW w:w="594" w:type="pct"/>
            <w:tcBorders>
              <w:top w:val="nil"/>
              <w:left w:val="nil"/>
              <w:bottom w:val="nil"/>
              <w:right w:val="nil"/>
            </w:tcBorders>
            <w:shd w:val="clear" w:color="auto" w:fill="auto"/>
            <w:noWrap/>
            <w:vAlign w:val="bottom"/>
            <w:hideMark/>
          </w:tcPr>
          <w:p w14:paraId="0BF59852"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0.076</w:t>
            </w:r>
          </w:p>
        </w:tc>
      </w:tr>
      <w:tr w:rsidR="00BE6D93" w:rsidRPr="00267BC6" w14:paraId="406C849D" w14:textId="77777777" w:rsidTr="00267BC6">
        <w:trPr>
          <w:cantSplit/>
          <w:trHeight w:val="20"/>
        </w:trPr>
        <w:tc>
          <w:tcPr>
            <w:tcW w:w="1426" w:type="pct"/>
            <w:tcBorders>
              <w:top w:val="nil"/>
              <w:left w:val="nil"/>
              <w:bottom w:val="nil"/>
              <w:right w:val="nil"/>
            </w:tcBorders>
            <w:shd w:val="clear" w:color="auto" w:fill="auto"/>
            <w:noWrap/>
            <w:vAlign w:val="bottom"/>
            <w:hideMark/>
          </w:tcPr>
          <w:p w14:paraId="48BF011A" w14:textId="77777777" w:rsidR="00BE6D93" w:rsidRPr="00267BC6" w:rsidRDefault="00BE6D93"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NVQ 3- GCE A</w:t>
            </w:r>
          </w:p>
        </w:tc>
        <w:tc>
          <w:tcPr>
            <w:tcW w:w="596" w:type="pct"/>
            <w:tcBorders>
              <w:top w:val="nil"/>
              <w:left w:val="nil"/>
              <w:bottom w:val="nil"/>
              <w:right w:val="nil"/>
            </w:tcBorders>
            <w:shd w:val="clear" w:color="auto" w:fill="auto"/>
            <w:noWrap/>
            <w:vAlign w:val="bottom"/>
            <w:hideMark/>
          </w:tcPr>
          <w:p w14:paraId="629A304A"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-0.094***</w:t>
            </w:r>
          </w:p>
        </w:tc>
        <w:tc>
          <w:tcPr>
            <w:tcW w:w="569" w:type="pct"/>
            <w:tcBorders>
              <w:top w:val="nil"/>
              <w:left w:val="nil"/>
              <w:bottom w:val="nil"/>
              <w:right w:val="nil"/>
            </w:tcBorders>
            <w:shd w:val="clear" w:color="auto" w:fill="auto"/>
            <w:noWrap/>
            <w:vAlign w:val="bottom"/>
            <w:hideMark/>
          </w:tcPr>
          <w:p w14:paraId="503B6BA9"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-0.088**</w:t>
            </w:r>
          </w:p>
        </w:tc>
        <w:tc>
          <w:tcPr>
            <w:tcW w:w="622" w:type="pct"/>
            <w:tcBorders>
              <w:top w:val="nil"/>
              <w:left w:val="nil"/>
              <w:bottom w:val="nil"/>
              <w:right w:val="nil"/>
            </w:tcBorders>
            <w:shd w:val="clear" w:color="auto" w:fill="auto"/>
            <w:noWrap/>
            <w:vAlign w:val="bottom"/>
            <w:hideMark/>
          </w:tcPr>
          <w:p w14:paraId="129E180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-0.059**</w:t>
            </w:r>
          </w:p>
        </w:tc>
        <w:tc>
          <w:tcPr>
            <w:tcW w:w="596" w:type="pct"/>
            <w:tcBorders>
              <w:top w:val="nil"/>
              <w:left w:val="nil"/>
              <w:bottom w:val="nil"/>
              <w:right w:val="nil"/>
            </w:tcBorders>
            <w:shd w:val="clear" w:color="auto" w:fill="auto"/>
            <w:noWrap/>
            <w:vAlign w:val="bottom"/>
            <w:hideMark/>
          </w:tcPr>
          <w:p w14:paraId="560B772A"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-0.091***</w:t>
            </w:r>
          </w:p>
        </w:tc>
        <w:tc>
          <w:tcPr>
            <w:tcW w:w="596" w:type="pct"/>
            <w:tcBorders>
              <w:top w:val="nil"/>
              <w:left w:val="nil"/>
              <w:bottom w:val="nil"/>
              <w:right w:val="nil"/>
            </w:tcBorders>
            <w:shd w:val="clear" w:color="auto" w:fill="auto"/>
            <w:noWrap/>
            <w:vAlign w:val="bottom"/>
            <w:hideMark/>
          </w:tcPr>
          <w:p w14:paraId="10E764D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-0.154***</w:t>
            </w:r>
          </w:p>
        </w:tc>
        <w:tc>
          <w:tcPr>
            <w:tcW w:w="594" w:type="pct"/>
            <w:tcBorders>
              <w:top w:val="nil"/>
              <w:left w:val="nil"/>
              <w:bottom w:val="nil"/>
              <w:right w:val="nil"/>
            </w:tcBorders>
            <w:shd w:val="clear" w:color="auto" w:fill="auto"/>
            <w:noWrap/>
            <w:vAlign w:val="bottom"/>
            <w:hideMark/>
          </w:tcPr>
          <w:p w14:paraId="1813889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-0.223***</w:t>
            </w:r>
          </w:p>
        </w:tc>
      </w:tr>
      <w:tr w:rsidR="00BE6D93" w:rsidRPr="00267BC6" w14:paraId="6D82C15E" w14:textId="77777777" w:rsidTr="00267BC6">
        <w:trPr>
          <w:cantSplit/>
          <w:trHeight w:val="20"/>
        </w:trPr>
        <w:tc>
          <w:tcPr>
            <w:tcW w:w="1426" w:type="pct"/>
            <w:tcBorders>
              <w:top w:val="nil"/>
              <w:left w:val="nil"/>
              <w:bottom w:val="nil"/>
              <w:right w:val="nil"/>
            </w:tcBorders>
            <w:shd w:val="clear" w:color="auto" w:fill="auto"/>
            <w:noWrap/>
            <w:vAlign w:val="bottom"/>
            <w:hideMark/>
          </w:tcPr>
          <w:p w14:paraId="1E2860DD"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0E18D25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0.021</w:t>
            </w:r>
          </w:p>
        </w:tc>
        <w:tc>
          <w:tcPr>
            <w:tcW w:w="569" w:type="pct"/>
            <w:tcBorders>
              <w:top w:val="nil"/>
              <w:left w:val="nil"/>
              <w:bottom w:val="nil"/>
              <w:right w:val="nil"/>
            </w:tcBorders>
            <w:shd w:val="clear" w:color="auto" w:fill="auto"/>
            <w:noWrap/>
            <w:vAlign w:val="bottom"/>
            <w:hideMark/>
          </w:tcPr>
          <w:p w14:paraId="694ABF41"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0.035</w:t>
            </w:r>
          </w:p>
        </w:tc>
        <w:tc>
          <w:tcPr>
            <w:tcW w:w="622" w:type="pct"/>
            <w:tcBorders>
              <w:top w:val="nil"/>
              <w:left w:val="nil"/>
              <w:bottom w:val="nil"/>
              <w:right w:val="nil"/>
            </w:tcBorders>
            <w:shd w:val="clear" w:color="auto" w:fill="auto"/>
            <w:noWrap/>
            <w:vAlign w:val="bottom"/>
            <w:hideMark/>
          </w:tcPr>
          <w:p w14:paraId="7398046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0.030</w:t>
            </w:r>
          </w:p>
        </w:tc>
        <w:tc>
          <w:tcPr>
            <w:tcW w:w="596" w:type="pct"/>
            <w:tcBorders>
              <w:top w:val="nil"/>
              <w:left w:val="nil"/>
              <w:bottom w:val="nil"/>
              <w:right w:val="nil"/>
            </w:tcBorders>
            <w:shd w:val="clear" w:color="auto" w:fill="auto"/>
            <w:noWrap/>
            <w:vAlign w:val="bottom"/>
            <w:hideMark/>
          </w:tcPr>
          <w:p w14:paraId="29EE549D"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0.035</w:t>
            </w:r>
          </w:p>
        </w:tc>
        <w:tc>
          <w:tcPr>
            <w:tcW w:w="596" w:type="pct"/>
            <w:tcBorders>
              <w:top w:val="nil"/>
              <w:left w:val="nil"/>
              <w:bottom w:val="nil"/>
              <w:right w:val="nil"/>
            </w:tcBorders>
            <w:shd w:val="clear" w:color="auto" w:fill="auto"/>
            <w:noWrap/>
            <w:vAlign w:val="bottom"/>
            <w:hideMark/>
          </w:tcPr>
          <w:p w14:paraId="3730D97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0.050</w:t>
            </w:r>
          </w:p>
        </w:tc>
        <w:tc>
          <w:tcPr>
            <w:tcW w:w="594" w:type="pct"/>
            <w:tcBorders>
              <w:top w:val="nil"/>
              <w:left w:val="nil"/>
              <w:bottom w:val="nil"/>
              <w:right w:val="nil"/>
            </w:tcBorders>
            <w:shd w:val="clear" w:color="auto" w:fill="auto"/>
            <w:noWrap/>
            <w:vAlign w:val="bottom"/>
            <w:hideMark/>
          </w:tcPr>
          <w:p w14:paraId="68144AB4"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0.066</w:t>
            </w:r>
          </w:p>
        </w:tc>
      </w:tr>
      <w:tr w:rsidR="00BE6D93" w:rsidRPr="00267BC6" w14:paraId="34B6A084" w14:textId="77777777" w:rsidTr="00267BC6">
        <w:trPr>
          <w:cantSplit/>
          <w:trHeight w:val="20"/>
        </w:trPr>
        <w:tc>
          <w:tcPr>
            <w:tcW w:w="1426" w:type="pct"/>
            <w:tcBorders>
              <w:top w:val="nil"/>
              <w:left w:val="nil"/>
              <w:bottom w:val="nil"/>
              <w:right w:val="nil"/>
            </w:tcBorders>
            <w:shd w:val="clear" w:color="auto" w:fill="auto"/>
            <w:hideMark/>
          </w:tcPr>
          <w:p w14:paraId="4C411527"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NVQ 2 – GCE 0</w:t>
            </w:r>
          </w:p>
        </w:tc>
        <w:tc>
          <w:tcPr>
            <w:tcW w:w="596" w:type="pct"/>
            <w:tcBorders>
              <w:top w:val="nil"/>
              <w:left w:val="nil"/>
              <w:bottom w:val="nil"/>
              <w:right w:val="nil"/>
            </w:tcBorders>
            <w:shd w:val="clear" w:color="auto" w:fill="auto"/>
            <w:noWrap/>
            <w:vAlign w:val="bottom"/>
            <w:hideMark/>
          </w:tcPr>
          <w:p w14:paraId="77D5697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-0.048**</w:t>
            </w:r>
          </w:p>
        </w:tc>
        <w:tc>
          <w:tcPr>
            <w:tcW w:w="569" w:type="pct"/>
            <w:tcBorders>
              <w:top w:val="nil"/>
              <w:left w:val="nil"/>
              <w:bottom w:val="nil"/>
              <w:right w:val="nil"/>
            </w:tcBorders>
            <w:shd w:val="clear" w:color="auto" w:fill="auto"/>
            <w:noWrap/>
            <w:vAlign w:val="bottom"/>
            <w:hideMark/>
          </w:tcPr>
          <w:p w14:paraId="513C9E9A"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-0.051*</w:t>
            </w:r>
          </w:p>
        </w:tc>
        <w:tc>
          <w:tcPr>
            <w:tcW w:w="622" w:type="pct"/>
            <w:tcBorders>
              <w:top w:val="nil"/>
              <w:left w:val="nil"/>
              <w:bottom w:val="nil"/>
              <w:right w:val="nil"/>
            </w:tcBorders>
            <w:shd w:val="clear" w:color="auto" w:fill="auto"/>
            <w:noWrap/>
            <w:vAlign w:val="bottom"/>
            <w:hideMark/>
          </w:tcPr>
          <w:p w14:paraId="1D9D4AC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-0.029</w:t>
            </w:r>
          </w:p>
        </w:tc>
        <w:tc>
          <w:tcPr>
            <w:tcW w:w="596" w:type="pct"/>
            <w:tcBorders>
              <w:top w:val="nil"/>
              <w:left w:val="nil"/>
              <w:bottom w:val="nil"/>
              <w:right w:val="nil"/>
            </w:tcBorders>
            <w:shd w:val="clear" w:color="auto" w:fill="auto"/>
            <w:noWrap/>
            <w:vAlign w:val="bottom"/>
            <w:hideMark/>
          </w:tcPr>
          <w:p w14:paraId="364B2736"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0.010</w:t>
            </w:r>
          </w:p>
        </w:tc>
        <w:tc>
          <w:tcPr>
            <w:tcW w:w="596" w:type="pct"/>
            <w:tcBorders>
              <w:top w:val="nil"/>
              <w:left w:val="nil"/>
              <w:bottom w:val="nil"/>
              <w:right w:val="nil"/>
            </w:tcBorders>
            <w:shd w:val="clear" w:color="auto" w:fill="auto"/>
            <w:noWrap/>
            <w:vAlign w:val="bottom"/>
            <w:hideMark/>
          </w:tcPr>
          <w:p w14:paraId="7C2C17CF"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-0.089*</w:t>
            </w:r>
          </w:p>
        </w:tc>
        <w:tc>
          <w:tcPr>
            <w:tcW w:w="594" w:type="pct"/>
            <w:tcBorders>
              <w:top w:val="nil"/>
              <w:left w:val="nil"/>
              <w:bottom w:val="nil"/>
              <w:right w:val="nil"/>
            </w:tcBorders>
            <w:shd w:val="clear" w:color="auto" w:fill="auto"/>
            <w:noWrap/>
            <w:vAlign w:val="bottom"/>
            <w:hideMark/>
          </w:tcPr>
          <w:p w14:paraId="429A4E3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-0.170***</w:t>
            </w:r>
          </w:p>
        </w:tc>
      </w:tr>
      <w:tr w:rsidR="00BE6D93" w:rsidRPr="00267BC6" w14:paraId="33C95751" w14:textId="77777777" w:rsidTr="00267BC6">
        <w:trPr>
          <w:cantSplit/>
          <w:trHeight w:val="20"/>
        </w:trPr>
        <w:tc>
          <w:tcPr>
            <w:tcW w:w="1426" w:type="pct"/>
            <w:tcBorders>
              <w:top w:val="nil"/>
              <w:left w:val="nil"/>
              <w:bottom w:val="nil"/>
              <w:right w:val="nil"/>
            </w:tcBorders>
            <w:shd w:val="clear" w:color="auto" w:fill="auto"/>
            <w:noWrap/>
            <w:vAlign w:val="bottom"/>
            <w:hideMark/>
          </w:tcPr>
          <w:p w14:paraId="5D38C550"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65F6745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0.019</w:t>
            </w:r>
          </w:p>
        </w:tc>
        <w:tc>
          <w:tcPr>
            <w:tcW w:w="569" w:type="pct"/>
            <w:tcBorders>
              <w:top w:val="nil"/>
              <w:left w:val="nil"/>
              <w:bottom w:val="nil"/>
              <w:right w:val="nil"/>
            </w:tcBorders>
            <w:shd w:val="clear" w:color="auto" w:fill="auto"/>
            <w:noWrap/>
            <w:vAlign w:val="bottom"/>
            <w:hideMark/>
          </w:tcPr>
          <w:p w14:paraId="3ADA051F"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0.028</w:t>
            </w:r>
          </w:p>
        </w:tc>
        <w:tc>
          <w:tcPr>
            <w:tcW w:w="622" w:type="pct"/>
            <w:tcBorders>
              <w:top w:val="nil"/>
              <w:left w:val="nil"/>
              <w:bottom w:val="nil"/>
              <w:right w:val="nil"/>
            </w:tcBorders>
            <w:shd w:val="clear" w:color="auto" w:fill="auto"/>
            <w:noWrap/>
            <w:vAlign w:val="bottom"/>
            <w:hideMark/>
          </w:tcPr>
          <w:p w14:paraId="5903561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0.026</w:t>
            </w:r>
          </w:p>
        </w:tc>
        <w:tc>
          <w:tcPr>
            <w:tcW w:w="596" w:type="pct"/>
            <w:tcBorders>
              <w:top w:val="nil"/>
              <w:left w:val="nil"/>
              <w:bottom w:val="nil"/>
              <w:right w:val="nil"/>
            </w:tcBorders>
            <w:shd w:val="clear" w:color="auto" w:fill="auto"/>
            <w:noWrap/>
            <w:vAlign w:val="bottom"/>
            <w:hideMark/>
          </w:tcPr>
          <w:p w14:paraId="700ABCC5"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0.033</w:t>
            </w:r>
          </w:p>
        </w:tc>
        <w:tc>
          <w:tcPr>
            <w:tcW w:w="596" w:type="pct"/>
            <w:tcBorders>
              <w:top w:val="nil"/>
              <w:left w:val="nil"/>
              <w:bottom w:val="nil"/>
              <w:right w:val="nil"/>
            </w:tcBorders>
            <w:shd w:val="clear" w:color="auto" w:fill="auto"/>
            <w:noWrap/>
            <w:vAlign w:val="bottom"/>
            <w:hideMark/>
          </w:tcPr>
          <w:p w14:paraId="66F8BA8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0.048</w:t>
            </w:r>
          </w:p>
        </w:tc>
        <w:tc>
          <w:tcPr>
            <w:tcW w:w="594" w:type="pct"/>
            <w:tcBorders>
              <w:top w:val="nil"/>
              <w:left w:val="nil"/>
              <w:bottom w:val="nil"/>
              <w:right w:val="nil"/>
            </w:tcBorders>
            <w:shd w:val="clear" w:color="auto" w:fill="auto"/>
            <w:noWrap/>
            <w:vAlign w:val="bottom"/>
            <w:hideMark/>
          </w:tcPr>
          <w:p w14:paraId="6F192C6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0.064</w:t>
            </w:r>
          </w:p>
        </w:tc>
      </w:tr>
      <w:tr w:rsidR="00BE6D93" w:rsidRPr="00267BC6" w14:paraId="53755835" w14:textId="77777777" w:rsidTr="00267BC6">
        <w:trPr>
          <w:cantSplit/>
          <w:trHeight w:val="20"/>
        </w:trPr>
        <w:tc>
          <w:tcPr>
            <w:tcW w:w="1426" w:type="pct"/>
            <w:tcBorders>
              <w:top w:val="nil"/>
              <w:left w:val="nil"/>
              <w:bottom w:val="nil"/>
              <w:right w:val="nil"/>
            </w:tcBorders>
            <w:shd w:val="clear" w:color="auto" w:fill="auto"/>
            <w:hideMark/>
          </w:tcPr>
          <w:p w14:paraId="4E27877B" w14:textId="77777777" w:rsidR="00BE6D93" w:rsidRPr="00267BC6" w:rsidRDefault="00BE6D93" w:rsidP="00BE6D93">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eastAsia="it-IT"/>
              </w:rPr>
              <w:t>NVQ1 – CSE</w:t>
            </w:r>
          </w:p>
        </w:tc>
        <w:tc>
          <w:tcPr>
            <w:tcW w:w="596" w:type="pct"/>
            <w:tcBorders>
              <w:top w:val="nil"/>
              <w:left w:val="nil"/>
              <w:bottom w:val="nil"/>
              <w:right w:val="nil"/>
            </w:tcBorders>
            <w:shd w:val="clear" w:color="auto" w:fill="auto"/>
            <w:noWrap/>
            <w:vAlign w:val="bottom"/>
            <w:hideMark/>
          </w:tcPr>
          <w:p w14:paraId="5D855758"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-0.089***</w:t>
            </w:r>
          </w:p>
        </w:tc>
        <w:tc>
          <w:tcPr>
            <w:tcW w:w="569" w:type="pct"/>
            <w:tcBorders>
              <w:top w:val="nil"/>
              <w:left w:val="nil"/>
              <w:bottom w:val="nil"/>
              <w:right w:val="nil"/>
            </w:tcBorders>
            <w:shd w:val="clear" w:color="auto" w:fill="auto"/>
            <w:noWrap/>
            <w:vAlign w:val="bottom"/>
            <w:hideMark/>
          </w:tcPr>
          <w:p w14:paraId="5F74A6C1"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-0.048</w:t>
            </w:r>
          </w:p>
        </w:tc>
        <w:tc>
          <w:tcPr>
            <w:tcW w:w="622" w:type="pct"/>
            <w:tcBorders>
              <w:top w:val="nil"/>
              <w:left w:val="nil"/>
              <w:bottom w:val="nil"/>
              <w:right w:val="nil"/>
            </w:tcBorders>
            <w:shd w:val="clear" w:color="auto" w:fill="auto"/>
            <w:noWrap/>
            <w:vAlign w:val="bottom"/>
            <w:hideMark/>
          </w:tcPr>
          <w:p w14:paraId="192E2783"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-0.089**</w:t>
            </w:r>
          </w:p>
        </w:tc>
        <w:tc>
          <w:tcPr>
            <w:tcW w:w="596" w:type="pct"/>
            <w:tcBorders>
              <w:top w:val="nil"/>
              <w:left w:val="nil"/>
              <w:bottom w:val="nil"/>
              <w:right w:val="nil"/>
            </w:tcBorders>
            <w:shd w:val="clear" w:color="auto" w:fill="auto"/>
            <w:noWrap/>
            <w:vAlign w:val="bottom"/>
            <w:hideMark/>
          </w:tcPr>
          <w:p w14:paraId="1AAE8790"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-0.049</w:t>
            </w:r>
          </w:p>
        </w:tc>
        <w:tc>
          <w:tcPr>
            <w:tcW w:w="596" w:type="pct"/>
            <w:tcBorders>
              <w:top w:val="nil"/>
              <w:left w:val="nil"/>
              <w:bottom w:val="nil"/>
              <w:right w:val="nil"/>
            </w:tcBorders>
            <w:shd w:val="clear" w:color="auto" w:fill="auto"/>
            <w:noWrap/>
            <w:vAlign w:val="bottom"/>
            <w:hideMark/>
          </w:tcPr>
          <w:p w14:paraId="349350E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-0.223***</w:t>
            </w:r>
          </w:p>
        </w:tc>
        <w:tc>
          <w:tcPr>
            <w:tcW w:w="594" w:type="pct"/>
            <w:tcBorders>
              <w:top w:val="nil"/>
              <w:left w:val="nil"/>
              <w:bottom w:val="nil"/>
              <w:right w:val="nil"/>
            </w:tcBorders>
            <w:shd w:val="clear" w:color="auto" w:fill="auto"/>
            <w:noWrap/>
            <w:vAlign w:val="bottom"/>
            <w:hideMark/>
          </w:tcPr>
          <w:p w14:paraId="1294044A"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-0.317***</w:t>
            </w:r>
          </w:p>
        </w:tc>
      </w:tr>
      <w:tr w:rsidR="00BE6D93" w:rsidRPr="00267BC6" w14:paraId="6CD8B66C" w14:textId="77777777" w:rsidTr="00267BC6">
        <w:trPr>
          <w:cantSplit/>
          <w:trHeight w:val="20"/>
        </w:trPr>
        <w:tc>
          <w:tcPr>
            <w:tcW w:w="1426" w:type="pct"/>
            <w:tcBorders>
              <w:top w:val="nil"/>
              <w:left w:val="nil"/>
              <w:bottom w:val="nil"/>
              <w:right w:val="nil"/>
            </w:tcBorders>
            <w:shd w:val="clear" w:color="auto" w:fill="auto"/>
            <w:noWrap/>
            <w:vAlign w:val="bottom"/>
            <w:hideMark/>
          </w:tcPr>
          <w:p w14:paraId="57C5D47A"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nil"/>
              <w:right w:val="nil"/>
            </w:tcBorders>
            <w:shd w:val="clear" w:color="auto" w:fill="auto"/>
            <w:noWrap/>
            <w:vAlign w:val="bottom"/>
            <w:hideMark/>
          </w:tcPr>
          <w:p w14:paraId="5B752363"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0.030</w:t>
            </w:r>
          </w:p>
        </w:tc>
        <w:tc>
          <w:tcPr>
            <w:tcW w:w="569" w:type="pct"/>
            <w:tcBorders>
              <w:top w:val="nil"/>
              <w:left w:val="nil"/>
              <w:bottom w:val="nil"/>
              <w:right w:val="nil"/>
            </w:tcBorders>
            <w:shd w:val="clear" w:color="auto" w:fill="auto"/>
            <w:noWrap/>
            <w:vAlign w:val="bottom"/>
            <w:hideMark/>
          </w:tcPr>
          <w:p w14:paraId="37DB695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0.046</w:t>
            </w:r>
          </w:p>
        </w:tc>
        <w:tc>
          <w:tcPr>
            <w:tcW w:w="622" w:type="pct"/>
            <w:tcBorders>
              <w:top w:val="nil"/>
              <w:left w:val="nil"/>
              <w:bottom w:val="nil"/>
              <w:right w:val="nil"/>
            </w:tcBorders>
            <w:shd w:val="clear" w:color="auto" w:fill="auto"/>
            <w:noWrap/>
            <w:vAlign w:val="bottom"/>
            <w:hideMark/>
          </w:tcPr>
          <w:p w14:paraId="77657A1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0.041</w:t>
            </w:r>
          </w:p>
        </w:tc>
        <w:tc>
          <w:tcPr>
            <w:tcW w:w="596" w:type="pct"/>
            <w:tcBorders>
              <w:top w:val="nil"/>
              <w:left w:val="nil"/>
              <w:bottom w:val="nil"/>
              <w:right w:val="nil"/>
            </w:tcBorders>
            <w:shd w:val="clear" w:color="auto" w:fill="auto"/>
            <w:noWrap/>
            <w:vAlign w:val="bottom"/>
            <w:hideMark/>
          </w:tcPr>
          <w:p w14:paraId="0B0A6AE7"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0.051</w:t>
            </w:r>
          </w:p>
        </w:tc>
        <w:tc>
          <w:tcPr>
            <w:tcW w:w="596" w:type="pct"/>
            <w:tcBorders>
              <w:top w:val="nil"/>
              <w:left w:val="nil"/>
              <w:bottom w:val="nil"/>
              <w:right w:val="nil"/>
            </w:tcBorders>
            <w:shd w:val="clear" w:color="auto" w:fill="auto"/>
            <w:noWrap/>
            <w:vAlign w:val="bottom"/>
            <w:hideMark/>
          </w:tcPr>
          <w:p w14:paraId="29B3D49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0.068</w:t>
            </w:r>
          </w:p>
        </w:tc>
        <w:tc>
          <w:tcPr>
            <w:tcW w:w="594" w:type="pct"/>
            <w:tcBorders>
              <w:top w:val="nil"/>
              <w:left w:val="nil"/>
              <w:bottom w:val="nil"/>
              <w:right w:val="nil"/>
            </w:tcBorders>
            <w:shd w:val="clear" w:color="auto" w:fill="auto"/>
            <w:noWrap/>
            <w:vAlign w:val="bottom"/>
            <w:hideMark/>
          </w:tcPr>
          <w:p w14:paraId="72EF994B"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0.086</w:t>
            </w:r>
          </w:p>
        </w:tc>
      </w:tr>
      <w:tr w:rsidR="00BE6D93" w:rsidRPr="00267BC6" w14:paraId="195FDB71" w14:textId="77777777" w:rsidTr="00267BC6">
        <w:trPr>
          <w:cantSplit/>
          <w:trHeight w:val="20"/>
        </w:trPr>
        <w:tc>
          <w:tcPr>
            <w:tcW w:w="1426" w:type="pct"/>
            <w:tcBorders>
              <w:top w:val="nil"/>
              <w:left w:val="nil"/>
              <w:bottom w:val="nil"/>
              <w:right w:val="nil"/>
            </w:tcBorders>
            <w:shd w:val="clear" w:color="auto" w:fill="auto"/>
            <w:hideMark/>
          </w:tcPr>
          <w:p w14:paraId="50DB47E4" w14:textId="77777777" w:rsidR="00BE6D93" w:rsidRPr="00BC22E8" w:rsidRDefault="00BE6D93" w:rsidP="00BE6D93">
            <w:pPr>
              <w:spacing w:after="0" w:line="240" w:lineRule="auto"/>
              <w:jc w:val="both"/>
              <w:rPr>
                <w:rFonts w:ascii="Garamond" w:eastAsia="Times New Roman" w:hAnsi="Garamond" w:cs="Times New Roman"/>
                <w:color w:val="000000"/>
                <w:sz w:val="20"/>
                <w:szCs w:val="20"/>
                <w:lang w:val="it-IT" w:eastAsia="it-IT"/>
              </w:rPr>
            </w:pPr>
            <w:r w:rsidRPr="00BC22E8">
              <w:rPr>
                <w:rFonts w:ascii="Garamond" w:eastAsia="Times New Roman" w:hAnsi="Garamond" w:cs="Times New Roman"/>
                <w:color w:val="000000"/>
                <w:sz w:val="20"/>
                <w:szCs w:val="20"/>
                <w:lang w:eastAsia="it-IT"/>
              </w:rPr>
              <w:t>Other Qualifications</w:t>
            </w:r>
          </w:p>
        </w:tc>
        <w:tc>
          <w:tcPr>
            <w:tcW w:w="596" w:type="pct"/>
            <w:tcBorders>
              <w:top w:val="nil"/>
              <w:left w:val="nil"/>
              <w:bottom w:val="nil"/>
              <w:right w:val="nil"/>
            </w:tcBorders>
            <w:shd w:val="clear" w:color="auto" w:fill="auto"/>
            <w:noWrap/>
            <w:vAlign w:val="bottom"/>
            <w:hideMark/>
          </w:tcPr>
          <w:p w14:paraId="0761DD0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0.009</w:t>
            </w:r>
          </w:p>
        </w:tc>
        <w:tc>
          <w:tcPr>
            <w:tcW w:w="569" w:type="pct"/>
            <w:tcBorders>
              <w:top w:val="nil"/>
              <w:left w:val="nil"/>
              <w:bottom w:val="nil"/>
              <w:right w:val="nil"/>
            </w:tcBorders>
            <w:shd w:val="clear" w:color="auto" w:fill="auto"/>
            <w:noWrap/>
            <w:vAlign w:val="bottom"/>
            <w:hideMark/>
          </w:tcPr>
          <w:p w14:paraId="50684DC6"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-0.012</w:t>
            </w:r>
          </w:p>
        </w:tc>
        <w:tc>
          <w:tcPr>
            <w:tcW w:w="622" w:type="pct"/>
            <w:tcBorders>
              <w:top w:val="nil"/>
              <w:left w:val="nil"/>
              <w:bottom w:val="nil"/>
              <w:right w:val="nil"/>
            </w:tcBorders>
            <w:shd w:val="clear" w:color="auto" w:fill="auto"/>
            <w:noWrap/>
            <w:vAlign w:val="bottom"/>
            <w:hideMark/>
          </w:tcPr>
          <w:p w14:paraId="4C7C79A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-0.035</w:t>
            </w:r>
          </w:p>
        </w:tc>
        <w:tc>
          <w:tcPr>
            <w:tcW w:w="596" w:type="pct"/>
            <w:tcBorders>
              <w:top w:val="nil"/>
              <w:left w:val="nil"/>
              <w:bottom w:val="nil"/>
              <w:right w:val="nil"/>
            </w:tcBorders>
            <w:shd w:val="clear" w:color="auto" w:fill="auto"/>
            <w:noWrap/>
            <w:vAlign w:val="bottom"/>
            <w:hideMark/>
          </w:tcPr>
          <w:p w14:paraId="5E54A608"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-0.013</w:t>
            </w:r>
          </w:p>
        </w:tc>
        <w:tc>
          <w:tcPr>
            <w:tcW w:w="596" w:type="pct"/>
            <w:tcBorders>
              <w:top w:val="nil"/>
              <w:left w:val="nil"/>
              <w:bottom w:val="nil"/>
              <w:right w:val="nil"/>
            </w:tcBorders>
            <w:shd w:val="clear" w:color="auto" w:fill="auto"/>
            <w:noWrap/>
            <w:vAlign w:val="bottom"/>
            <w:hideMark/>
          </w:tcPr>
          <w:p w14:paraId="707265F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-0.031</w:t>
            </w:r>
          </w:p>
        </w:tc>
        <w:tc>
          <w:tcPr>
            <w:tcW w:w="594" w:type="pct"/>
            <w:tcBorders>
              <w:top w:val="nil"/>
              <w:left w:val="nil"/>
              <w:bottom w:val="nil"/>
              <w:right w:val="nil"/>
            </w:tcBorders>
            <w:shd w:val="clear" w:color="auto" w:fill="auto"/>
            <w:noWrap/>
            <w:vAlign w:val="bottom"/>
            <w:hideMark/>
          </w:tcPr>
          <w:p w14:paraId="6FBF4FA8"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0.058</w:t>
            </w:r>
          </w:p>
        </w:tc>
      </w:tr>
      <w:tr w:rsidR="00BE6D93" w:rsidRPr="00267BC6" w14:paraId="3F28CB98" w14:textId="77777777" w:rsidTr="00267BC6">
        <w:trPr>
          <w:cantSplit/>
          <w:trHeight w:val="20"/>
        </w:trPr>
        <w:tc>
          <w:tcPr>
            <w:tcW w:w="1426" w:type="pct"/>
            <w:tcBorders>
              <w:top w:val="nil"/>
              <w:left w:val="nil"/>
              <w:bottom w:val="nil"/>
              <w:right w:val="nil"/>
            </w:tcBorders>
            <w:shd w:val="clear" w:color="auto" w:fill="auto"/>
            <w:noWrap/>
            <w:vAlign w:val="bottom"/>
            <w:hideMark/>
          </w:tcPr>
          <w:p w14:paraId="0D7237D3" w14:textId="77777777" w:rsidR="00BE6D93" w:rsidRPr="00BC22E8" w:rsidRDefault="00BE6D93" w:rsidP="00BE6D93">
            <w:pPr>
              <w:spacing w:after="0" w:line="240" w:lineRule="auto"/>
              <w:rPr>
                <w:rFonts w:ascii="Garamond" w:eastAsia="Times New Roman" w:hAnsi="Garamond" w:cs="Times New Roman"/>
                <w:i/>
                <w:color w:val="000000"/>
                <w:sz w:val="20"/>
                <w:szCs w:val="20"/>
                <w:lang w:val="it-IT" w:eastAsia="it-IT"/>
              </w:rPr>
            </w:pPr>
          </w:p>
        </w:tc>
        <w:tc>
          <w:tcPr>
            <w:tcW w:w="596" w:type="pct"/>
            <w:tcBorders>
              <w:top w:val="nil"/>
              <w:left w:val="nil"/>
              <w:bottom w:val="nil"/>
              <w:right w:val="nil"/>
            </w:tcBorders>
            <w:shd w:val="clear" w:color="auto" w:fill="auto"/>
            <w:noWrap/>
            <w:vAlign w:val="bottom"/>
            <w:hideMark/>
          </w:tcPr>
          <w:p w14:paraId="71D44ED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0.045</w:t>
            </w:r>
          </w:p>
        </w:tc>
        <w:tc>
          <w:tcPr>
            <w:tcW w:w="569" w:type="pct"/>
            <w:tcBorders>
              <w:top w:val="nil"/>
              <w:left w:val="nil"/>
              <w:bottom w:val="nil"/>
              <w:right w:val="nil"/>
            </w:tcBorders>
            <w:shd w:val="clear" w:color="auto" w:fill="auto"/>
            <w:noWrap/>
            <w:vAlign w:val="bottom"/>
            <w:hideMark/>
          </w:tcPr>
          <w:p w14:paraId="78E1D9AF"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0.048</w:t>
            </w:r>
          </w:p>
        </w:tc>
        <w:tc>
          <w:tcPr>
            <w:tcW w:w="622" w:type="pct"/>
            <w:tcBorders>
              <w:top w:val="nil"/>
              <w:left w:val="nil"/>
              <w:bottom w:val="nil"/>
              <w:right w:val="nil"/>
            </w:tcBorders>
            <w:shd w:val="clear" w:color="auto" w:fill="auto"/>
            <w:noWrap/>
            <w:vAlign w:val="bottom"/>
            <w:hideMark/>
          </w:tcPr>
          <w:p w14:paraId="0B68FC5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0.057</w:t>
            </w:r>
          </w:p>
        </w:tc>
        <w:tc>
          <w:tcPr>
            <w:tcW w:w="596" w:type="pct"/>
            <w:tcBorders>
              <w:top w:val="nil"/>
              <w:left w:val="nil"/>
              <w:bottom w:val="nil"/>
              <w:right w:val="nil"/>
            </w:tcBorders>
            <w:shd w:val="clear" w:color="auto" w:fill="auto"/>
            <w:noWrap/>
            <w:vAlign w:val="bottom"/>
            <w:hideMark/>
          </w:tcPr>
          <w:p w14:paraId="55A599D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0.080</w:t>
            </w:r>
          </w:p>
        </w:tc>
        <w:tc>
          <w:tcPr>
            <w:tcW w:w="596" w:type="pct"/>
            <w:tcBorders>
              <w:top w:val="nil"/>
              <w:left w:val="nil"/>
              <w:bottom w:val="nil"/>
              <w:right w:val="nil"/>
            </w:tcBorders>
            <w:shd w:val="clear" w:color="auto" w:fill="auto"/>
            <w:noWrap/>
            <w:vAlign w:val="bottom"/>
            <w:hideMark/>
          </w:tcPr>
          <w:p w14:paraId="4D0C30E3"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0.127</w:t>
            </w:r>
          </w:p>
        </w:tc>
        <w:tc>
          <w:tcPr>
            <w:tcW w:w="594" w:type="pct"/>
            <w:tcBorders>
              <w:top w:val="nil"/>
              <w:left w:val="nil"/>
              <w:bottom w:val="nil"/>
              <w:right w:val="nil"/>
            </w:tcBorders>
            <w:shd w:val="clear" w:color="auto" w:fill="auto"/>
            <w:noWrap/>
            <w:vAlign w:val="bottom"/>
            <w:hideMark/>
          </w:tcPr>
          <w:p w14:paraId="67BC557F"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0.182</w:t>
            </w:r>
          </w:p>
        </w:tc>
      </w:tr>
      <w:tr w:rsidR="00BE6D93" w:rsidRPr="00267BC6" w14:paraId="0BD58E68" w14:textId="77777777" w:rsidTr="00267BC6">
        <w:trPr>
          <w:cantSplit/>
          <w:trHeight w:val="20"/>
        </w:trPr>
        <w:tc>
          <w:tcPr>
            <w:tcW w:w="1426" w:type="pct"/>
            <w:tcBorders>
              <w:top w:val="nil"/>
              <w:left w:val="nil"/>
              <w:right w:val="nil"/>
            </w:tcBorders>
            <w:shd w:val="clear" w:color="auto" w:fill="auto"/>
            <w:noWrap/>
            <w:vAlign w:val="bottom"/>
            <w:hideMark/>
          </w:tcPr>
          <w:p w14:paraId="1B17539F" w14:textId="77777777" w:rsidR="00BE6D93" w:rsidRPr="00267BC6" w:rsidRDefault="00BE6D93" w:rsidP="00BE6D93">
            <w:pPr>
              <w:spacing w:after="0" w:line="240" w:lineRule="auto"/>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Constant</w:t>
            </w:r>
          </w:p>
        </w:tc>
        <w:tc>
          <w:tcPr>
            <w:tcW w:w="596" w:type="pct"/>
            <w:tcBorders>
              <w:top w:val="nil"/>
              <w:left w:val="nil"/>
              <w:right w:val="nil"/>
            </w:tcBorders>
            <w:shd w:val="clear" w:color="auto" w:fill="auto"/>
            <w:noWrap/>
            <w:vAlign w:val="bottom"/>
            <w:hideMark/>
          </w:tcPr>
          <w:p w14:paraId="68EFC696"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4.274***</w:t>
            </w:r>
          </w:p>
        </w:tc>
        <w:tc>
          <w:tcPr>
            <w:tcW w:w="569" w:type="pct"/>
            <w:tcBorders>
              <w:top w:val="nil"/>
              <w:left w:val="nil"/>
              <w:right w:val="nil"/>
            </w:tcBorders>
            <w:shd w:val="clear" w:color="auto" w:fill="auto"/>
            <w:noWrap/>
            <w:vAlign w:val="bottom"/>
            <w:hideMark/>
          </w:tcPr>
          <w:p w14:paraId="51A261CD"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2.851***</w:t>
            </w:r>
          </w:p>
        </w:tc>
        <w:tc>
          <w:tcPr>
            <w:tcW w:w="622" w:type="pct"/>
            <w:tcBorders>
              <w:top w:val="nil"/>
              <w:left w:val="nil"/>
              <w:right w:val="nil"/>
            </w:tcBorders>
            <w:shd w:val="clear" w:color="auto" w:fill="auto"/>
            <w:noWrap/>
            <w:vAlign w:val="bottom"/>
            <w:hideMark/>
          </w:tcPr>
          <w:p w14:paraId="5D8ED23B"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4.142***</w:t>
            </w:r>
          </w:p>
        </w:tc>
        <w:tc>
          <w:tcPr>
            <w:tcW w:w="596" w:type="pct"/>
            <w:tcBorders>
              <w:top w:val="nil"/>
              <w:left w:val="nil"/>
              <w:right w:val="nil"/>
            </w:tcBorders>
            <w:shd w:val="clear" w:color="auto" w:fill="auto"/>
            <w:noWrap/>
            <w:vAlign w:val="bottom"/>
            <w:hideMark/>
          </w:tcPr>
          <w:p w14:paraId="4B241CB1"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5.580***</w:t>
            </w:r>
          </w:p>
        </w:tc>
        <w:tc>
          <w:tcPr>
            <w:tcW w:w="596" w:type="pct"/>
            <w:tcBorders>
              <w:top w:val="nil"/>
              <w:left w:val="nil"/>
              <w:right w:val="nil"/>
            </w:tcBorders>
            <w:shd w:val="clear" w:color="auto" w:fill="auto"/>
            <w:noWrap/>
            <w:vAlign w:val="bottom"/>
            <w:hideMark/>
          </w:tcPr>
          <w:p w14:paraId="436D846C"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7.178***</w:t>
            </w:r>
          </w:p>
        </w:tc>
        <w:tc>
          <w:tcPr>
            <w:tcW w:w="594" w:type="pct"/>
            <w:tcBorders>
              <w:top w:val="nil"/>
              <w:left w:val="nil"/>
              <w:right w:val="nil"/>
            </w:tcBorders>
            <w:shd w:val="clear" w:color="auto" w:fill="auto"/>
            <w:noWrap/>
            <w:vAlign w:val="bottom"/>
            <w:hideMark/>
          </w:tcPr>
          <w:p w14:paraId="5B7E0012" w14:textId="77777777" w:rsidR="00BE6D93" w:rsidRPr="00267BC6" w:rsidRDefault="00BE6D93" w:rsidP="00D5220A">
            <w:pPr>
              <w:spacing w:after="0" w:line="240" w:lineRule="auto"/>
              <w:jc w:val="both"/>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7.976***</w:t>
            </w:r>
          </w:p>
        </w:tc>
      </w:tr>
      <w:tr w:rsidR="00BE6D93" w:rsidRPr="00267BC6" w14:paraId="5D31A7BE" w14:textId="77777777" w:rsidTr="00267BC6">
        <w:trPr>
          <w:cantSplit/>
          <w:trHeight w:val="20"/>
        </w:trPr>
        <w:tc>
          <w:tcPr>
            <w:tcW w:w="1426" w:type="pct"/>
            <w:tcBorders>
              <w:top w:val="nil"/>
              <w:left w:val="nil"/>
              <w:bottom w:val="single" w:sz="4" w:space="0" w:color="auto"/>
              <w:right w:val="nil"/>
            </w:tcBorders>
            <w:shd w:val="clear" w:color="auto" w:fill="auto"/>
            <w:noWrap/>
            <w:vAlign w:val="bottom"/>
            <w:hideMark/>
          </w:tcPr>
          <w:p w14:paraId="1AC4D36C" w14:textId="77777777" w:rsidR="00BE6D93" w:rsidRPr="00267BC6" w:rsidRDefault="00BE6D93" w:rsidP="00BE6D93">
            <w:pPr>
              <w:spacing w:after="0" w:line="240" w:lineRule="auto"/>
              <w:rPr>
                <w:rFonts w:ascii="Garamond" w:eastAsia="Times New Roman" w:hAnsi="Garamond" w:cs="Times New Roman"/>
                <w:i/>
                <w:color w:val="000000"/>
                <w:lang w:val="it-IT" w:eastAsia="it-IT"/>
              </w:rPr>
            </w:pPr>
          </w:p>
        </w:tc>
        <w:tc>
          <w:tcPr>
            <w:tcW w:w="596" w:type="pct"/>
            <w:tcBorders>
              <w:top w:val="nil"/>
              <w:left w:val="nil"/>
              <w:bottom w:val="single" w:sz="4" w:space="0" w:color="auto"/>
              <w:right w:val="nil"/>
            </w:tcBorders>
            <w:shd w:val="clear" w:color="auto" w:fill="auto"/>
            <w:noWrap/>
            <w:vAlign w:val="bottom"/>
            <w:hideMark/>
          </w:tcPr>
          <w:p w14:paraId="0BEF8D16"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0.088</w:t>
            </w:r>
          </w:p>
        </w:tc>
        <w:tc>
          <w:tcPr>
            <w:tcW w:w="569" w:type="pct"/>
            <w:tcBorders>
              <w:top w:val="nil"/>
              <w:left w:val="nil"/>
              <w:bottom w:val="single" w:sz="4" w:space="0" w:color="auto"/>
              <w:right w:val="nil"/>
            </w:tcBorders>
            <w:shd w:val="clear" w:color="auto" w:fill="auto"/>
            <w:noWrap/>
            <w:vAlign w:val="bottom"/>
            <w:hideMark/>
          </w:tcPr>
          <w:p w14:paraId="000436F9"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0.151</w:t>
            </w:r>
          </w:p>
        </w:tc>
        <w:tc>
          <w:tcPr>
            <w:tcW w:w="622" w:type="pct"/>
            <w:tcBorders>
              <w:top w:val="nil"/>
              <w:left w:val="nil"/>
              <w:bottom w:val="single" w:sz="4" w:space="0" w:color="auto"/>
              <w:right w:val="nil"/>
            </w:tcBorders>
            <w:shd w:val="clear" w:color="auto" w:fill="auto"/>
            <w:noWrap/>
            <w:vAlign w:val="bottom"/>
            <w:hideMark/>
          </w:tcPr>
          <w:p w14:paraId="3CBDA7DA"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0.117</w:t>
            </w:r>
          </w:p>
        </w:tc>
        <w:tc>
          <w:tcPr>
            <w:tcW w:w="596" w:type="pct"/>
            <w:tcBorders>
              <w:top w:val="nil"/>
              <w:left w:val="nil"/>
              <w:bottom w:val="single" w:sz="4" w:space="0" w:color="auto"/>
              <w:right w:val="nil"/>
            </w:tcBorders>
            <w:shd w:val="clear" w:color="auto" w:fill="auto"/>
            <w:noWrap/>
            <w:vAlign w:val="bottom"/>
            <w:hideMark/>
          </w:tcPr>
          <w:p w14:paraId="52DD3548"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0.142</w:t>
            </w:r>
          </w:p>
        </w:tc>
        <w:tc>
          <w:tcPr>
            <w:tcW w:w="596" w:type="pct"/>
            <w:tcBorders>
              <w:top w:val="nil"/>
              <w:left w:val="nil"/>
              <w:bottom w:val="single" w:sz="4" w:space="0" w:color="auto"/>
              <w:right w:val="nil"/>
            </w:tcBorders>
            <w:shd w:val="clear" w:color="auto" w:fill="auto"/>
            <w:noWrap/>
            <w:vAlign w:val="bottom"/>
            <w:hideMark/>
          </w:tcPr>
          <w:p w14:paraId="0B51DFC1"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0.202</w:t>
            </w:r>
          </w:p>
        </w:tc>
        <w:tc>
          <w:tcPr>
            <w:tcW w:w="594" w:type="pct"/>
            <w:tcBorders>
              <w:top w:val="nil"/>
              <w:left w:val="nil"/>
              <w:bottom w:val="single" w:sz="4" w:space="0" w:color="auto"/>
              <w:right w:val="nil"/>
            </w:tcBorders>
            <w:shd w:val="clear" w:color="auto" w:fill="auto"/>
            <w:noWrap/>
            <w:vAlign w:val="bottom"/>
            <w:hideMark/>
          </w:tcPr>
          <w:p w14:paraId="5F01A55C" w14:textId="77777777" w:rsidR="00BE6D93" w:rsidRPr="00267BC6" w:rsidRDefault="00BE6D93" w:rsidP="00D5220A">
            <w:pPr>
              <w:spacing w:after="0" w:line="240" w:lineRule="auto"/>
              <w:jc w:val="both"/>
              <w:rPr>
                <w:rFonts w:ascii="Garamond" w:eastAsia="Times New Roman" w:hAnsi="Garamond" w:cs="Times New Roman"/>
                <w:i/>
                <w:color w:val="000000"/>
                <w:lang w:val="it-IT" w:eastAsia="it-IT"/>
              </w:rPr>
            </w:pPr>
            <w:r w:rsidRPr="00267BC6">
              <w:rPr>
                <w:rFonts w:ascii="Garamond" w:eastAsia="Times New Roman" w:hAnsi="Garamond" w:cs="Times New Roman"/>
                <w:i/>
                <w:color w:val="000000"/>
                <w:lang w:val="it-IT" w:eastAsia="it-IT"/>
              </w:rPr>
              <w:t>0.274</w:t>
            </w:r>
          </w:p>
        </w:tc>
      </w:tr>
      <w:tr w:rsidR="00BE6D93" w:rsidRPr="00267BC6" w14:paraId="45F5EDFF" w14:textId="77777777" w:rsidTr="00267BC6">
        <w:trPr>
          <w:cantSplit/>
          <w:trHeight w:val="20"/>
        </w:trPr>
        <w:tc>
          <w:tcPr>
            <w:tcW w:w="1426" w:type="pct"/>
            <w:tcBorders>
              <w:top w:val="single" w:sz="4" w:space="0" w:color="auto"/>
              <w:left w:val="nil"/>
              <w:bottom w:val="single" w:sz="4" w:space="0" w:color="auto"/>
              <w:right w:val="nil"/>
            </w:tcBorders>
            <w:shd w:val="clear" w:color="auto" w:fill="auto"/>
            <w:noWrap/>
            <w:vAlign w:val="bottom"/>
            <w:hideMark/>
          </w:tcPr>
          <w:p w14:paraId="54FCFE63"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Years Fixed Effects</w:t>
            </w:r>
          </w:p>
        </w:tc>
        <w:tc>
          <w:tcPr>
            <w:tcW w:w="596" w:type="pct"/>
            <w:tcBorders>
              <w:top w:val="single" w:sz="4" w:space="0" w:color="auto"/>
              <w:left w:val="nil"/>
              <w:bottom w:val="single" w:sz="4" w:space="0" w:color="auto"/>
              <w:right w:val="nil"/>
            </w:tcBorders>
            <w:shd w:val="clear" w:color="auto" w:fill="auto"/>
            <w:noWrap/>
            <w:vAlign w:val="bottom"/>
            <w:hideMark/>
          </w:tcPr>
          <w:p w14:paraId="08B7F80E"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YES</w:t>
            </w:r>
          </w:p>
        </w:tc>
        <w:tc>
          <w:tcPr>
            <w:tcW w:w="569" w:type="pct"/>
            <w:tcBorders>
              <w:top w:val="single" w:sz="4" w:space="0" w:color="auto"/>
              <w:left w:val="nil"/>
              <w:bottom w:val="single" w:sz="4" w:space="0" w:color="auto"/>
              <w:right w:val="nil"/>
            </w:tcBorders>
            <w:shd w:val="clear" w:color="auto" w:fill="auto"/>
            <w:noWrap/>
            <w:vAlign w:val="bottom"/>
            <w:hideMark/>
          </w:tcPr>
          <w:p w14:paraId="14B3EDA2"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YES</w:t>
            </w:r>
          </w:p>
        </w:tc>
        <w:tc>
          <w:tcPr>
            <w:tcW w:w="622" w:type="pct"/>
            <w:tcBorders>
              <w:top w:val="single" w:sz="4" w:space="0" w:color="auto"/>
              <w:left w:val="nil"/>
              <w:bottom w:val="single" w:sz="4" w:space="0" w:color="auto"/>
              <w:right w:val="nil"/>
            </w:tcBorders>
            <w:shd w:val="clear" w:color="auto" w:fill="auto"/>
            <w:noWrap/>
            <w:vAlign w:val="bottom"/>
            <w:hideMark/>
          </w:tcPr>
          <w:p w14:paraId="55B00A56"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YES</w:t>
            </w:r>
          </w:p>
        </w:tc>
        <w:tc>
          <w:tcPr>
            <w:tcW w:w="596" w:type="pct"/>
            <w:tcBorders>
              <w:top w:val="single" w:sz="4" w:space="0" w:color="auto"/>
              <w:left w:val="nil"/>
              <w:bottom w:val="single" w:sz="4" w:space="0" w:color="auto"/>
              <w:right w:val="nil"/>
            </w:tcBorders>
            <w:shd w:val="clear" w:color="auto" w:fill="auto"/>
            <w:noWrap/>
            <w:vAlign w:val="bottom"/>
            <w:hideMark/>
          </w:tcPr>
          <w:p w14:paraId="5D895EB5"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YES</w:t>
            </w:r>
          </w:p>
        </w:tc>
        <w:tc>
          <w:tcPr>
            <w:tcW w:w="596" w:type="pct"/>
            <w:tcBorders>
              <w:top w:val="single" w:sz="4" w:space="0" w:color="auto"/>
              <w:left w:val="nil"/>
              <w:bottom w:val="single" w:sz="4" w:space="0" w:color="auto"/>
              <w:right w:val="nil"/>
            </w:tcBorders>
            <w:shd w:val="clear" w:color="auto" w:fill="auto"/>
            <w:noWrap/>
            <w:vAlign w:val="bottom"/>
            <w:hideMark/>
          </w:tcPr>
          <w:p w14:paraId="7A031AF2"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YES</w:t>
            </w:r>
          </w:p>
        </w:tc>
        <w:tc>
          <w:tcPr>
            <w:tcW w:w="594" w:type="pct"/>
            <w:tcBorders>
              <w:top w:val="single" w:sz="4" w:space="0" w:color="auto"/>
              <w:left w:val="nil"/>
              <w:bottom w:val="single" w:sz="4" w:space="0" w:color="auto"/>
              <w:right w:val="nil"/>
            </w:tcBorders>
            <w:shd w:val="clear" w:color="auto" w:fill="auto"/>
            <w:noWrap/>
            <w:vAlign w:val="bottom"/>
            <w:hideMark/>
          </w:tcPr>
          <w:p w14:paraId="642DA3E8"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YES</w:t>
            </w:r>
          </w:p>
        </w:tc>
      </w:tr>
      <w:tr w:rsidR="00BE6D93" w:rsidRPr="00267BC6" w14:paraId="4AB8F9CD" w14:textId="77777777" w:rsidTr="00267BC6">
        <w:trPr>
          <w:cantSplit/>
          <w:trHeight w:val="20"/>
        </w:trPr>
        <w:tc>
          <w:tcPr>
            <w:tcW w:w="1426" w:type="pct"/>
            <w:tcBorders>
              <w:top w:val="single" w:sz="4" w:space="0" w:color="auto"/>
              <w:left w:val="nil"/>
              <w:bottom w:val="single" w:sz="4" w:space="0" w:color="auto"/>
              <w:right w:val="nil"/>
            </w:tcBorders>
            <w:shd w:val="clear" w:color="auto" w:fill="auto"/>
            <w:noWrap/>
            <w:vAlign w:val="bottom"/>
            <w:hideMark/>
          </w:tcPr>
          <w:p w14:paraId="06B82D00"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Observations</w:t>
            </w:r>
          </w:p>
        </w:tc>
        <w:tc>
          <w:tcPr>
            <w:tcW w:w="596" w:type="pct"/>
            <w:tcBorders>
              <w:top w:val="single" w:sz="4" w:space="0" w:color="auto"/>
              <w:left w:val="nil"/>
              <w:bottom w:val="single" w:sz="4" w:space="0" w:color="auto"/>
              <w:right w:val="nil"/>
            </w:tcBorders>
            <w:shd w:val="clear" w:color="auto" w:fill="auto"/>
            <w:noWrap/>
            <w:vAlign w:val="bottom"/>
            <w:hideMark/>
          </w:tcPr>
          <w:p w14:paraId="62A318E9"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30770</w:t>
            </w:r>
          </w:p>
        </w:tc>
        <w:tc>
          <w:tcPr>
            <w:tcW w:w="569" w:type="pct"/>
            <w:tcBorders>
              <w:top w:val="single" w:sz="4" w:space="0" w:color="auto"/>
              <w:left w:val="nil"/>
              <w:bottom w:val="single" w:sz="4" w:space="0" w:color="auto"/>
              <w:right w:val="nil"/>
            </w:tcBorders>
            <w:shd w:val="clear" w:color="auto" w:fill="auto"/>
            <w:noWrap/>
            <w:vAlign w:val="bottom"/>
            <w:hideMark/>
          </w:tcPr>
          <w:p w14:paraId="25FFA087"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30770</w:t>
            </w:r>
          </w:p>
        </w:tc>
        <w:tc>
          <w:tcPr>
            <w:tcW w:w="622" w:type="pct"/>
            <w:tcBorders>
              <w:top w:val="single" w:sz="4" w:space="0" w:color="auto"/>
              <w:left w:val="nil"/>
              <w:bottom w:val="single" w:sz="4" w:space="0" w:color="auto"/>
              <w:right w:val="nil"/>
            </w:tcBorders>
            <w:shd w:val="clear" w:color="auto" w:fill="auto"/>
            <w:noWrap/>
            <w:vAlign w:val="bottom"/>
            <w:hideMark/>
          </w:tcPr>
          <w:p w14:paraId="5ABE1483"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30770</w:t>
            </w:r>
          </w:p>
        </w:tc>
        <w:tc>
          <w:tcPr>
            <w:tcW w:w="596" w:type="pct"/>
            <w:tcBorders>
              <w:top w:val="single" w:sz="4" w:space="0" w:color="auto"/>
              <w:left w:val="nil"/>
              <w:bottom w:val="single" w:sz="4" w:space="0" w:color="auto"/>
              <w:right w:val="nil"/>
            </w:tcBorders>
            <w:shd w:val="clear" w:color="auto" w:fill="auto"/>
            <w:noWrap/>
            <w:vAlign w:val="bottom"/>
            <w:hideMark/>
          </w:tcPr>
          <w:p w14:paraId="4925CBA4"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30770</w:t>
            </w:r>
          </w:p>
        </w:tc>
        <w:tc>
          <w:tcPr>
            <w:tcW w:w="596" w:type="pct"/>
            <w:tcBorders>
              <w:top w:val="single" w:sz="4" w:space="0" w:color="auto"/>
              <w:left w:val="nil"/>
              <w:bottom w:val="single" w:sz="4" w:space="0" w:color="auto"/>
              <w:right w:val="nil"/>
            </w:tcBorders>
            <w:shd w:val="clear" w:color="auto" w:fill="auto"/>
            <w:noWrap/>
            <w:vAlign w:val="bottom"/>
            <w:hideMark/>
          </w:tcPr>
          <w:p w14:paraId="4A023B8D"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30770</w:t>
            </w:r>
          </w:p>
        </w:tc>
        <w:tc>
          <w:tcPr>
            <w:tcW w:w="594" w:type="pct"/>
            <w:tcBorders>
              <w:top w:val="single" w:sz="4" w:space="0" w:color="auto"/>
              <w:left w:val="nil"/>
              <w:bottom w:val="single" w:sz="4" w:space="0" w:color="auto"/>
              <w:right w:val="nil"/>
            </w:tcBorders>
            <w:shd w:val="clear" w:color="auto" w:fill="auto"/>
            <w:noWrap/>
            <w:vAlign w:val="bottom"/>
            <w:hideMark/>
          </w:tcPr>
          <w:p w14:paraId="52B37C6B" w14:textId="77777777" w:rsidR="00BE6D93" w:rsidRPr="00267BC6" w:rsidRDefault="00BE6D93" w:rsidP="00BE6D93">
            <w:pPr>
              <w:spacing w:after="0" w:line="240" w:lineRule="auto"/>
              <w:jc w:val="center"/>
              <w:rPr>
                <w:rFonts w:ascii="Garamond" w:eastAsia="Times New Roman" w:hAnsi="Garamond" w:cs="Times New Roman"/>
                <w:color w:val="000000"/>
                <w:lang w:val="it-IT" w:eastAsia="it-IT"/>
              </w:rPr>
            </w:pPr>
            <w:r w:rsidRPr="00267BC6">
              <w:rPr>
                <w:rFonts w:ascii="Garamond" w:eastAsia="Times New Roman" w:hAnsi="Garamond" w:cs="Times New Roman"/>
                <w:color w:val="000000"/>
                <w:lang w:val="it-IT" w:eastAsia="it-IT"/>
              </w:rPr>
              <w:t>30770</w:t>
            </w:r>
          </w:p>
        </w:tc>
      </w:tr>
    </w:tbl>
    <w:p w14:paraId="3553FAA6" w14:textId="77777777" w:rsidR="00413A3D" w:rsidRDefault="003C00F0" w:rsidP="0099362C">
      <w:pPr>
        <w:jc w:val="both"/>
        <w:rPr>
          <w:rFonts w:ascii="Garamond" w:hAnsi="Garamond"/>
          <w:sz w:val="16"/>
          <w:szCs w:val="16"/>
        </w:rPr>
      </w:pPr>
      <w:r w:rsidRPr="005568B0">
        <w:rPr>
          <w:rFonts w:ascii="Garamond" w:hAnsi="Garamond"/>
          <w:i/>
          <w:sz w:val="16"/>
          <w:szCs w:val="16"/>
        </w:rPr>
        <w:t>Standard Errors in Italics</w:t>
      </w:r>
      <w:r w:rsidRPr="005568B0">
        <w:rPr>
          <w:rFonts w:ascii="Garamond" w:hAnsi="Garamond"/>
          <w:sz w:val="16"/>
          <w:szCs w:val="16"/>
        </w:rPr>
        <w:t>; *</w:t>
      </w:r>
      <w:r w:rsidR="005568B0" w:rsidRPr="005568B0">
        <w:rPr>
          <w:rFonts w:ascii="Garamond" w:hAnsi="Garamond"/>
          <w:sz w:val="16"/>
          <w:szCs w:val="16"/>
        </w:rPr>
        <w:t>**, **, * indicate significance at 1%, 5% and 10%, respectively</w:t>
      </w:r>
      <w:r w:rsidR="005568B0">
        <w:rPr>
          <w:rFonts w:ascii="Garamond" w:hAnsi="Garamond"/>
          <w:sz w:val="16"/>
          <w:szCs w:val="16"/>
        </w:rPr>
        <w:t>. Sample weights applied.</w:t>
      </w:r>
    </w:p>
    <w:p w14:paraId="71C38F96" w14:textId="77777777" w:rsidR="00267BC6" w:rsidRDefault="00267BC6">
      <w:pPr>
        <w:rPr>
          <w:rFonts w:ascii="Garamond" w:hAnsi="Garamond"/>
          <w:sz w:val="16"/>
          <w:szCs w:val="16"/>
        </w:rPr>
      </w:pPr>
      <w:r>
        <w:rPr>
          <w:rFonts w:ascii="Garamond" w:hAnsi="Garamond"/>
          <w:sz w:val="16"/>
          <w:szCs w:val="16"/>
        </w:rPr>
        <w:br w:type="page"/>
      </w:r>
    </w:p>
    <w:p w14:paraId="76687329" w14:textId="77777777" w:rsidR="00267BC6" w:rsidRDefault="00267BC6" w:rsidP="0099362C">
      <w:pPr>
        <w:jc w:val="both"/>
        <w:rPr>
          <w:rFonts w:ascii="Garamond" w:hAnsi="Garamond"/>
          <w:sz w:val="16"/>
          <w:szCs w:val="16"/>
        </w:rPr>
      </w:pPr>
    </w:p>
    <w:p w14:paraId="2016EDE6" w14:textId="77777777" w:rsidR="005D0883" w:rsidRDefault="005D0883" w:rsidP="007D34F9">
      <w:pPr>
        <w:rPr>
          <w:rFonts w:ascii="Garamond" w:hAnsi="Garamond"/>
          <w:b/>
        </w:rPr>
      </w:pPr>
      <w:r w:rsidRPr="005568B0">
        <w:rPr>
          <w:rFonts w:ascii="Garamond" w:hAnsi="Garamond"/>
          <w:b/>
        </w:rPr>
        <w:t>Table</w:t>
      </w:r>
      <w:r>
        <w:rPr>
          <w:rFonts w:ascii="Garamond" w:hAnsi="Garamond"/>
          <w:b/>
        </w:rPr>
        <w:t xml:space="preserve"> 4</w:t>
      </w:r>
      <w:r w:rsidRPr="005568B0">
        <w:rPr>
          <w:rFonts w:ascii="Garamond" w:hAnsi="Garamond"/>
          <w:b/>
        </w:rPr>
        <w:t xml:space="preserve">. </w:t>
      </w:r>
      <w:r>
        <w:rPr>
          <w:rFonts w:ascii="Garamond" w:hAnsi="Garamond"/>
          <w:b/>
        </w:rPr>
        <w:t>Glycated Haemoglobin</w:t>
      </w:r>
      <w:r w:rsidRPr="005568B0">
        <w:rPr>
          <w:rFonts w:ascii="Garamond" w:hAnsi="Garamond"/>
          <w:b/>
        </w:rPr>
        <w:t xml:space="preserve"> Results</w:t>
      </w:r>
      <w:r w:rsidR="00A33DC3">
        <w:rPr>
          <w:rFonts w:ascii="Garamond" w:hAnsi="Garamond"/>
          <w:b/>
        </w:rPr>
        <w:t xml:space="preserve"> </w:t>
      </w:r>
      <w:r w:rsidR="00A444A3">
        <w:rPr>
          <w:rFonts w:ascii="Garamond" w:hAnsi="Garamond"/>
          <w:b/>
        </w:rPr>
        <w:t>-</w:t>
      </w:r>
      <w:r w:rsidR="00A33DC3">
        <w:rPr>
          <w:rFonts w:ascii="Garamond" w:hAnsi="Garamond"/>
          <w:b/>
        </w:rPr>
        <w:t xml:space="preserve"> </w:t>
      </w:r>
      <w:r w:rsidR="00A444A3">
        <w:rPr>
          <w:rFonts w:ascii="Garamond" w:hAnsi="Garamond"/>
          <w:b/>
        </w:rPr>
        <w:t>OLS and RIF regression</w:t>
      </w:r>
      <w:r w:rsidR="00832EC5">
        <w:rPr>
          <w:rFonts w:ascii="Garamond" w:hAnsi="Garamond"/>
          <w:b/>
        </w:rPr>
        <w:t>s</w:t>
      </w:r>
    </w:p>
    <w:tbl>
      <w:tblPr>
        <w:tblW w:w="5000" w:type="pct"/>
        <w:tblCellMar>
          <w:left w:w="70" w:type="dxa"/>
          <w:right w:w="70" w:type="dxa"/>
        </w:tblCellMar>
        <w:tblLook w:val="04A0" w:firstRow="1" w:lastRow="0" w:firstColumn="1" w:lastColumn="0" w:noHBand="0" w:noVBand="1"/>
      </w:tblPr>
      <w:tblGrid>
        <w:gridCol w:w="2123"/>
        <w:gridCol w:w="994"/>
        <w:gridCol w:w="993"/>
        <w:gridCol w:w="993"/>
        <w:gridCol w:w="993"/>
        <w:gridCol w:w="993"/>
        <w:gridCol w:w="987"/>
      </w:tblGrid>
      <w:tr w:rsidR="005D0883" w:rsidRPr="005D0883" w14:paraId="16099F3F" w14:textId="77777777" w:rsidTr="00646F36">
        <w:trPr>
          <w:trHeight w:val="20"/>
        </w:trPr>
        <w:tc>
          <w:tcPr>
            <w:tcW w:w="1314" w:type="pct"/>
            <w:tcBorders>
              <w:top w:val="single" w:sz="4" w:space="0" w:color="auto"/>
              <w:left w:val="nil"/>
              <w:bottom w:val="single" w:sz="4" w:space="0" w:color="auto"/>
              <w:right w:val="nil"/>
            </w:tcBorders>
            <w:shd w:val="clear" w:color="auto" w:fill="auto"/>
            <w:noWrap/>
            <w:vAlign w:val="bottom"/>
            <w:hideMark/>
          </w:tcPr>
          <w:p w14:paraId="2AB149BA" w14:textId="77777777" w:rsidR="005D0883" w:rsidRPr="00A444A3" w:rsidRDefault="005D0883" w:rsidP="005D0883">
            <w:pPr>
              <w:spacing w:after="0" w:line="240" w:lineRule="auto"/>
              <w:rPr>
                <w:rFonts w:ascii="Garamond" w:eastAsia="Times New Roman" w:hAnsi="Garamond" w:cs="Times New Roman"/>
                <w:color w:val="000000"/>
                <w:lang w:eastAsia="it-IT"/>
              </w:rPr>
            </w:pPr>
          </w:p>
        </w:tc>
        <w:tc>
          <w:tcPr>
            <w:tcW w:w="615" w:type="pct"/>
            <w:tcBorders>
              <w:top w:val="single" w:sz="4" w:space="0" w:color="auto"/>
              <w:left w:val="nil"/>
              <w:bottom w:val="single" w:sz="4" w:space="0" w:color="auto"/>
              <w:right w:val="nil"/>
            </w:tcBorders>
            <w:shd w:val="clear" w:color="auto" w:fill="auto"/>
            <w:noWrap/>
            <w:vAlign w:val="bottom"/>
            <w:hideMark/>
          </w:tcPr>
          <w:p w14:paraId="6E662EBF" w14:textId="77777777" w:rsidR="005D0883" w:rsidRPr="005D0883" w:rsidRDefault="005D0883" w:rsidP="005D0883">
            <w:pPr>
              <w:spacing w:after="0" w:line="240" w:lineRule="auto"/>
              <w:jc w:val="center"/>
              <w:rPr>
                <w:rFonts w:ascii="Garamond" w:eastAsia="Times New Roman" w:hAnsi="Garamond" w:cs="Times New Roman"/>
                <w:b/>
                <w:color w:val="000000"/>
                <w:lang w:val="it-IT" w:eastAsia="it-IT"/>
              </w:rPr>
            </w:pPr>
            <w:r w:rsidRPr="005D0883">
              <w:rPr>
                <w:rFonts w:ascii="Garamond" w:eastAsia="Times New Roman" w:hAnsi="Garamond" w:cs="Times New Roman"/>
                <w:b/>
                <w:color w:val="000000"/>
                <w:lang w:val="it-IT" w:eastAsia="it-IT"/>
              </w:rPr>
              <w:t>OLS</w:t>
            </w:r>
          </w:p>
        </w:tc>
        <w:tc>
          <w:tcPr>
            <w:tcW w:w="3071" w:type="pct"/>
            <w:gridSpan w:val="5"/>
            <w:tcBorders>
              <w:top w:val="single" w:sz="4" w:space="0" w:color="auto"/>
              <w:left w:val="nil"/>
              <w:bottom w:val="single" w:sz="4" w:space="0" w:color="auto"/>
              <w:right w:val="nil"/>
            </w:tcBorders>
            <w:shd w:val="clear" w:color="auto" w:fill="auto"/>
            <w:noWrap/>
            <w:vAlign w:val="bottom"/>
            <w:hideMark/>
          </w:tcPr>
          <w:p w14:paraId="611C4ED8" w14:textId="77777777" w:rsidR="005D0883" w:rsidRPr="005D0883" w:rsidRDefault="005D0883" w:rsidP="005D0883">
            <w:pPr>
              <w:spacing w:after="0" w:line="240" w:lineRule="auto"/>
              <w:jc w:val="center"/>
              <w:rPr>
                <w:rFonts w:ascii="Garamond" w:eastAsia="Times New Roman" w:hAnsi="Garamond" w:cs="Times New Roman"/>
                <w:b/>
                <w:color w:val="000000"/>
                <w:lang w:val="it-IT" w:eastAsia="it-IT"/>
              </w:rPr>
            </w:pPr>
            <w:r w:rsidRPr="005D0883">
              <w:rPr>
                <w:rFonts w:ascii="Garamond" w:eastAsia="Times New Roman" w:hAnsi="Garamond" w:cs="Times New Roman"/>
                <w:b/>
                <w:color w:val="000000"/>
                <w:lang w:val="it-IT" w:eastAsia="it-IT"/>
              </w:rPr>
              <w:t>RIF Regression</w:t>
            </w:r>
            <w:r w:rsidR="00832EC5">
              <w:rPr>
                <w:rFonts w:ascii="Garamond" w:eastAsia="Times New Roman" w:hAnsi="Garamond" w:cs="Times New Roman"/>
                <w:b/>
                <w:color w:val="000000"/>
                <w:lang w:val="it-IT" w:eastAsia="it-IT"/>
              </w:rPr>
              <w:t>s</w:t>
            </w:r>
          </w:p>
        </w:tc>
      </w:tr>
      <w:tr w:rsidR="005D0883" w:rsidRPr="005D0883" w14:paraId="669CAA49" w14:textId="77777777" w:rsidTr="00646F36">
        <w:trPr>
          <w:trHeight w:val="20"/>
        </w:trPr>
        <w:tc>
          <w:tcPr>
            <w:tcW w:w="1314" w:type="pct"/>
            <w:tcBorders>
              <w:top w:val="single" w:sz="4" w:space="0" w:color="auto"/>
              <w:left w:val="nil"/>
              <w:right w:val="nil"/>
            </w:tcBorders>
            <w:shd w:val="clear" w:color="auto" w:fill="auto"/>
            <w:noWrap/>
            <w:vAlign w:val="bottom"/>
            <w:hideMark/>
          </w:tcPr>
          <w:p w14:paraId="0A2EE126"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Variables</w:t>
            </w:r>
          </w:p>
        </w:tc>
        <w:tc>
          <w:tcPr>
            <w:tcW w:w="615" w:type="pct"/>
            <w:tcBorders>
              <w:top w:val="single" w:sz="4" w:space="0" w:color="auto"/>
              <w:left w:val="nil"/>
              <w:right w:val="nil"/>
            </w:tcBorders>
            <w:shd w:val="clear" w:color="auto" w:fill="auto"/>
            <w:noWrap/>
            <w:vAlign w:val="bottom"/>
            <w:hideMark/>
          </w:tcPr>
          <w:p w14:paraId="43801731" w14:textId="77777777" w:rsidR="005D0883" w:rsidRPr="005D0883" w:rsidRDefault="005D0883" w:rsidP="005D0883">
            <w:pPr>
              <w:spacing w:after="0" w:line="240" w:lineRule="auto"/>
              <w:rPr>
                <w:rFonts w:ascii="Garamond" w:eastAsia="Times New Roman" w:hAnsi="Garamond" w:cs="Times New Roman"/>
                <w:color w:val="000000"/>
                <w:lang w:val="it-IT" w:eastAsia="it-IT"/>
              </w:rPr>
            </w:pPr>
          </w:p>
        </w:tc>
        <w:tc>
          <w:tcPr>
            <w:tcW w:w="615" w:type="pct"/>
            <w:tcBorders>
              <w:top w:val="single" w:sz="4" w:space="0" w:color="auto"/>
              <w:left w:val="nil"/>
              <w:right w:val="nil"/>
            </w:tcBorders>
            <w:shd w:val="clear" w:color="auto" w:fill="auto"/>
            <w:noWrap/>
            <w:vAlign w:val="bottom"/>
            <w:hideMark/>
          </w:tcPr>
          <w:p w14:paraId="240688F8" w14:textId="77777777" w:rsidR="005D0883" w:rsidRPr="005D0883" w:rsidRDefault="005D0883" w:rsidP="005D0883">
            <w:pPr>
              <w:spacing w:after="0" w:line="240" w:lineRule="auto"/>
              <w:jc w:val="center"/>
              <w:rPr>
                <w:rFonts w:ascii="Garamond" w:eastAsia="Times New Roman" w:hAnsi="Garamond" w:cs="Times New Roman"/>
                <w:b/>
                <w:i/>
                <w:color w:val="000000"/>
                <w:lang w:val="it-IT" w:eastAsia="it-IT"/>
              </w:rPr>
            </w:pPr>
            <w:r w:rsidRPr="005D0883">
              <w:rPr>
                <w:rFonts w:ascii="Garamond" w:eastAsia="Times New Roman" w:hAnsi="Garamond" w:cs="Times New Roman"/>
                <w:b/>
                <w:i/>
                <w:color w:val="000000"/>
                <w:lang w:val="it-IT" w:eastAsia="it-IT"/>
              </w:rPr>
              <w:t>Q25</w:t>
            </w:r>
          </w:p>
        </w:tc>
        <w:tc>
          <w:tcPr>
            <w:tcW w:w="615" w:type="pct"/>
            <w:tcBorders>
              <w:top w:val="single" w:sz="4" w:space="0" w:color="auto"/>
              <w:left w:val="nil"/>
              <w:right w:val="nil"/>
            </w:tcBorders>
            <w:shd w:val="clear" w:color="auto" w:fill="auto"/>
            <w:noWrap/>
            <w:vAlign w:val="bottom"/>
            <w:hideMark/>
          </w:tcPr>
          <w:p w14:paraId="29C16797" w14:textId="77777777" w:rsidR="005D0883" w:rsidRPr="005D0883" w:rsidRDefault="005D0883" w:rsidP="005D0883">
            <w:pPr>
              <w:spacing w:after="0" w:line="240" w:lineRule="auto"/>
              <w:jc w:val="center"/>
              <w:rPr>
                <w:rFonts w:ascii="Garamond" w:eastAsia="Times New Roman" w:hAnsi="Garamond" w:cs="Times New Roman"/>
                <w:b/>
                <w:i/>
                <w:color w:val="000000"/>
                <w:lang w:val="it-IT" w:eastAsia="it-IT"/>
              </w:rPr>
            </w:pPr>
            <w:r w:rsidRPr="005D0883">
              <w:rPr>
                <w:rFonts w:ascii="Garamond" w:eastAsia="Times New Roman" w:hAnsi="Garamond" w:cs="Times New Roman"/>
                <w:b/>
                <w:i/>
                <w:color w:val="000000"/>
                <w:lang w:val="it-IT" w:eastAsia="it-IT"/>
              </w:rPr>
              <w:t>Q50</w:t>
            </w:r>
          </w:p>
        </w:tc>
        <w:tc>
          <w:tcPr>
            <w:tcW w:w="615" w:type="pct"/>
            <w:tcBorders>
              <w:top w:val="single" w:sz="4" w:space="0" w:color="auto"/>
              <w:left w:val="nil"/>
              <w:right w:val="nil"/>
            </w:tcBorders>
            <w:shd w:val="clear" w:color="auto" w:fill="auto"/>
            <w:noWrap/>
            <w:vAlign w:val="bottom"/>
            <w:hideMark/>
          </w:tcPr>
          <w:p w14:paraId="7BAFC8FE" w14:textId="77777777" w:rsidR="005D0883" w:rsidRPr="005D0883" w:rsidRDefault="005D0883" w:rsidP="005D0883">
            <w:pPr>
              <w:spacing w:after="0" w:line="240" w:lineRule="auto"/>
              <w:jc w:val="center"/>
              <w:rPr>
                <w:rFonts w:ascii="Garamond" w:eastAsia="Times New Roman" w:hAnsi="Garamond" w:cs="Times New Roman"/>
                <w:b/>
                <w:i/>
                <w:color w:val="000000"/>
                <w:lang w:val="it-IT" w:eastAsia="it-IT"/>
              </w:rPr>
            </w:pPr>
            <w:r w:rsidRPr="005D0883">
              <w:rPr>
                <w:rFonts w:ascii="Garamond" w:eastAsia="Times New Roman" w:hAnsi="Garamond" w:cs="Times New Roman"/>
                <w:b/>
                <w:i/>
                <w:color w:val="000000"/>
                <w:lang w:val="it-IT" w:eastAsia="it-IT"/>
              </w:rPr>
              <w:t>Q75</w:t>
            </w:r>
          </w:p>
        </w:tc>
        <w:tc>
          <w:tcPr>
            <w:tcW w:w="615" w:type="pct"/>
            <w:tcBorders>
              <w:top w:val="single" w:sz="4" w:space="0" w:color="auto"/>
              <w:left w:val="nil"/>
              <w:right w:val="nil"/>
            </w:tcBorders>
            <w:shd w:val="clear" w:color="auto" w:fill="auto"/>
            <w:noWrap/>
            <w:vAlign w:val="bottom"/>
            <w:hideMark/>
          </w:tcPr>
          <w:p w14:paraId="21BEC0DF" w14:textId="77777777" w:rsidR="005D0883" w:rsidRPr="005D0883" w:rsidRDefault="005D0883" w:rsidP="005D0883">
            <w:pPr>
              <w:spacing w:after="0" w:line="240" w:lineRule="auto"/>
              <w:jc w:val="center"/>
              <w:rPr>
                <w:rFonts w:ascii="Garamond" w:eastAsia="Times New Roman" w:hAnsi="Garamond" w:cs="Times New Roman"/>
                <w:b/>
                <w:i/>
                <w:color w:val="000000"/>
                <w:lang w:val="it-IT" w:eastAsia="it-IT"/>
              </w:rPr>
            </w:pPr>
            <w:r w:rsidRPr="005D0883">
              <w:rPr>
                <w:rFonts w:ascii="Garamond" w:eastAsia="Times New Roman" w:hAnsi="Garamond" w:cs="Times New Roman"/>
                <w:b/>
                <w:i/>
                <w:color w:val="000000"/>
                <w:lang w:val="it-IT" w:eastAsia="it-IT"/>
              </w:rPr>
              <w:t>Q90</w:t>
            </w:r>
          </w:p>
        </w:tc>
        <w:tc>
          <w:tcPr>
            <w:tcW w:w="612" w:type="pct"/>
            <w:tcBorders>
              <w:top w:val="single" w:sz="4" w:space="0" w:color="auto"/>
              <w:left w:val="nil"/>
              <w:right w:val="nil"/>
            </w:tcBorders>
            <w:shd w:val="clear" w:color="auto" w:fill="auto"/>
            <w:noWrap/>
            <w:vAlign w:val="bottom"/>
            <w:hideMark/>
          </w:tcPr>
          <w:p w14:paraId="2DF9E396" w14:textId="77777777" w:rsidR="005D0883" w:rsidRPr="005D0883" w:rsidRDefault="005D0883" w:rsidP="005D0883">
            <w:pPr>
              <w:spacing w:after="0" w:line="240" w:lineRule="auto"/>
              <w:jc w:val="center"/>
              <w:rPr>
                <w:rFonts w:ascii="Garamond" w:eastAsia="Times New Roman" w:hAnsi="Garamond" w:cs="Times New Roman"/>
                <w:b/>
                <w:i/>
                <w:color w:val="000000"/>
                <w:lang w:val="it-IT" w:eastAsia="it-IT"/>
              </w:rPr>
            </w:pPr>
            <w:r w:rsidRPr="005D0883">
              <w:rPr>
                <w:rFonts w:ascii="Garamond" w:eastAsia="Times New Roman" w:hAnsi="Garamond" w:cs="Times New Roman"/>
                <w:b/>
                <w:i/>
                <w:color w:val="000000"/>
                <w:lang w:val="it-IT" w:eastAsia="it-IT"/>
              </w:rPr>
              <w:t>Q95</w:t>
            </w:r>
          </w:p>
        </w:tc>
      </w:tr>
      <w:tr w:rsidR="005D0883" w:rsidRPr="005D0883" w14:paraId="45BB801D" w14:textId="77777777" w:rsidTr="00646F36">
        <w:trPr>
          <w:trHeight w:val="20"/>
        </w:trPr>
        <w:tc>
          <w:tcPr>
            <w:tcW w:w="1314" w:type="pct"/>
            <w:tcBorders>
              <w:top w:val="single" w:sz="4" w:space="0" w:color="auto"/>
              <w:left w:val="nil"/>
              <w:bottom w:val="nil"/>
              <w:right w:val="nil"/>
            </w:tcBorders>
            <w:shd w:val="clear" w:color="auto" w:fill="auto"/>
            <w:hideMark/>
          </w:tcPr>
          <w:p w14:paraId="233DA696"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Log Income</w:t>
            </w:r>
          </w:p>
        </w:tc>
        <w:tc>
          <w:tcPr>
            <w:tcW w:w="615" w:type="pct"/>
            <w:tcBorders>
              <w:top w:val="single" w:sz="4" w:space="0" w:color="auto"/>
              <w:left w:val="nil"/>
              <w:bottom w:val="nil"/>
              <w:right w:val="nil"/>
            </w:tcBorders>
            <w:shd w:val="clear" w:color="auto" w:fill="auto"/>
            <w:noWrap/>
            <w:vAlign w:val="bottom"/>
            <w:hideMark/>
          </w:tcPr>
          <w:p w14:paraId="0F2C89D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-0.065***</w:t>
            </w:r>
          </w:p>
        </w:tc>
        <w:tc>
          <w:tcPr>
            <w:tcW w:w="615" w:type="pct"/>
            <w:tcBorders>
              <w:top w:val="single" w:sz="4" w:space="0" w:color="auto"/>
              <w:left w:val="nil"/>
              <w:bottom w:val="nil"/>
              <w:right w:val="nil"/>
            </w:tcBorders>
            <w:shd w:val="clear" w:color="auto" w:fill="auto"/>
            <w:noWrap/>
            <w:vAlign w:val="bottom"/>
            <w:hideMark/>
          </w:tcPr>
          <w:p w14:paraId="3AB072D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-0.025***</w:t>
            </w:r>
          </w:p>
        </w:tc>
        <w:tc>
          <w:tcPr>
            <w:tcW w:w="615" w:type="pct"/>
            <w:tcBorders>
              <w:top w:val="single" w:sz="4" w:space="0" w:color="auto"/>
              <w:left w:val="nil"/>
              <w:bottom w:val="nil"/>
              <w:right w:val="nil"/>
            </w:tcBorders>
            <w:shd w:val="clear" w:color="auto" w:fill="auto"/>
            <w:noWrap/>
            <w:vAlign w:val="bottom"/>
            <w:hideMark/>
          </w:tcPr>
          <w:p w14:paraId="1E32805E"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-0.037***</w:t>
            </w:r>
          </w:p>
        </w:tc>
        <w:tc>
          <w:tcPr>
            <w:tcW w:w="615" w:type="pct"/>
            <w:tcBorders>
              <w:top w:val="single" w:sz="4" w:space="0" w:color="auto"/>
              <w:left w:val="nil"/>
              <w:bottom w:val="nil"/>
              <w:right w:val="nil"/>
            </w:tcBorders>
            <w:shd w:val="clear" w:color="auto" w:fill="auto"/>
            <w:noWrap/>
            <w:vAlign w:val="bottom"/>
            <w:hideMark/>
          </w:tcPr>
          <w:p w14:paraId="12735CF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-0.048***</w:t>
            </w:r>
          </w:p>
        </w:tc>
        <w:tc>
          <w:tcPr>
            <w:tcW w:w="615" w:type="pct"/>
            <w:tcBorders>
              <w:top w:val="single" w:sz="4" w:space="0" w:color="auto"/>
              <w:left w:val="nil"/>
              <w:bottom w:val="nil"/>
              <w:right w:val="nil"/>
            </w:tcBorders>
            <w:shd w:val="clear" w:color="auto" w:fill="auto"/>
            <w:noWrap/>
            <w:vAlign w:val="bottom"/>
            <w:hideMark/>
          </w:tcPr>
          <w:p w14:paraId="6EC1EF6E"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-0.094***</w:t>
            </w:r>
          </w:p>
        </w:tc>
        <w:tc>
          <w:tcPr>
            <w:tcW w:w="612" w:type="pct"/>
            <w:tcBorders>
              <w:top w:val="single" w:sz="4" w:space="0" w:color="auto"/>
              <w:left w:val="nil"/>
              <w:bottom w:val="nil"/>
              <w:right w:val="nil"/>
            </w:tcBorders>
            <w:shd w:val="clear" w:color="auto" w:fill="auto"/>
            <w:noWrap/>
            <w:vAlign w:val="bottom"/>
            <w:hideMark/>
          </w:tcPr>
          <w:p w14:paraId="210B334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-0.204***</w:t>
            </w:r>
          </w:p>
        </w:tc>
      </w:tr>
      <w:tr w:rsidR="005D0883" w:rsidRPr="005D0883" w14:paraId="28370155" w14:textId="77777777" w:rsidTr="00646F36">
        <w:trPr>
          <w:trHeight w:val="20"/>
        </w:trPr>
        <w:tc>
          <w:tcPr>
            <w:tcW w:w="1314" w:type="pct"/>
            <w:tcBorders>
              <w:top w:val="nil"/>
              <w:left w:val="nil"/>
              <w:bottom w:val="nil"/>
              <w:right w:val="nil"/>
            </w:tcBorders>
            <w:shd w:val="clear" w:color="auto" w:fill="auto"/>
            <w:noWrap/>
            <w:vAlign w:val="bottom"/>
            <w:hideMark/>
          </w:tcPr>
          <w:p w14:paraId="452EB765"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2C3E75E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0.005</w:t>
            </w:r>
          </w:p>
        </w:tc>
        <w:tc>
          <w:tcPr>
            <w:tcW w:w="615" w:type="pct"/>
            <w:tcBorders>
              <w:top w:val="nil"/>
              <w:left w:val="nil"/>
              <w:bottom w:val="nil"/>
              <w:right w:val="nil"/>
            </w:tcBorders>
            <w:shd w:val="clear" w:color="auto" w:fill="auto"/>
            <w:noWrap/>
            <w:vAlign w:val="bottom"/>
            <w:hideMark/>
          </w:tcPr>
          <w:p w14:paraId="733D30E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0.004</w:t>
            </w:r>
          </w:p>
        </w:tc>
        <w:tc>
          <w:tcPr>
            <w:tcW w:w="615" w:type="pct"/>
            <w:tcBorders>
              <w:top w:val="nil"/>
              <w:left w:val="nil"/>
              <w:bottom w:val="nil"/>
              <w:right w:val="nil"/>
            </w:tcBorders>
            <w:shd w:val="clear" w:color="auto" w:fill="auto"/>
            <w:noWrap/>
            <w:vAlign w:val="bottom"/>
            <w:hideMark/>
          </w:tcPr>
          <w:p w14:paraId="0D8AB51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0.004</w:t>
            </w:r>
          </w:p>
        </w:tc>
        <w:tc>
          <w:tcPr>
            <w:tcW w:w="615" w:type="pct"/>
            <w:tcBorders>
              <w:top w:val="nil"/>
              <w:left w:val="nil"/>
              <w:bottom w:val="nil"/>
              <w:right w:val="nil"/>
            </w:tcBorders>
            <w:shd w:val="clear" w:color="auto" w:fill="auto"/>
            <w:noWrap/>
            <w:vAlign w:val="bottom"/>
            <w:hideMark/>
          </w:tcPr>
          <w:p w14:paraId="1D50ECD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0.005</w:t>
            </w:r>
          </w:p>
        </w:tc>
        <w:tc>
          <w:tcPr>
            <w:tcW w:w="615" w:type="pct"/>
            <w:tcBorders>
              <w:top w:val="nil"/>
              <w:left w:val="nil"/>
              <w:bottom w:val="nil"/>
              <w:right w:val="nil"/>
            </w:tcBorders>
            <w:shd w:val="clear" w:color="auto" w:fill="auto"/>
            <w:noWrap/>
            <w:vAlign w:val="bottom"/>
            <w:hideMark/>
          </w:tcPr>
          <w:p w14:paraId="449BFA7B"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0.010</w:t>
            </w:r>
          </w:p>
        </w:tc>
        <w:tc>
          <w:tcPr>
            <w:tcW w:w="612" w:type="pct"/>
            <w:tcBorders>
              <w:top w:val="nil"/>
              <w:left w:val="nil"/>
              <w:bottom w:val="nil"/>
              <w:right w:val="nil"/>
            </w:tcBorders>
            <w:shd w:val="clear" w:color="auto" w:fill="auto"/>
            <w:noWrap/>
            <w:vAlign w:val="bottom"/>
            <w:hideMark/>
          </w:tcPr>
          <w:p w14:paraId="2EE527D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0.026</w:t>
            </w:r>
          </w:p>
        </w:tc>
      </w:tr>
      <w:tr w:rsidR="005D0883" w:rsidRPr="005D0883" w14:paraId="57186E9E" w14:textId="77777777" w:rsidTr="00646F36">
        <w:trPr>
          <w:trHeight w:val="20"/>
        </w:trPr>
        <w:tc>
          <w:tcPr>
            <w:tcW w:w="1314" w:type="pct"/>
            <w:tcBorders>
              <w:top w:val="nil"/>
              <w:left w:val="nil"/>
              <w:bottom w:val="nil"/>
              <w:right w:val="nil"/>
            </w:tcBorders>
            <w:shd w:val="clear" w:color="auto" w:fill="auto"/>
            <w:noWrap/>
            <w:vAlign w:val="bottom"/>
            <w:hideMark/>
          </w:tcPr>
          <w:p w14:paraId="613AEE9F"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M (18-34)</w:t>
            </w:r>
          </w:p>
        </w:tc>
        <w:tc>
          <w:tcPr>
            <w:tcW w:w="615" w:type="pct"/>
            <w:tcBorders>
              <w:top w:val="nil"/>
              <w:left w:val="nil"/>
              <w:bottom w:val="nil"/>
              <w:right w:val="nil"/>
            </w:tcBorders>
            <w:shd w:val="clear" w:color="auto" w:fill="auto"/>
            <w:noWrap/>
            <w:vAlign w:val="bottom"/>
            <w:hideMark/>
          </w:tcPr>
          <w:p w14:paraId="2CE1345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0.068***</w:t>
            </w:r>
          </w:p>
        </w:tc>
        <w:tc>
          <w:tcPr>
            <w:tcW w:w="615" w:type="pct"/>
            <w:tcBorders>
              <w:top w:val="nil"/>
              <w:left w:val="nil"/>
              <w:bottom w:val="nil"/>
              <w:right w:val="nil"/>
            </w:tcBorders>
            <w:shd w:val="clear" w:color="auto" w:fill="auto"/>
            <w:noWrap/>
            <w:vAlign w:val="bottom"/>
            <w:hideMark/>
          </w:tcPr>
          <w:p w14:paraId="56A09FC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0.034</w:t>
            </w:r>
          </w:p>
        </w:tc>
        <w:tc>
          <w:tcPr>
            <w:tcW w:w="615" w:type="pct"/>
            <w:tcBorders>
              <w:top w:val="nil"/>
              <w:left w:val="nil"/>
              <w:bottom w:val="nil"/>
              <w:right w:val="nil"/>
            </w:tcBorders>
            <w:shd w:val="clear" w:color="auto" w:fill="auto"/>
            <w:noWrap/>
            <w:vAlign w:val="bottom"/>
            <w:hideMark/>
          </w:tcPr>
          <w:p w14:paraId="6B1E706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0.040*</w:t>
            </w:r>
          </w:p>
        </w:tc>
        <w:tc>
          <w:tcPr>
            <w:tcW w:w="615" w:type="pct"/>
            <w:tcBorders>
              <w:top w:val="nil"/>
              <w:left w:val="nil"/>
              <w:bottom w:val="nil"/>
              <w:right w:val="nil"/>
            </w:tcBorders>
            <w:shd w:val="clear" w:color="auto" w:fill="auto"/>
            <w:noWrap/>
            <w:vAlign w:val="bottom"/>
            <w:hideMark/>
          </w:tcPr>
          <w:p w14:paraId="09CB1AD4"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0.044**</w:t>
            </w:r>
          </w:p>
        </w:tc>
        <w:tc>
          <w:tcPr>
            <w:tcW w:w="615" w:type="pct"/>
            <w:tcBorders>
              <w:top w:val="nil"/>
              <w:left w:val="nil"/>
              <w:bottom w:val="nil"/>
              <w:right w:val="nil"/>
            </w:tcBorders>
            <w:shd w:val="clear" w:color="auto" w:fill="auto"/>
            <w:noWrap/>
            <w:vAlign w:val="bottom"/>
            <w:hideMark/>
          </w:tcPr>
          <w:p w14:paraId="4FD0F0C9"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0.117***</w:t>
            </w:r>
          </w:p>
        </w:tc>
        <w:tc>
          <w:tcPr>
            <w:tcW w:w="612" w:type="pct"/>
            <w:tcBorders>
              <w:top w:val="nil"/>
              <w:left w:val="nil"/>
              <w:bottom w:val="nil"/>
              <w:right w:val="nil"/>
            </w:tcBorders>
            <w:shd w:val="clear" w:color="auto" w:fill="auto"/>
            <w:noWrap/>
            <w:vAlign w:val="bottom"/>
            <w:hideMark/>
          </w:tcPr>
          <w:p w14:paraId="1DB22A9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0.267***</w:t>
            </w:r>
          </w:p>
        </w:tc>
      </w:tr>
      <w:tr w:rsidR="005D0883" w:rsidRPr="005D0883" w14:paraId="119526E8" w14:textId="77777777" w:rsidTr="00646F36">
        <w:trPr>
          <w:trHeight w:val="20"/>
        </w:trPr>
        <w:tc>
          <w:tcPr>
            <w:tcW w:w="1314" w:type="pct"/>
            <w:tcBorders>
              <w:top w:val="nil"/>
              <w:left w:val="nil"/>
              <w:bottom w:val="nil"/>
              <w:right w:val="nil"/>
            </w:tcBorders>
            <w:shd w:val="clear" w:color="auto" w:fill="auto"/>
            <w:noWrap/>
            <w:vAlign w:val="bottom"/>
            <w:hideMark/>
          </w:tcPr>
          <w:p w14:paraId="5F589118"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63C31C8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5" w:type="pct"/>
            <w:tcBorders>
              <w:top w:val="nil"/>
              <w:left w:val="nil"/>
              <w:bottom w:val="nil"/>
              <w:right w:val="nil"/>
            </w:tcBorders>
            <w:shd w:val="clear" w:color="auto" w:fill="auto"/>
            <w:noWrap/>
            <w:vAlign w:val="bottom"/>
            <w:hideMark/>
          </w:tcPr>
          <w:p w14:paraId="4F2B87CB"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0.032</w:t>
            </w:r>
          </w:p>
        </w:tc>
        <w:tc>
          <w:tcPr>
            <w:tcW w:w="615" w:type="pct"/>
            <w:tcBorders>
              <w:top w:val="nil"/>
              <w:left w:val="nil"/>
              <w:bottom w:val="nil"/>
              <w:right w:val="nil"/>
            </w:tcBorders>
            <w:shd w:val="clear" w:color="auto" w:fill="auto"/>
            <w:noWrap/>
            <w:vAlign w:val="bottom"/>
            <w:hideMark/>
          </w:tcPr>
          <w:p w14:paraId="54055B86"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6C950948"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2C91F4B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2" w:type="pct"/>
            <w:tcBorders>
              <w:top w:val="nil"/>
              <w:left w:val="nil"/>
              <w:bottom w:val="nil"/>
              <w:right w:val="nil"/>
            </w:tcBorders>
            <w:shd w:val="clear" w:color="auto" w:fill="auto"/>
            <w:noWrap/>
            <w:vAlign w:val="bottom"/>
            <w:hideMark/>
          </w:tcPr>
          <w:p w14:paraId="7664BC3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0.056</w:t>
            </w:r>
          </w:p>
        </w:tc>
      </w:tr>
      <w:tr w:rsidR="005D0883" w:rsidRPr="005D0883" w14:paraId="62534BB4" w14:textId="77777777" w:rsidTr="00646F36">
        <w:trPr>
          <w:trHeight w:val="20"/>
        </w:trPr>
        <w:tc>
          <w:tcPr>
            <w:tcW w:w="1314" w:type="pct"/>
            <w:tcBorders>
              <w:top w:val="nil"/>
              <w:left w:val="nil"/>
              <w:bottom w:val="nil"/>
              <w:right w:val="nil"/>
            </w:tcBorders>
            <w:shd w:val="clear" w:color="auto" w:fill="auto"/>
            <w:noWrap/>
            <w:vAlign w:val="bottom"/>
            <w:hideMark/>
          </w:tcPr>
          <w:p w14:paraId="22024A41"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M (35-44)</w:t>
            </w:r>
          </w:p>
        </w:tc>
        <w:tc>
          <w:tcPr>
            <w:tcW w:w="615" w:type="pct"/>
            <w:tcBorders>
              <w:top w:val="nil"/>
              <w:left w:val="nil"/>
              <w:bottom w:val="nil"/>
              <w:right w:val="nil"/>
            </w:tcBorders>
            <w:shd w:val="clear" w:color="auto" w:fill="auto"/>
            <w:noWrap/>
            <w:vAlign w:val="bottom"/>
            <w:hideMark/>
          </w:tcPr>
          <w:p w14:paraId="4CE76D63"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0.278***</w:t>
            </w:r>
          </w:p>
        </w:tc>
        <w:tc>
          <w:tcPr>
            <w:tcW w:w="615" w:type="pct"/>
            <w:tcBorders>
              <w:top w:val="nil"/>
              <w:left w:val="nil"/>
              <w:bottom w:val="nil"/>
              <w:right w:val="nil"/>
            </w:tcBorders>
            <w:shd w:val="clear" w:color="auto" w:fill="auto"/>
            <w:noWrap/>
            <w:vAlign w:val="bottom"/>
            <w:hideMark/>
          </w:tcPr>
          <w:p w14:paraId="655C5DA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0.221***</w:t>
            </w:r>
          </w:p>
        </w:tc>
        <w:tc>
          <w:tcPr>
            <w:tcW w:w="615" w:type="pct"/>
            <w:tcBorders>
              <w:top w:val="nil"/>
              <w:left w:val="nil"/>
              <w:bottom w:val="nil"/>
              <w:right w:val="nil"/>
            </w:tcBorders>
            <w:shd w:val="clear" w:color="auto" w:fill="auto"/>
            <w:noWrap/>
            <w:vAlign w:val="bottom"/>
            <w:hideMark/>
          </w:tcPr>
          <w:p w14:paraId="2380F48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0.221***</w:t>
            </w:r>
          </w:p>
        </w:tc>
        <w:tc>
          <w:tcPr>
            <w:tcW w:w="615" w:type="pct"/>
            <w:tcBorders>
              <w:top w:val="nil"/>
              <w:left w:val="nil"/>
              <w:bottom w:val="nil"/>
              <w:right w:val="nil"/>
            </w:tcBorders>
            <w:shd w:val="clear" w:color="auto" w:fill="auto"/>
            <w:noWrap/>
            <w:vAlign w:val="bottom"/>
            <w:hideMark/>
          </w:tcPr>
          <w:p w14:paraId="2532CA39"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0.245***</w:t>
            </w:r>
          </w:p>
        </w:tc>
        <w:tc>
          <w:tcPr>
            <w:tcW w:w="615" w:type="pct"/>
            <w:tcBorders>
              <w:top w:val="nil"/>
              <w:left w:val="nil"/>
              <w:bottom w:val="nil"/>
              <w:right w:val="nil"/>
            </w:tcBorders>
            <w:shd w:val="clear" w:color="auto" w:fill="auto"/>
            <w:noWrap/>
            <w:vAlign w:val="bottom"/>
            <w:hideMark/>
          </w:tcPr>
          <w:p w14:paraId="2884AFF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0.289***</w:t>
            </w:r>
          </w:p>
        </w:tc>
        <w:tc>
          <w:tcPr>
            <w:tcW w:w="612" w:type="pct"/>
            <w:tcBorders>
              <w:top w:val="nil"/>
              <w:left w:val="nil"/>
              <w:bottom w:val="nil"/>
              <w:right w:val="nil"/>
            </w:tcBorders>
            <w:shd w:val="clear" w:color="auto" w:fill="auto"/>
            <w:noWrap/>
            <w:vAlign w:val="bottom"/>
            <w:hideMark/>
          </w:tcPr>
          <w:p w14:paraId="0560817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0.581***</w:t>
            </w:r>
          </w:p>
        </w:tc>
      </w:tr>
      <w:tr w:rsidR="005D0883" w:rsidRPr="005D0883" w14:paraId="65093398" w14:textId="77777777" w:rsidTr="00646F36">
        <w:trPr>
          <w:trHeight w:val="20"/>
        </w:trPr>
        <w:tc>
          <w:tcPr>
            <w:tcW w:w="1314" w:type="pct"/>
            <w:tcBorders>
              <w:top w:val="nil"/>
              <w:left w:val="nil"/>
              <w:bottom w:val="nil"/>
              <w:right w:val="nil"/>
            </w:tcBorders>
            <w:shd w:val="clear" w:color="auto" w:fill="auto"/>
            <w:noWrap/>
            <w:vAlign w:val="bottom"/>
            <w:hideMark/>
          </w:tcPr>
          <w:p w14:paraId="308C2F4E"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0CFF80E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0.026</w:t>
            </w:r>
          </w:p>
        </w:tc>
        <w:tc>
          <w:tcPr>
            <w:tcW w:w="615" w:type="pct"/>
            <w:tcBorders>
              <w:top w:val="nil"/>
              <w:left w:val="nil"/>
              <w:bottom w:val="nil"/>
              <w:right w:val="nil"/>
            </w:tcBorders>
            <w:shd w:val="clear" w:color="auto" w:fill="auto"/>
            <w:noWrap/>
            <w:vAlign w:val="bottom"/>
            <w:hideMark/>
          </w:tcPr>
          <w:p w14:paraId="4101E9C7"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0.032</w:t>
            </w:r>
          </w:p>
        </w:tc>
        <w:tc>
          <w:tcPr>
            <w:tcW w:w="615" w:type="pct"/>
            <w:tcBorders>
              <w:top w:val="nil"/>
              <w:left w:val="nil"/>
              <w:bottom w:val="nil"/>
              <w:right w:val="nil"/>
            </w:tcBorders>
            <w:shd w:val="clear" w:color="auto" w:fill="auto"/>
            <w:noWrap/>
            <w:vAlign w:val="bottom"/>
            <w:hideMark/>
          </w:tcPr>
          <w:p w14:paraId="01723D6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16AB590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0.022</w:t>
            </w:r>
          </w:p>
        </w:tc>
        <w:tc>
          <w:tcPr>
            <w:tcW w:w="615" w:type="pct"/>
            <w:tcBorders>
              <w:top w:val="nil"/>
              <w:left w:val="nil"/>
              <w:bottom w:val="nil"/>
              <w:right w:val="nil"/>
            </w:tcBorders>
            <w:shd w:val="clear" w:color="auto" w:fill="auto"/>
            <w:noWrap/>
            <w:vAlign w:val="bottom"/>
            <w:hideMark/>
          </w:tcPr>
          <w:p w14:paraId="46839153"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0.029</w:t>
            </w:r>
          </w:p>
        </w:tc>
        <w:tc>
          <w:tcPr>
            <w:tcW w:w="612" w:type="pct"/>
            <w:tcBorders>
              <w:top w:val="nil"/>
              <w:left w:val="nil"/>
              <w:bottom w:val="nil"/>
              <w:right w:val="nil"/>
            </w:tcBorders>
            <w:shd w:val="clear" w:color="auto" w:fill="auto"/>
            <w:noWrap/>
            <w:vAlign w:val="bottom"/>
            <w:hideMark/>
          </w:tcPr>
          <w:p w14:paraId="406B077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0.069</w:t>
            </w:r>
          </w:p>
        </w:tc>
      </w:tr>
      <w:tr w:rsidR="005D0883" w:rsidRPr="005D0883" w14:paraId="202EDB52" w14:textId="77777777" w:rsidTr="00646F36">
        <w:trPr>
          <w:trHeight w:val="20"/>
        </w:trPr>
        <w:tc>
          <w:tcPr>
            <w:tcW w:w="1314" w:type="pct"/>
            <w:tcBorders>
              <w:top w:val="nil"/>
              <w:left w:val="nil"/>
              <w:bottom w:val="nil"/>
              <w:right w:val="nil"/>
            </w:tcBorders>
            <w:shd w:val="clear" w:color="auto" w:fill="auto"/>
            <w:hideMark/>
          </w:tcPr>
          <w:p w14:paraId="2D0D3B3E"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M (45-64)</w:t>
            </w:r>
          </w:p>
        </w:tc>
        <w:tc>
          <w:tcPr>
            <w:tcW w:w="615" w:type="pct"/>
            <w:tcBorders>
              <w:top w:val="nil"/>
              <w:left w:val="nil"/>
              <w:bottom w:val="nil"/>
              <w:right w:val="nil"/>
            </w:tcBorders>
            <w:shd w:val="clear" w:color="auto" w:fill="auto"/>
            <w:noWrap/>
            <w:vAlign w:val="bottom"/>
            <w:hideMark/>
          </w:tcPr>
          <w:p w14:paraId="6FA67803"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0.513***</w:t>
            </w:r>
          </w:p>
        </w:tc>
        <w:tc>
          <w:tcPr>
            <w:tcW w:w="615" w:type="pct"/>
            <w:tcBorders>
              <w:top w:val="nil"/>
              <w:left w:val="nil"/>
              <w:bottom w:val="nil"/>
              <w:right w:val="nil"/>
            </w:tcBorders>
            <w:shd w:val="clear" w:color="auto" w:fill="auto"/>
            <w:noWrap/>
            <w:vAlign w:val="bottom"/>
            <w:hideMark/>
          </w:tcPr>
          <w:p w14:paraId="6056F7A9"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0.338***</w:t>
            </w:r>
          </w:p>
        </w:tc>
        <w:tc>
          <w:tcPr>
            <w:tcW w:w="615" w:type="pct"/>
            <w:tcBorders>
              <w:top w:val="nil"/>
              <w:left w:val="nil"/>
              <w:bottom w:val="nil"/>
              <w:right w:val="nil"/>
            </w:tcBorders>
            <w:shd w:val="clear" w:color="auto" w:fill="auto"/>
            <w:noWrap/>
            <w:vAlign w:val="bottom"/>
            <w:hideMark/>
          </w:tcPr>
          <w:p w14:paraId="0367EFE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0.379***</w:t>
            </w:r>
          </w:p>
        </w:tc>
        <w:tc>
          <w:tcPr>
            <w:tcW w:w="615" w:type="pct"/>
            <w:tcBorders>
              <w:top w:val="nil"/>
              <w:left w:val="nil"/>
              <w:bottom w:val="nil"/>
              <w:right w:val="nil"/>
            </w:tcBorders>
            <w:shd w:val="clear" w:color="auto" w:fill="auto"/>
            <w:noWrap/>
            <w:vAlign w:val="bottom"/>
            <w:hideMark/>
          </w:tcPr>
          <w:p w14:paraId="456A4A4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0.465***</w:t>
            </w:r>
          </w:p>
        </w:tc>
        <w:tc>
          <w:tcPr>
            <w:tcW w:w="615" w:type="pct"/>
            <w:tcBorders>
              <w:top w:val="nil"/>
              <w:left w:val="nil"/>
              <w:bottom w:val="nil"/>
              <w:right w:val="nil"/>
            </w:tcBorders>
            <w:shd w:val="clear" w:color="auto" w:fill="auto"/>
            <w:noWrap/>
            <w:vAlign w:val="bottom"/>
            <w:hideMark/>
          </w:tcPr>
          <w:p w14:paraId="19B060D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0.649***</w:t>
            </w:r>
          </w:p>
        </w:tc>
        <w:tc>
          <w:tcPr>
            <w:tcW w:w="612" w:type="pct"/>
            <w:tcBorders>
              <w:top w:val="nil"/>
              <w:left w:val="nil"/>
              <w:bottom w:val="nil"/>
              <w:right w:val="nil"/>
            </w:tcBorders>
            <w:shd w:val="clear" w:color="auto" w:fill="auto"/>
            <w:noWrap/>
            <w:vAlign w:val="bottom"/>
            <w:hideMark/>
          </w:tcPr>
          <w:p w14:paraId="1E7F997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1.337***</w:t>
            </w:r>
          </w:p>
        </w:tc>
      </w:tr>
      <w:tr w:rsidR="005D0883" w:rsidRPr="005D0883" w14:paraId="43F55CE6" w14:textId="77777777" w:rsidTr="00646F36">
        <w:trPr>
          <w:trHeight w:val="20"/>
        </w:trPr>
        <w:tc>
          <w:tcPr>
            <w:tcW w:w="1314" w:type="pct"/>
            <w:tcBorders>
              <w:top w:val="nil"/>
              <w:left w:val="nil"/>
              <w:bottom w:val="nil"/>
              <w:right w:val="nil"/>
            </w:tcBorders>
            <w:shd w:val="clear" w:color="auto" w:fill="auto"/>
            <w:noWrap/>
            <w:vAlign w:val="bottom"/>
            <w:hideMark/>
          </w:tcPr>
          <w:p w14:paraId="40A0AD02"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6F1A05DB"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5" w:type="pct"/>
            <w:tcBorders>
              <w:top w:val="nil"/>
              <w:left w:val="nil"/>
              <w:bottom w:val="nil"/>
              <w:right w:val="nil"/>
            </w:tcBorders>
            <w:shd w:val="clear" w:color="auto" w:fill="auto"/>
            <w:noWrap/>
            <w:vAlign w:val="bottom"/>
            <w:hideMark/>
          </w:tcPr>
          <w:p w14:paraId="545FA47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5" w:type="pct"/>
            <w:tcBorders>
              <w:top w:val="nil"/>
              <w:left w:val="nil"/>
              <w:bottom w:val="nil"/>
              <w:right w:val="nil"/>
            </w:tcBorders>
            <w:shd w:val="clear" w:color="auto" w:fill="auto"/>
            <w:noWrap/>
            <w:vAlign w:val="bottom"/>
            <w:hideMark/>
          </w:tcPr>
          <w:p w14:paraId="743601A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0.020</w:t>
            </w:r>
          </w:p>
        </w:tc>
        <w:tc>
          <w:tcPr>
            <w:tcW w:w="615" w:type="pct"/>
            <w:tcBorders>
              <w:top w:val="nil"/>
              <w:left w:val="nil"/>
              <w:bottom w:val="nil"/>
              <w:right w:val="nil"/>
            </w:tcBorders>
            <w:shd w:val="clear" w:color="auto" w:fill="auto"/>
            <w:noWrap/>
            <w:vAlign w:val="bottom"/>
            <w:hideMark/>
          </w:tcPr>
          <w:p w14:paraId="56EB923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2654CA01"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2" w:type="pct"/>
            <w:tcBorders>
              <w:top w:val="nil"/>
              <w:left w:val="nil"/>
              <w:bottom w:val="nil"/>
              <w:right w:val="nil"/>
            </w:tcBorders>
            <w:shd w:val="clear" w:color="auto" w:fill="auto"/>
            <w:noWrap/>
            <w:vAlign w:val="bottom"/>
            <w:hideMark/>
          </w:tcPr>
          <w:p w14:paraId="1DD65E89"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0.078</w:t>
            </w:r>
          </w:p>
        </w:tc>
      </w:tr>
      <w:tr w:rsidR="005D0883" w:rsidRPr="005D0883" w14:paraId="204504C6" w14:textId="77777777" w:rsidTr="00646F36">
        <w:trPr>
          <w:trHeight w:val="20"/>
        </w:trPr>
        <w:tc>
          <w:tcPr>
            <w:tcW w:w="1314" w:type="pct"/>
            <w:tcBorders>
              <w:top w:val="nil"/>
              <w:left w:val="nil"/>
              <w:bottom w:val="nil"/>
              <w:right w:val="nil"/>
            </w:tcBorders>
            <w:shd w:val="clear" w:color="auto" w:fill="auto"/>
            <w:hideMark/>
          </w:tcPr>
          <w:p w14:paraId="36F9C70F"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M (65-74)</w:t>
            </w:r>
          </w:p>
        </w:tc>
        <w:tc>
          <w:tcPr>
            <w:tcW w:w="615" w:type="pct"/>
            <w:tcBorders>
              <w:top w:val="nil"/>
              <w:left w:val="nil"/>
              <w:bottom w:val="nil"/>
              <w:right w:val="nil"/>
            </w:tcBorders>
            <w:shd w:val="clear" w:color="auto" w:fill="auto"/>
            <w:noWrap/>
            <w:vAlign w:val="bottom"/>
            <w:hideMark/>
          </w:tcPr>
          <w:p w14:paraId="27566CA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0.679***</w:t>
            </w:r>
          </w:p>
        </w:tc>
        <w:tc>
          <w:tcPr>
            <w:tcW w:w="615" w:type="pct"/>
            <w:tcBorders>
              <w:top w:val="nil"/>
              <w:left w:val="nil"/>
              <w:bottom w:val="nil"/>
              <w:right w:val="nil"/>
            </w:tcBorders>
            <w:shd w:val="clear" w:color="auto" w:fill="auto"/>
            <w:noWrap/>
            <w:vAlign w:val="bottom"/>
            <w:hideMark/>
          </w:tcPr>
          <w:p w14:paraId="39942E1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0.381***</w:t>
            </w:r>
          </w:p>
        </w:tc>
        <w:tc>
          <w:tcPr>
            <w:tcW w:w="615" w:type="pct"/>
            <w:tcBorders>
              <w:top w:val="nil"/>
              <w:left w:val="nil"/>
              <w:bottom w:val="nil"/>
              <w:right w:val="nil"/>
            </w:tcBorders>
            <w:shd w:val="clear" w:color="auto" w:fill="auto"/>
            <w:noWrap/>
            <w:vAlign w:val="bottom"/>
            <w:hideMark/>
          </w:tcPr>
          <w:p w14:paraId="04B840BC"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0.475***</w:t>
            </w:r>
          </w:p>
        </w:tc>
        <w:tc>
          <w:tcPr>
            <w:tcW w:w="615" w:type="pct"/>
            <w:tcBorders>
              <w:top w:val="nil"/>
              <w:left w:val="nil"/>
              <w:bottom w:val="nil"/>
              <w:right w:val="nil"/>
            </w:tcBorders>
            <w:shd w:val="clear" w:color="auto" w:fill="auto"/>
            <w:noWrap/>
            <w:vAlign w:val="bottom"/>
            <w:hideMark/>
          </w:tcPr>
          <w:p w14:paraId="2B9817C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0.639***</w:t>
            </w:r>
          </w:p>
        </w:tc>
        <w:tc>
          <w:tcPr>
            <w:tcW w:w="615" w:type="pct"/>
            <w:tcBorders>
              <w:top w:val="nil"/>
              <w:left w:val="nil"/>
              <w:bottom w:val="nil"/>
              <w:right w:val="nil"/>
            </w:tcBorders>
            <w:shd w:val="clear" w:color="auto" w:fill="auto"/>
            <w:noWrap/>
            <w:vAlign w:val="bottom"/>
            <w:hideMark/>
          </w:tcPr>
          <w:p w14:paraId="04D42E7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1.116***</w:t>
            </w:r>
          </w:p>
        </w:tc>
        <w:tc>
          <w:tcPr>
            <w:tcW w:w="612" w:type="pct"/>
            <w:tcBorders>
              <w:top w:val="nil"/>
              <w:left w:val="nil"/>
              <w:bottom w:val="nil"/>
              <w:right w:val="nil"/>
            </w:tcBorders>
            <w:shd w:val="clear" w:color="auto" w:fill="auto"/>
            <w:noWrap/>
            <w:vAlign w:val="bottom"/>
            <w:hideMark/>
          </w:tcPr>
          <w:p w14:paraId="5B066B08"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2.307***</w:t>
            </w:r>
          </w:p>
        </w:tc>
      </w:tr>
      <w:tr w:rsidR="005D0883" w:rsidRPr="005D0883" w14:paraId="3FE70005" w14:textId="77777777" w:rsidTr="00646F36">
        <w:trPr>
          <w:trHeight w:val="20"/>
        </w:trPr>
        <w:tc>
          <w:tcPr>
            <w:tcW w:w="1314" w:type="pct"/>
            <w:tcBorders>
              <w:top w:val="nil"/>
              <w:left w:val="nil"/>
              <w:bottom w:val="nil"/>
              <w:right w:val="nil"/>
            </w:tcBorders>
            <w:shd w:val="clear" w:color="auto" w:fill="auto"/>
            <w:noWrap/>
            <w:vAlign w:val="bottom"/>
            <w:hideMark/>
          </w:tcPr>
          <w:p w14:paraId="12D4E4DE"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0C5CD053"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0.027</w:t>
            </w:r>
          </w:p>
        </w:tc>
        <w:tc>
          <w:tcPr>
            <w:tcW w:w="615" w:type="pct"/>
            <w:tcBorders>
              <w:top w:val="nil"/>
              <w:left w:val="nil"/>
              <w:bottom w:val="nil"/>
              <w:right w:val="nil"/>
            </w:tcBorders>
            <w:shd w:val="clear" w:color="auto" w:fill="auto"/>
            <w:noWrap/>
            <w:vAlign w:val="bottom"/>
            <w:hideMark/>
          </w:tcPr>
          <w:p w14:paraId="5FB0B20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5" w:type="pct"/>
            <w:tcBorders>
              <w:top w:val="nil"/>
              <w:left w:val="nil"/>
              <w:bottom w:val="nil"/>
              <w:right w:val="nil"/>
            </w:tcBorders>
            <w:shd w:val="clear" w:color="auto" w:fill="auto"/>
            <w:noWrap/>
            <w:vAlign w:val="bottom"/>
            <w:hideMark/>
          </w:tcPr>
          <w:p w14:paraId="18AB9BE1"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0A87C39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5" w:type="pct"/>
            <w:tcBorders>
              <w:top w:val="nil"/>
              <w:left w:val="nil"/>
              <w:bottom w:val="nil"/>
              <w:right w:val="nil"/>
            </w:tcBorders>
            <w:shd w:val="clear" w:color="auto" w:fill="auto"/>
            <w:noWrap/>
            <w:vAlign w:val="bottom"/>
            <w:hideMark/>
          </w:tcPr>
          <w:p w14:paraId="1566F17D"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0.048</w:t>
            </w:r>
          </w:p>
        </w:tc>
        <w:tc>
          <w:tcPr>
            <w:tcW w:w="612" w:type="pct"/>
            <w:tcBorders>
              <w:top w:val="nil"/>
              <w:left w:val="nil"/>
              <w:bottom w:val="nil"/>
              <w:right w:val="nil"/>
            </w:tcBorders>
            <w:shd w:val="clear" w:color="auto" w:fill="auto"/>
            <w:noWrap/>
            <w:vAlign w:val="bottom"/>
            <w:hideMark/>
          </w:tcPr>
          <w:p w14:paraId="294B116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0.133</w:t>
            </w:r>
          </w:p>
        </w:tc>
      </w:tr>
      <w:tr w:rsidR="005D0883" w:rsidRPr="005D0883" w14:paraId="58B556F5" w14:textId="77777777" w:rsidTr="00646F36">
        <w:trPr>
          <w:trHeight w:val="20"/>
        </w:trPr>
        <w:tc>
          <w:tcPr>
            <w:tcW w:w="1314" w:type="pct"/>
            <w:tcBorders>
              <w:top w:val="nil"/>
              <w:left w:val="nil"/>
              <w:bottom w:val="nil"/>
              <w:right w:val="nil"/>
            </w:tcBorders>
            <w:shd w:val="clear" w:color="auto" w:fill="auto"/>
            <w:noWrap/>
            <w:vAlign w:val="bottom"/>
            <w:hideMark/>
          </w:tcPr>
          <w:p w14:paraId="1BF89FBA"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M (75+)</w:t>
            </w:r>
          </w:p>
        </w:tc>
        <w:tc>
          <w:tcPr>
            <w:tcW w:w="615" w:type="pct"/>
            <w:tcBorders>
              <w:top w:val="nil"/>
              <w:left w:val="nil"/>
              <w:bottom w:val="nil"/>
              <w:right w:val="nil"/>
            </w:tcBorders>
            <w:shd w:val="clear" w:color="auto" w:fill="auto"/>
            <w:noWrap/>
            <w:vAlign w:val="bottom"/>
            <w:hideMark/>
          </w:tcPr>
          <w:p w14:paraId="2C14693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0.697***</w:t>
            </w:r>
          </w:p>
        </w:tc>
        <w:tc>
          <w:tcPr>
            <w:tcW w:w="615" w:type="pct"/>
            <w:tcBorders>
              <w:top w:val="nil"/>
              <w:left w:val="nil"/>
              <w:bottom w:val="nil"/>
              <w:right w:val="nil"/>
            </w:tcBorders>
            <w:shd w:val="clear" w:color="auto" w:fill="auto"/>
            <w:noWrap/>
            <w:vAlign w:val="bottom"/>
            <w:hideMark/>
          </w:tcPr>
          <w:p w14:paraId="2615BAED"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0.397***</w:t>
            </w:r>
          </w:p>
        </w:tc>
        <w:tc>
          <w:tcPr>
            <w:tcW w:w="615" w:type="pct"/>
            <w:tcBorders>
              <w:top w:val="nil"/>
              <w:left w:val="nil"/>
              <w:bottom w:val="nil"/>
              <w:right w:val="nil"/>
            </w:tcBorders>
            <w:shd w:val="clear" w:color="auto" w:fill="auto"/>
            <w:noWrap/>
            <w:vAlign w:val="bottom"/>
            <w:hideMark/>
          </w:tcPr>
          <w:p w14:paraId="2AB0DC4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0.526***</w:t>
            </w:r>
          </w:p>
        </w:tc>
        <w:tc>
          <w:tcPr>
            <w:tcW w:w="615" w:type="pct"/>
            <w:tcBorders>
              <w:top w:val="nil"/>
              <w:left w:val="nil"/>
              <w:bottom w:val="nil"/>
              <w:right w:val="nil"/>
            </w:tcBorders>
            <w:shd w:val="clear" w:color="auto" w:fill="auto"/>
            <w:noWrap/>
            <w:vAlign w:val="bottom"/>
            <w:hideMark/>
          </w:tcPr>
          <w:p w14:paraId="5E007DBE"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0.742***</w:t>
            </w:r>
          </w:p>
        </w:tc>
        <w:tc>
          <w:tcPr>
            <w:tcW w:w="615" w:type="pct"/>
            <w:tcBorders>
              <w:top w:val="nil"/>
              <w:left w:val="nil"/>
              <w:bottom w:val="nil"/>
              <w:right w:val="nil"/>
            </w:tcBorders>
            <w:shd w:val="clear" w:color="auto" w:fill="auto"/>
            <w:noWrap/>
            <w:vAlign w:val="bottom"/>
            <w:hideMark/>
          </w:tcPr>
          <w:p w14:paraId="53E4C0F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1.187***</w:t>
            </w:r>
          </w:p>
        </w:tc>
        <w:tc>
          <w:tcPr>
            <w:tcW w:w="612" w:type="pct"/>
            <w:tcBorders>
              <w:top w:val="nil"/>
              <w:left w:val="nil"/>
              <w:bottom w:val="nil"/>
              <w:right w:val="nil"/>
            </w:tcBorders>
            <w:shd w:val="clear" w:color="auto" w:fill="auto"/>
            <w:noWrap/>
            <w:vAlign w:val="bottom"/>
            <w:hideMark/>
          </w:tcPr>
          <w:p w14:paraId="09CB562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2.137***</w:t>
            </w:r>
          </w:p>
        </w:tc>
      </w:tr>
      <w:tr w:rsidR="005D0883" w:rsidRPr="005D0883" w14:paraId="53A2C3E6" w14:textId="77777777" w:rsidTr="00646F36">
        <w:trPr>
          <w:trHeight w:val="20"/>
        </w:trPr>
        <w:tc>
          <w:tcPr>
            <w:tcW w:w="1314" w:type="pct"/>
            <w:tcBorders>
              <w:top w:val="nil"/>
              <w:left w:val="nil"/>
              <w:bottom w:val="nil"/>
              <w:right w:val="nil"/>
            </w:tcBorders>
            <w:shd w:val="clear" w:color="auto" w:fill="auto"/>
            <w:noWrap/>
            <w:vAlign w:val="bottom"/>
            <w:hideMark/>
          </w:tcPr>
          <w:p w14:paraId="3FD5DCB4"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0A80CE38"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0.030</w:t>
            </w:r>
          </w:p>
        </w:tc>
        <w:tc>
          <w:tcPr>
            <w:tcW w:w="615" w:type="pct"/>
            <w:tcBorders>
              <w:top w:val="nil"/>
              <w:left w:val="nil"/>
              <w:bottom w:val="nil"/>
              <w:right w:val="nil"/>
            </w:tcBorders>
            <w:shd w:val="clear" w:color="auto" w:fill="auto"/>
            <w:noWrap/>
            <w:vAlign w:val="bottom"/>
            <w:hideMark/>
          </w:tcPr>
          <w:p w14:paraId="0A73F23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5" w:type="pct"/>
            <w:tcBorders>
              <w:top w:val="nil"/>
              <w:left w:val="nil"/>
              <w:bottom w:val="nil"/>
              <w:right w:val="nil"/>
            </w:tcBorders>
            <w:shd w:val="clear" w:color="auto" w:fill="auto"/>
            <w:noWrap/>
            <w:vAlign w:val="bottom"/>
            <w:hideMark/>
          </w:tcPr>
          <w:p w14:paraId="1D20FB5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0.022</w:t>
            </w:r>
          </w:p>
        </w:tc>
        <w:tc>
          <w:tcPr>
            <w:tcW w:w="615" w:type="pct"/>
            <w:tcBorders>
              <w:top w:val="nil"/>
              <w:left w:val="nil"/>
              <w:bottom w:val="nil"/>
              <w:right w:val="nil"/>
            </w:tcBorders>
            <w:shd w:val="clear" w:color="auto" w:fill="auto"/>
            <w:noWrap/>
            <w:vAlign w:val="bottom"/>
            <w:hideMark/>
          </w:tcPr>
          <w:p w14:paraId="1556B84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0.027</w:t>
            </w:r>
          </w:p>
        </w:tc>
        <w:tc>
          <w:tcPr>
            <w:tcW w:w="615" w:type="pct"/>
            <w:tcBorders>
              <w:top w:val="nil"/>
              <w:left w:val="nil"/>
              <w:bottom w:val="nil"/>
              <w:right w:val="nil"/>
            </w:tcBorders>
            <w:shd w:val="clear" w:color="auto" w:fill="auto"/>
            <w:noWrap/>
            <w:vAlign w:val="bottom"/>
            <w:hideMark/>
          </w:tcPr>
          <w:p w14:paraId="3AE96CA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0.059</w:t>
            </w:r>
          </w:p>
        </w:tc>
        <w:tc>
          <w:tcPr>
            <w:tcW w:w="612" w:type="pct"/>
            <w:tcBorders>
              <w:top w:val="nil"/>
              <w:left w:val="nil"/>
              <w:bottom w:val="nil"/>
              <w:right w:val="nil"/>
            </w:tcBorders>
            <w:shd w:val="clear" w:color="auto" w:fill="auto"/>
            <w:noWrap/>
            <w:vAlign w:val="bottom"/>
            <w:hideMark/>
          </w:tcPr>
          <w:p w14:paraId="27FA97E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0.166</w:t>
            </w:r>
          </w:p>
        </w:tc>
      </w:tr>
      <w:tr w:rsidR="005D0883" w:rsidRPr="005D0883" w14:paraId="7459F327" w14:textId="77777777" w:rsidTr="00646F36">
        <w:trPr>
          <w:trHeight w:val="20"/>
        </w:trPr>
        <w:tc>
          <w:tcPr>
            <w:tcW w:w="1314" w:type="pct"/>
            <w:tcBorders>
              <w:top w:val="nil"/>
              <w:left w:val="nil"/>
              <w:bottom w:val="nil"/>
              <w:right w:val="nil"/>
            </w:tcBorders>
            <w:shd w:val="clear" w:color="auto" w:fill="auto"/>
            <w:noWrap/>
            <w:vAlign w:val="bottom"/>
            <w:hideMark/>
          </w:tcPr>
          <w:p w14:paraId="26422ADE"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F (11-18)</w:t>
            </w:r>
          </w:p>
        </w:tc>
        <w:tc>
          <w:tcPr>
            <w:tcW w:w="615" w:type="pct"/>
            <w:tcBorders>
              <w:top w:val="nil"/>
              <w:left w:val="nil"/>
              <w:bottom w:val="nil"/>
              <w:right w:val="nil"/>
            </w:tcBorders>
            <w:shd w:val="clear" w:color="auto" w:fill="auto"/>
            <w:noWrap/>
            <w:vAlign w:val="bottom"/>
            <w:hideMark/>
          </w:tcPr>
          <w:p w14:paraId="53735818"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-0.032</w:t>
            </w:r>
          </w:p>
        </w:tc>
        <w:tc>
          <w:tcPr>
            <w:tcW w:w="615" w:type="pct"/>
            <w:tcBorders>
              <w:top w:val="nil"/>
              <w:left w:val="nil"/>
              <w:bottom w:val="nil"/>
              <w:right w:val="nil"/>
            </w:tcBorders>
            <w:shd w:val="clear" w:color="auto" w:fill="auto"/>
            <w:noWrap/>
            <w:vAlign w:val="bottom"/>
            <w:hideMark/>
          </w:tcPr>
          <w:p w14:paraId="0B077B9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-0.027</w:t>
            </w:r>
          </w:p>
        </w:tc>
        <w:tc>
          <w:tcPr>
            <w:tcW w:w="615" w:type="pct"/>
            <w:tcBorders>
              <w:top w:val="nil"/>
              <w:left w:val="nil"/>
              <w:bottom w:val="nil"/>
              <w:right w:val="nil"/>
            </w:tcBorders>
            <w:shd w:val="clear" w:color="auto" w:fill="auto"/>
            <w:noWrap/>
            <w:vAlign w:val="bottom"/>
            <w:hideMark/>
          </w:tcPr>
          <w:p w14:paraId="391C4444"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-0.009</w:t>
            </w:r>
          </w:p>
        </w:tc>
        <w:tc>
          <w:tcPr>
            <w:tcW w:w="615" w:type="pct"/>
            <w:tcBorders>
              <w:top w:val="nil"/>
              <w:left w:val="nil"/>
              <w:bottom w:val="nil"/>
              <w:right w:val="nil"/>
            </w:tcBorders>
            <w:shd w:val="clear" w:color="auto" w:fill="auto"/>
            <w:noWrap/>
            <w:vAlign w:val="bottom"/>
            <w:hideMark/>
          </w:tcPr>
          <w:p w14:paraId="0C73AF5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-0.041*</w:t>
            </w:r>
          </w:p>
        </w:tc>
        <w:tc>
          <w:tcPr>
            <w:tcW w:w="615" w:type="pct"/>
            <w:tcBorders>
              <w:top w:val="nil"/>
              <w:left w:val="nil"/>
              <w:bottom w:val="nil"/>
              <w:right w:val="nil"/>
            </w:tcBorders>
            <w:shd w:val="clear" w:color="auto" w:fill="auto"/>
            <w:noWrap/>
            <w:vAlign w:val="bottom"/>
            <w:hideMark/>
          </w:tcPr>
          <w:p w14:paraId="4D1A266C"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-0.064***</w:t>
            </w:r>
          </w:p>
        </w:tc>
        <w:tc>
          <w:tcPr>
            <w:tcW w:w="612" w:type="pct"/>
            <w:tcBorders>
              <w:top w:val="nil"/>
              <w:left w:val="nil"/>
              <w:bottom w:val="nil"/>
              <w:right w:val="nil"/>
            </w:tcBorders>
            <w:shd w:val="clear" w:color="auto" w:fill="auto"/>
            <w:noWrap/>
            <w:vAlign w:val="bottom"/>
            <w:hideMark/>
          </w:tcPr>
          <w:p w14:paraId="7F40CF34"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-0.134***</w:t>
            </w:r>
          </w:p>
        </w:tc>
      </w:tr>
      <w:tr w:rsidR="005D0883" w:rsidRPr="005D0883" w14:paraId="2889301D" w14:textId="77777777" w:rsidTr="00646F36">
        <w:trPr>
          <w:trHeight w:val="20"/>
        </w:trPr>
        <w:tc>
          <w:tcPr>
            <w:tcW w:w="1314" w:type="pct"/>
            <w:tcBorders>
              <w:top w:val="nil"/>
              <w:left w:val="nil"/>
              <w:bottom w:val="nil"/>
              <w:right w:val="nil"/>
            </w:tcBorders>
            <w:shd w:val="clear" w:color="auto" w:fill="auto"/>
            <w:noWrap/>
            <w:vAlign w:val="bottom"/>
            <w:hideMark/>
          </w:tcPr>
          <w:p w14:paraId="39D20359"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48D741A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0.028</w:t>
            </w:r>
          </w:p>
        </w:tc>
        <w:tc>
          <w:tcPr>
            <w:tcW w:w="615" w:type="pct"/>
            <w:tcBorders>
              <w:top w:val="nil"/>
              <w:left w:val="nil"/>
              <w:bottom w:val="nil"/>
              <w:right w:val="nil"/>
            </w:tcBorders>
            <w:shd w:val="clear" w:color="auto" w:fill="auto"/>
            <w:noWrap/>
            <w:vAlign w:val="bottom"/>
            <w:hideMark/>
          </w:tcPr>
          <w:p w14:paraId="04FD7E3B"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0.036</w:t>
            </w:r>
          </w:p>
        </w:tc>
        <w:tc>
          <w:tcPr>
            <w:tcW w:w="615" w:type="pct"/>
            <w:tcBorders>
              <w:top w:val="nil"/>
              <w:left w:val="nil"/>
              <w:bottom w:val="nil"/>
              <w:right w:val="nil"/>
            </w:tcBorders>
            <w:shd w:val="clear" w:color="auto" w:fill="auto"/>
            <w:noWrap/>
            <w:vAlign w:val="bottom"/>
            <w:hideMark/>
          </w:tcPr>
          <w:p w14:paraId="0BE04E8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0.023</w:t>
            </w:r>
          </w:p>
        </w:tc>
        <w:tc>
          <w:tcPr>
            <w:tcW w:w="615" w:type="pct"/>
            <w:tcBorders>
              <w:top w:val="nil"/>
              <w:left w:val="nil"/>
              <w:bottom w:val="nil"/>
              <w:right w:val="nil"/>
            </w:tcBorders>
            <w:shd w:val="clear" w:color="auto" w:fill="auto"/>
            <w:noWrap/>
            <w:vAlign w:val="bottom"/>
            <w:hideMark/>
          </w:tcPr>
          <w:p w14:paraId="3730D07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66B9DC5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0.017</w:t>
            </w:r>
          </w:p>
        </w:tc>
        <w:tc>
          <w:tcPr>
            <w:tcW w:w="612" w:type="pct"/>
            <w:tcBorders>
              <w:top w:val="nil"/>
              <w:left w:val="nil"/>
              <w:bottom w:val="nil"/>
              <w:right w:val="nil"/>
            </w:tcBorders>
            <w:shd w:val="clear" w:color="auto" w:fill="auto"/>
            <w:noWrap/>
            <w:vAlign w:val="bottom"/>
            <w:hideMark/>
          </w:tcPr>
          <w:p w14:paraId="0345D1AB"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0.036</w:t>
            </w:r>
          </w:p>
        </w:tc>
      </w:tr>
      <w:tr w:rsidR="005D0883" w:rsidRPr="005D0883" w14:paraId="67B410F2" w14:textId="77777777" w:rsidTr="00646F36">
        <w:trPr>
          <w:trHeight w:val="20"/>
        </w:trPr>
        <w:tc>
          <w:tcPr>
            <w:tcW w:w="1314" w:type="pct"/>
            <w:tcBorders>
              <w:top w:val="nil"/>
              <w:left w:val="nil"/>
              <w:bottom w:val="nil"/>
              <w:right w:val="nil"/>
            </w:tcBorders>
            <w:shd w:val="clear" w:color="auto" w:fill="auto"/>
            <w:hideMark/>
          </w:tcPr>
          <w:p w14:paraId="32079BB6"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F (18-34)</w:t>
            </w:r>
          </w:p>
        </w:tc>
        <w:tc>
          <w:tcPr>
            <w:tcW w:w="615" w:type="pct"/>
            <w:tcBorders>
              <w:top w:val="nil"/>
              <w:left w:val="nil"/>
              <w:bottom w:val="nil"/>
              <w:right w:val="nil"/>
            </w:tcBorders>
            <w:shd w:val="clear" w:color="auto" w:fill="auto"/>
            <w:noWrap/>
            <w:vAlign w:val="bottom"/>
            <w:hideMark/>
          </w:tcPr>
          <w:p w14:paraId="68ED510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0.034</w:t>
            </w:r>
          </w:p>
        </w:tc>
        <w:tc>
          <w:tcPr>
            <w:tcW w:w="615" w:type="pct"/>
            <w:tcBorders>
              <w:top w:val="nil"/>
              <w:left w:val="nil"/>
              <w:bottom w:val="nil"/>
              <w:right w:val="nil"/>
            </w:tcBorders>
            <w:shd w:val="clear" w:color="auto" w:fill="auto"/>
            <w:noWrap/>
            <w:vAlign w:val="bottom"/>
            <w:hideMark/>
          </w:tcPr>
          <w:p w14:paraId="734B924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-0.019</w:t>
            </w:r>
          </w:p>
        </w:tc>
        <w:tc>
          <w:tcPr>
            <w:tcW w:w="615" w:type="pct"/>
            <w:tcBorders>
              <w:top w:val="nil"/>
              <w:left w:val="nil"/>
              <w:bottom w:val="nil"/>
              <w:right w:val="nil"/>
            </w:tcBorders>
            <w:shd w:val="clear" w:color="auto" w:fill="auto"/>
            <w:noWrap/>
            <w:vAlign w:val="bottom"/>
            <w:hideMark/>
          </w:tcPr>
          <w:p w14:paraId="353781DD"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-0.004</w:t>
            </w:r>
          </w:p>
        </w:tc>
        <w:tc>
          <w:tcPr>
            <w:tcW w:w="615" w:type="pct"/>
            <w:tcBorders>
              <w:top w:val="nil"/>
              <w:left w:val="nil"/>
              <w:bottom w:val="nil"/>
              <w:right w:val="nil"/>
            </w:tcBorders>
            <w:shd w:val="clear" w:color="auto" w:fill="auto"/>
            <w:noWrap/>
            <w:vAlign w:val="bottom"/>
            <w:hideMark/>
          </w:tcPr>
          <w:p w14:paraId="2D7DCDA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0.022</w:t>
            </w:r>
          </w:p>
        </w:tc>
        <w:tc>
          <w:tcPr>
            <w:tcW w:w="615" w:type="pct"/>
            <w:tcBorders>
              <w:top w:val="nil"/>
              <w:left w:val="nil"/>
              <w:bottom w:val="nil"/>
              <w:right w:val="nil"/>
            </w:tcBorders>
            <w:shd w:val="clear" w:color="auto" w:fill="auto"/>
            <w:noWrap/>
            <w:vAlign w:val="bottom"/>
            <w:hideMark/>
          </w:tcPr>
          <w:p w14:paraId="4E468B3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0.106***</w:t>
            </w:r>
          </w:p>
        </w:tc>
        <w:tc>
          <w:tcPr>
            <w:tcW w:w="612" w:type="pct"/>
            <w:tcBorders>
              <w:top w:val="nil"/>
              <w:left w:val="nil"/>
              <w:bottom w:val="nil"/>
              <w:right w:val="nil"/>
            </w:tcBorders>
            <w:shd w:val="clear" w:color="auto" w:fill="auto"/>
            <w:noWrap/>
            <w:vAlign w:val="bottom"/>
            <w:hideMark/>
          </w:tcPr>
          <w:p w14:paraId="035825F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0.262***</w:t>
            </w:r>
          </w:p>
        </w:tc>
      </w:tr>
      <w:tr w:rsidR="005D0883" w:rsidRPr="005D0883" w14:paraId="2C0BD3CF" w14:textId="77777777" w:rsidTr="00646F36">
        <w:trPr>
          <w:trHeight w:val="20"/>
        </w:trPr>
        <w:tc>
          <w:tcPr>
            <w:tcW w:w="1314" w:type="pct"/>
            <w:tcBorders>
              <w:top w:val="nil"/>
              <w:left w:val="nil"/>
              <w:bottom w:val="nil"/>
              <w:right w:val="nil"/>
            </w:tcBorders>
            <w:shd w:val="clear" w:color="auto" w:fill="auto"/>
            <w:noWrap/>
            <w:vAlign w:val="bottom"/>
            <w:hideMark/>
          </w:tcPr>
          <w:p w14:paraId="01FB0CED"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172BA0FD"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0.024</w:t>
            </w:r>
          </w:p>
        </w:tc>
        <w:tc>
          <w:tcPr>
            <w:tcW w:w="615" w:type="pct"/>
            <w:tcBorders>
              <w:top w:val="nil"/>
              <w:left w:val="nil"/>
              <w:bottom w:val="nil"/>
              <w:right w:val="nil"/>
            </w:tcBorders>
            <w:shd w:val="clear" w:color="auto" w:fill="auto"/>
            <w:noWrap/>
            <w:vAlign w:val="bottom"/>
            <w:hideMark/>
          </w:tcPr>
          <w:p w14:paraId="7FCBC8E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5" w:type="pct"/>
            <w:tcBorders>
              <w:top w:val="nil"/>
              <w:left w:val="nil"/>
              <w:bottom w:val="nil"/>
              <w:right w:val="nil"/>
            </w:tcBorders>
            <w:shd w:val="clear" w:color="auto" w:fill="auto"/>
            <w:noWrap/>
            <w:vAlign w:val="bottom"/>
            <w:hideMark/>
          </w:tcPr>
          <w:p w14:paraId="47E813B9"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0.020</w:t>
            </w:r>
          </w:p>
        </w:tc>
        <w:tc>
          <w:tcPr>
            <w:tcW w:w="615" w:type="pct"/>
            <w:tcBorders>
              <w:top w:val="nil"/>
              <w:left w:val="nil"/>
              <w:bottom w:val="nil"/>
              <w:right w:val="nil"/>
            </w:tcBorders>
            <w:shd w:val="clear" w:color="auto" w:fill="auto"/>
            <w:noWrap/>
            <w:vAlign w:val="bottom"/>
            <w:hideMark/>
          </w:tcPr>
          <w:p w14:paraId="2D49822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0.020</w:t>
            </w:r>
          </w:p>
        </w:tc>
        <w:tc>
          <w:tcPr>
            <w:tcW w:w="615" w:type="pct"/>
            <w:tcBorders>
              <w:top w:val="nil"/>
              <w:left w:val="nil"/>
              <w:bottom w:val="nil"/>
              <w:right w:val="nil"/>
            </w:tcBorders>
            <w:shd w:val="clear" w:color="auto" w:fill="auto"/>
            <w:noWrap/>
            <w:vAlign w:val="bottom"/>
            <w:hideMark/>
          </w:tcPr>
          <w:p w14:paraId="7812621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0.022</w:t>
            </w:r>
          </w:p>
        </w:tc>
        <w:tc>
          <w:tcPr>
            <w:tcW w:w="612" w:type="pct"/>
            <w:tcBorders>
              <w:top w:val="nil"/>
              <w:left w:val="nil"/>
              <w:bottom w:val="nil"/>
              <w:right w:val="nil"/>
            </w:tcBorders>
            <w:shd w:val="clear" w:color="auto" w:fill="auto"/>
            <w:noWrap/>
            <w:vAlign w:val="bottom"/>
            <w:hideMark/>
          </w:tcPr>
          <w:p w14:paraId="7448E87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0.051</w:t>
            </w:r>
          </w:p>
        </w:tc>
      </w:tr>
      <w:tr w:rsidR="005D0883" w:rsidRPr="005D0883" w14:paraId="1CC57C13" w14:textId="77777777" w:rsidTr="00646F36">
        <w:trPr>
          <w:trHeight w:val="20"/>
        </w:trPr>
        <w:tc>
          <w:tcPr>
            <w:tcW w:w="1314" w:type="pct"/>
            <w:tcBorders>
              <w:top w:val="nil"/>
              <w:left w:val="nil"/>
              <w:bottom w:val="nil"/>
              <w:right w:val="nil"/>
            </w:tcBorders>
            <w:shd w:val="clear" w:color="auto" w:fill="auto"/>
            <w:hideMark/>
          </w:tcPr>
          <w:p w14:paraId="5CC9824A"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F (35-44)</w:t>
            </w:r>
          </w:p>
        </w:tc>
        <w:tc>
          <w:tcPr>
            <w:tcW w:w="615" w:type="pct"/>
            <w:tcBorders>
              <w:top w:val="nil"/>
              <w:left w:val="nil"/>
              <w:bottom w:val="nil"/>
              <w:right w:val="nil"/>
            </w:tcBorders>
            <w:shd w:val="clear" w:color="auto" w:fill="auto"/>
            <w:noWrap/>
            <w:vAlign w:val="bottom"/>
            <w:hideMark/>
          </w:tcPr>
          <w:p w14:paraId="399845C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0.158***</w:t>
            </w:r>
          </w:p>
        </w:tc>
        <w:tc>
          <w:tcPr>
            <w:tcW w:w="615" w:type="pct"/>
            <w:tcBorders>
              <w:top w:val="nil"/>
              <w:left w:val="nil"/>
              <w:bottom w:val="nil"/>
              <w:right w:val="nil"/>
            </w:tcBorders>
            <w:shd w:val="clear" w:color="auto" w:fill="auto"/>
            <w:noWrap/>
            <w:vAlign w:val="bottom"/>
            <w:hideMark/>
          </w:tcPr>
          <w:p w14:paraId="21B97E3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0.109***</w:t>
            </w:r>
          </w:p>
        </w:tc>
        <w:tc>
          <w:tcPr>
            <w:tcW w:w="615" w:type="pct"/>
            <w:tcBorders>
              <w:top w:val="nil"/>
              <w:left w:val="nil"/>
              <w:bottom w:val="nil"/>
              <w:right w:val="nil"/>
            </w:tcBorders>
            <w:shd w:val="clear" w:color="auto" w:fill="auto"/>
            <w:noWrap/>
            <w:vAlign w:val="bottom"/>
            <w:hideMark/>
          </w:tcPr>
          <w:p w14:paraId="642AFFA8"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0.099***</w:t>
            </w:r>
          </w:p>
        </w:tc>
        <w:tc>
          <w:tcPr>
            <w:tcW w:w="615" w:type="pct"/>
            <w:tcBorders>
              <w:top w:val="nil"/>
              <w:left w:val="nil"/>
              <w:bottom w:val="nil"/>
              <w:right w:val="nil"/>
            </w:tcBorders>
            <w:shd w:val="clear" w:color="auto" w:fill="auto"/>
            <w:noWrap/>
            <w:vAlign w:val="bottom"/>
            <w:hideMark/>
          </w:tcPr>
          <w:p w14:paraId="609EB269"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0.116***</w:t>
            </w:r>
          </w:p>
        </w:tc>
        <w:tc>
          <w:tcPr>
            <w:tcW w:w="615" w:type="pct"/>
            <w:tcBorders>
              <w:top w:val="nil"/>
              <w:left w:val="nil"/>
              <w:bottom w:val="nil"/>
              <w:right w:val="nil"/>
            </w:tcBorders>
            <w:shd w:val="clear" w:color="auto" w:fill="auto"/>
            <w:noWrap/>
            <w:vAlign w:val="bottom"/>
            <w:hideMark/>
          </w:tcPr>
          <w:p w14:paraId="432F52F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0.177***</w:t>
            </w:r>
          </w:p>
        </w:tc>
        <w:tc>
          <w:tcPr>
            <w:tcW w:w="612" w:type="pct"/>
            <w:tcBorders>
              <w:top w:val="nil"/>
              <w:left w:val="nil"/>
              <w:bottom w:val="nil"/>
              <w:right w:val="nil"/>
            </w:tcBorders>
            <w:shd w:val="clear" w:color="auto" w:fill="auto"/>
            <w:noWrap/>
            <w:vAlign w:val="bottom"/>
            <w:hideMark/>
          </w:tcPr>
          <w:p w14:paraId="098DB78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0.449***</w:t>
            </w:r>
          </w:p>
        </w:tc>
      </w:tr>
      <w:tr w:rsidR="005D0883" w:rsidRPr="005D0883" w14:paraId="241FB3C0" w14:textId="77777777" w:rsidTr="00646F36">
        <w:trPr>
          <w:trHeight w:val="20"/>
        </w:trPr>
        <w:tc>
          <w:tcPr>
            <w:tcW w:w="1314" w:type="pct"/>
            <w:tcBorders>
              <w:top w:val="nil"/>
              <w:left w:val="nil"/>
              <w:bottom w:val="nil"/>
              <w:right w:val="nil"/>
            </w:tcBorders>
            <w:shd w:val="clear" w:color="auto" w:fill="auto"/>
            <w:noWrap/>
            <w:vAlign w:val="bottom"/>
            <w:hideMark/>
          </w:tcPr>
          <w:p w14:paraId="5F359ED2"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271AC7C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5" w:type="pct"/>
            <w:tcBorders>
              <w:top w:val="nil"/>
              <w:left w:val="nil"/>
              <w:bottom w:val="nil"/>
              <w:right w:val="nil"/>
            </w:tcBorders>
            <w:shd w:val="clear" w:color="auto" w:fill="auto"/>
            <w:noWrap/>
            <w:vAlign w:val="bottom"/>
            <w:hideMark/>
          </w:tcPr>
          <w:p w14:paraId="496F60A1"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0.032</w:t>
            </w:r>
          </w:p>
        </w:tc>
        <w:tc>
          <w:tcPr>
            <w:tcW w:w="615" w:type="pct"/>
            <w:tcBorders>
              <w:top w:val="nil"/>
              <w:left w:val="nil"/>
              <w:bottom w:val="nil"/>
              <w:right w:val="nil"/>
            </w:tcBorders>
            <w:shd w:val="clear" w:color="auto" w:fill="auto"/>
            <w:noWrap/>
            <w:vAlign w:val="bottom"/>
            <w:hideMark/>
          </w:tcPr>
          <w:p w14:paraId="50DAEEE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0.020</w:t>
            </w:r>
          </w:p>
        </w:tc>
        <w:tc>
          <w:tcPr>
            <w:tcW w:w="615" w:type="pct"/>
            <w:tcBorders>
              <w:top w:val="nil"/>
              <w:left w:val="nil"/>
              <w:bottom w:val="nil"/>
              <w:right w:val="nil"/>
            </w:tcBorders>
            <w:shd w:val="clear" w:color="auto" w:fill="auto"/>
            <w:noWrap/>
            <w:vAlign w:val="bottom"/>
            <w:hideMark/>
          </w:tcPr>
          <w:p w14:paraId="7A0D169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6329BCC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2" w:type="pct"/>
            <w:tcBorders>
              <w:top w:val="nil"/>
              <w:left w:val="nil"/>
              <w:bottom w:val="nil"/>
              <w:right w:val="nil"/>
            </w:tcBorders>
            <w:shd w:val="clear" w:color="auto" w:fill="auto"/>
            <w:noWrap/>
            <w:vAlign w:val="bottom"/>
            <w:hideMark/>
          </w:tcPr>
          <w:p w14:paraId="533B470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0.060</w:t>
            </w:r>
          </w:p>
        </w:tc>
      </w:tr>
      <w:tr w:rsidR="005D0883" w:rsidRPr="005D0883" w14:paraId="27A030B9" w14:textId="77777777" w:rsidTr="00646F36">
        <w:trPr>
          <w:trHeight w:val="20"/>
        </w:trPr>
        <w:tc>
          <w:tcPr>
            <w:tcW w:w="1314" w:type="pct"/>
            <w:tcBorders>
              <w:top w:val="nil"/>
              <w:left w:val="nil"/>
              <w:bottom w:val="nil"/>
              <w:right w:val="nil"/>
            </w:tcBorders>
            <w:shd w:val="clear" w:color="auto" w:fill="auto"/>
            <w:hideMark/>
          </w:tcPr>
          <w:p w14:paraId="6F3FA40A"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F (45-64)</w:t>
            </w:r>
          </w:p>
        </w:tc>
        <w:tc>
          <w:tcPr>
            <w:tcW w:w="615" w:type="pct"/>
            <w:tcBorders>
              <w:top w:val="nil"/>
              <w:left w:val="nil"/>
              <w:bottom w:val="nil"/>
              <w:right w:val="nil"/>
            </w:tcBorders>
            <w:shd w:val="clear" w:color="auto" w:fill="auto"/>
            <w:noWrap/>
            <w:vAlign w:val="bottom"/>
            <w:hideMark/>
          </w:tcPr>
          <w:p w14:paraId="778504EC"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0.411***</w:t>
            </w:r>
          </w:p>
        </w:tc>
        <w:tc>
          <w:tcPr>
            <w:tcW w:w="615" w:type="pct"/>
            <w:tcBorders>
              <w:top w:val="nil"/>
              <w:left w:val="nil"/>
              <w:bottom w:val="nil"/>
              <w:right w:val="nil"/>
            </w:tcBorders>
            <w:shd w:val="clear" w:color="auto" w:fill="auto"/>
            <w:noWrap/>
            <w:vAlign w:val="bottom"/>
            <w:hideMark/>
          </w:tcPr>
          <w:p w14:paraId="451AC42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0.310***</w:t>
            </w:r>
          </w:p>
        </w:tc>
        <w:tc>
          <w:tcPr>
            <w:tcW w:w="615" w:type="pct"/>
            <w:tcBorders>
              <w:top w:val="nil"/>
              <w:left w:val="nil"/>
              <w:bottom w:val="nil"/>
              <w:right w:val="nil"/>
            </w:tcBorders>
            <w:shd w:val="clear" w:color="auto" w:fill="auto"/>
            <w:noWrap/>
            <w:vAlign w:val="bottom"/>
            <w:hideMark/>
          </w:tcPr>
          <w:p w14:paraId="2EE3CDB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0.333***</w:t>
            </w:r>
          </w:p>
        </w:tc>
        <w:tc>
          <w:tcPr>
            <w:tcW w:w="615" w:type="pct"/>
            <w:tcBorders>
              <w:top w:val="nil"/>
              <w:left w:val="nil"/>
              <w:bottom w:val="nil"/>
              <w:right w:val="nil"/>
            </w:tcBorders>
            <w:shd w:val="clear" w:color="auto" w:fill="auto"/>
            <w:noWrap/>
            <w:vAlign w:val="bottom"/>
            <w:hideMark/>
          </w:tcPr>
          <w:p w14:paraId="7458564C"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0.396***</w:t>
            </w:r>
          </w:p>
        </w:tc>
        <w:tc>
          <w:tcPr>
            <w:tcW w:w="615" w:type="pct"/>
            <w:tcBorders>
              <w:top w:val="nil"/>
              <w:left w:val="nil"/>
              <w:bottom w:val="nil"/>
              <w:right w:val="nil"/>
            </w:tcBorders>
            <w:shd w:val="clear" w:color="auto" w:fill="auto"/>
            <w:noWrap/>
            <w:vAlign w:val="bottom"/>
            <w:hideMark/>
          </w:tcPr>
          <w:p w14:paraId="7BF399DE"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0.475***</w:t>
            </w:r>
          </w:p>
        </w:tc>
        <w:tc>
          <w:tcPr>
            <w:tcW w:w="612" w:type="pct"/>
            <w:tcBorders>
              <w:top w:val="nil"/>
              <w:left w:val="nil"/>
              <w:bottom w:val="nil"/>
              <w:right w:val="nil"/>
            </w:tcBorders>
            <w:shd w:val="clear" w:color="auto" w:fill="auto"/>
            <w:noWrap/>
            <w:vAlign w:val="bottom"/>
            <w:hideMark/>
          </w:tcPr>
          <w:p w14:paraId="4B62C804"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0.839***</w:t>
            </w:r>
          </w:p>
        </w:tc>
      </w:tr>
      <w:tr w:rsidR="005D0883" w:rsidRPr="005D0883" w14:paraId="3A9EF0C6" w14:textId="77777777" w:rsidTr="00646F36">
        <w:trPr>
          <w:trHeight w:val="20"/>
        </w:trPr>
        <w:tc>
          <w:tcPr>
            <w:tcW w:w="1314" w:type="pct"/>
            <w:tcBorders>
              <w:top w:val="nil"/>
              <w:left w:val="nil"/>
              <w:bottom w:val="nil"/>
              <w:right w:val="nil"/>
            </w:tcBorders>
            <w:shd w:val="clear" w:color="auto" w:fill="auto"/>
            <w:noWrap/>
            <w:vAlign w:val="bottom"/>
            <w:hideMark/>
          </w:tcPr>
          <w:p w14:paraId="4779F8EE"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2D4FA67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0.024</w:t>
            </w:r>
          </w:p>
        </w:tc>
        <w:tc>
          <w:tcPr>
            <w:tcW w:w="615" w:type="pct"/>
            <w:tcBorders>
              <w:top w:val="nil"/>
              <w:left w:val="nil"/>
              <w:bottom w:val="nil"/>
              <w:right w:val="nil"/>
            </w:tcBorders>
            <w:shd w:val="clear" w:color="auto" w:fill="auto"/>
            <w:noWrap/>
            <w:vAlign w:val="bottom"/>
            <w:hideMark/>
          </w:tcPr>
          <w:p w14:paraId="63B2F60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5" w:type="pct"/>
            <w:tcBorders>
              <w:top w:val="nil"/>
              <w:left w:val="nil"/>
              <w:bottom w:val="nil"/>
              <w:right w:val="nil"/>
            </w:tcBorders>
            <w:shd w:val="clear" w:color="auto" w:fill="auto"/>
            <w:noWrap/>
            <w:vAlign w:val="bottom"/>
            <w:hideMark/>
          </w:tcPr>
          <w:p w14:paraId="63965F76"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0.020</w:t>
            </w:r>
          </w:p>
        </w:tc>
        <w:tc>
          <w:tcPr>
            <w:tcW w:w="615" w:type="pct"/>
            <w:tcBorders>
              <w:top w:val="nil"/>
              <w:left w:val="nil"/>
              <w:bottom w:val="nil"/>
              <w:right w:val="nil"/>
            </w:tcBorders>
            <w:shd w:val="clear" w:color="auto" w:fill="auto"/>
            <w:noWrap/>
            <w:vAlign w:val="bottom"/>
            <w:hideMark/>
          </w:tcPr>
          <w:p w14:paraId="1AD90CA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13C84EB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0.027</w:t>
            </w:r>
          </w:p>
        </w:tc>
        <w:tc>
          <w:tcPr>
            <w:tcW w:w="612" w:type="pct"/>
            <w:tcBorders>
              <w:top w:val="nil"/>
              <w:left w:val="nil"/>
              <w:bottom w:val="nil"/>
              <w:right w:val="nil"/>
            </w:tcBorders>
            <w:shd w:val="clear" w:color="auto" w:fill="auto"/>
            <w:noWrap/>
            <w:vAlign w:val="bottom"/>
            <w:hideMark/>
          </w:tcPr>
          <w:p w14:paraId="0681BF9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0.065</w:t>
            </w:r>
          </w:p>
        </w:tc>
      </w:tr>
      <w:tr w:rsidR="005D0883" w:rsidRPr="005D0883" w14:paraId="2D7D478B" w14:textId="77777777" w:rsidTr="00646F36">
        <w:trPr>
          <w:trHeight w:val="20"/>
        </w:trPr>
        <w:tc>
          <w:tcPr>
            <w:tcW w:w="1314" w:type="pct"/>
            <w:tcBorders>
              <w:top w:val="nil"/>
              <w:left w:val="nil"/>
              <w:bottom w:val="nil"/>
              <w:right w:val="nil"/>
            </w:tcBorders>
            <w:shd w:val="clear" w:color="auto" w:fill="auto"/>
            <w:hideMark/>
          </w:tcPr>
          <w:p w14:paraId="7E87A043"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F (65-74)</w:t>
            </w:r>
          </w:p>
        </w:tc>
        <w:tc>
          <w:tcPr>
            <w:tcW w:w="615" w:type="pct"/>
            <w:tcBorders>
              <w:top w:val="nil"/>
              <w:left w:val="nil"/>
              <w:bottom w:val="nil"/>
              <w:right w:val="nil"/>
            </w:tcBorders>
            <w:shd w:val="clear" w:color="auto" w:fill="auto"/>
            <w:noWrap/>
            <w:vAlign w:val="bottom"/>
            <w:hideMark/>
          </w:tcPr>
          <w:p w14:paraId="341C1D5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0.610***</w:t>
            </w:r>
          </w:p>
        </w:tc>
        <w:tc>
          <w:tcPr>
            <w:tcW w:w="615" w:type="pct"/>
            <w:tcBorders>
              <w:top w:val="nil"/>
              <w:left w:val="nil"/>
              <w:bottom w:val="nil"/>
              <w:right w:val="nil"/>
            </w:tcBorders>
            <w:shd w:val="clear" w:color="auto" w:fill="auto"/>
            <w:noWrap/>
            <w:vAlign w:val="bottom"/>
            <w:hideMark/>
          </w:tcPr>
          <w:p w14:paraId="359EFF0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0.398***</w:t>
            </w:r>
          </w:p>
        </w:tc>
        <w:tc>
          <w:tcPr>
            <w:tcW w:w="615" w:type="pct"/>
            <w:tcBorders>
              <w:top w:val="nil"/>
              <w:left w:val="nil"/>
              <w:bottom w:val="nil"/>
              <w:right w:val="nil"/>
            </w:tcBorders>
            <w:shd w:val="clear" w:color="auto" w:fill="auto"/>
            <w:noWrap/>
            <w:vAlign w:val="bottom"/>
            <w:hideMark/>
          </w:tcPr>
          <w:p w14:paraId="2FA9A62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0.497***</w:t>
            </w:r>
          </w:p>
        </w:tc>
        <w:tc>
          <w:tcPr>
            <w:tcW w:w="615" w:type="pct"/>
            <w:tcBorders>
              <w:top w:val="nil"/>
              <w:left w:val="nil"/>
              <w:bottom w:val="nil"/>
              <w:right w:val="nil"/>
            </w:tcBorders>
            <w:shd w:val="clear" w:color="auto" w:fill="auto"/>
            <w:noWrap/>
            <w:vAlign w:val="bottom"/>
            <w:hideMark/>
          </w:tcPr>
          <w:p w14:paraId="1A56EE8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0.661***</w:t>
            </w:r>
          </w:p>
        </w:tc>
        <w:tc>
          <w:tcPr>
            <w:tcW w:w="615" w:type="pct"/>
            <w:tcBorders>
              <w:top w:val="nil"/>
              <w:left w:val="nil"/>
              <w:bottom w:val="nil"/>
              <w:right w:val="nil"/>
            </w:tcBorders>
            <w:shd w:val="clear" w:color="auto" w:fill="auto"/>
            <w:noWrap/>
            <w:vAlign w:val="bottom"/>
            <w:hideMark/>
          </w:tcPr>
          <w:p w14:paraId="1409367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0.915***</w:t>
            </w:r>
          </w:p>
        </w:tc>
        <w:tc>
          <w:tcPr>
            <w:tcW w:w="612" w:type="pct"/>
            <w:tcBorders>
              <w:top w:val="nil"/>
              <w:left w:val="nil"/>
              <w:bottom w:val="nil"/>
              <w:right w:val="nil"/>
            </w:tcBorders>
            <w:shd w:val="clear" w:color="auto" w:fill="auto"/>
            <w:noWrap/>
            <w:vAlign w:val="bottom"/>
            <w:hideMark/>
          </w:tcPr>
          <w:p w14:paraId="407A438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1.638***</w:t>
            </w:r>
          </w:p>
        </w:tc>
      </w:tr>
      <w:tr w:rsidR="005D0883" w:rsidRPr="005D0883" w14:paraId="1B1D9218" w14:textId="77777777" w:rsidTr="00646F36">
        <w:trPr>
          <w:trHeight w:val="20"/>
        </w:trPr>
        <w:tc>
          <w:tcPr>
            <w:tcW w:w="1314" w:type="pct"/>
            <w:tcBorders>
              <w:top w:val="nil"/>
              <w:left w:val="nil"/>
              <w:bottom w:val="nil"/>
              <w:right w:val="nil"/>
            </w:tcBorders>
            <w:shd w:val="clear" w:color="auto" w:fill="auto"/>
            <w:noWrap/>
            <w:vAlign w:val="bottom"/>
            <w:hideMark/>
          </w:tcPr>
          <w:p w14:paraId="3A2E6D7F"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222B7E5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0.027</w:t>
            </w:r>
          </w:p>
        </w:tc>
        <w:tc>
          <w:tcPr>
            <w:tcW w:w="615" w:type="pct"/>
            <w:tcBorders>
              <w:top w:val="nil"/>
              <w:left w:val="nil"/>
              <w:bottom w:val="nil"/>
              <w:right w:val="nil"/>
            </w:tcBorders>
            <w:shd w:val="clear" w:color="auto" w:fill="auto"/>
            <w:noWrap/>
            <w:vAlign w:val="bottom"/>
            <w:hideMark/>
          </w:tcPr>
          <w:p w14:paraId="799AF4AB"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0.031</w:t>
            </w:r>
          </w:p>
        </w:tc>
        <w:tc>
          <w:tcPr>
            <w:tcW w:w="615" w:type="pct"/>
            <w:tcBorders>
              <w:top w:val="nil"/>
              <w:left w:val="nil"/>
              <w:bottom w:val="nil"/>
              <w:right w:val="nil"/>
            </w:tcBorders>
            <w:shd w:val="clear" w:color="auto" w:fill="auto"/>
            <w:noWrap/>
            <w:vAlign w:val="bottom"/>
            <w:hideMark/>
          </w:tcPr>
          <w:p w14:paraId="48A94A3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0.021</w:t>
            </w:r>
          </w:p>
        </w:tc>
        <w:tc>
          <w:tcPr>
            <w:tcW w:w="615" w:type="pct"/>
            <w:tcBorders>
              <w:top w:val="nil"/>
              <w:left w:val="nil"/>
              <w:bottom w:val="nil"/>
              <w:right w:val="nil"/>
            </w:tcBorders>
            <w:shd w:val="clear" w:color="auto" w:fill="auto"/>
            <w:noWrap/>
            <w:vAlign w:val="bottom"/>
            <w:hideMark/>
          </w:tcPr>
          <w:p w14:paraId="21920BC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0.024</w:t>
            </w:r>
          </w:p>
        </w:tc>
        <w:tc>
          <w:tcPr>
            <w:tcW w:w="615" w:type="pct"/>
            <w:tcBorders>
              <w:top w:val="nil"/>
              <w:left w:val="nil"/>
              <w:bottom w:val="nil"/>
              <w:right w:val="nil"/>
            </w:tcBorders>
            <w:shd w:val="clear" w:color="auto" w:fill="auto"/>
            <w:noWrap/>
            <w:vAlign w:val="bottom"/>
            <w:hideMark/>
          </w:tcPr>
          <w:p w14:paraId="7AD9E62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0.044</w:t>
            </w:r>
          </w:p>
        </w:tc>
        <w:tc>
          <w:tcPr>
            <w:tcW w:w="612" w:type="pct"/>
            <w:tcBorders>
              <w:top w:val="nil"/>
              <w:left w:val="nil"/>
              <w:bottom w:val="nil"/>
              <w:right w:val="nil"/>
            </w:tcBorders>
            <w:shd w:val="clear" w:color="auto" w:fill="auto"/>
            <w:noWrap/>
            <w:vAlign w:val="bottom"/>
            <w:hideMark/>
          </w:tcPr>
          <w:p w14:paraId="145EFD06"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0.118</w:t>
            </w:r>
          </w:p>
        </w:tc>
      </w:tr>
      <w:tr w:rsidR="005D0883" w:rsidRPr="005D0883" w14:paraId="41009A6F" w14:textId="77777777" w:rsidTr="00646F36">
        <w:trPr>
          <w:trHeight w:val="20"/>
        </w:trPr>
        <w:tc>
          <w:tcPr>
            <w:tcW w:w="1314" w:type="pct"/>
            <w:tcBorders>
              <w:top w:val="nil"/>
              <w:left w:val="nil"/>
              <w:bottom w:val="nil"/>
              <w:right w:val="nil"/>
            </w:tcBorders>
            <w:shd w:val="clear" w:color="auto" w:fill="auto"/>
            <w:hideMark/>
          </w:tcPr>
          <w:p w14:paraId="587A5E10"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F (75+)</w:t>
            </w:r>
          </w:p>
        </w:tc>
        <w:tc>
          <w:tcPr>
            <w:tcW w:w="615" w:type="pct"/>
            <w:tcBorders>
              <w:top w:val="nil"/>
              <w:left w:val="nil"/>
              <w:bottom w:val="nil"/>
              <w:right w:val="nil"/>
            </w:tcBorders>
            <w:shd w:val="clear" w:color="auto" w:fill="auto"/>
            <w:noWrap/>
            <w:vAlign w:val="bottom"/>
            <w:hideMark/>
          </w:tcPr>
          <w:p w14:paraId="6977604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0.628***</w:t>
            </w:r>
          </w:p>
        </w:tc>
        <w:tc>
          <w:tcPr>
            <w:tcW w:w="615" w:type="pct"/>
            <w:tcBorders>
              <w:top w:val="nil"/>
              <w:left w:val="nil"/>
              <w:bottom w:val="nil"/>
              <w:right w:val="nil"/>
            </w:tcBorders>
            <w:shd w:val="clear" w:color="auto" w:fill="auto"/>
            <w:noWrap/>
            <w:vAlign w:val="bottom"/>
            <w:hideMark/>
          </w:tcPr>
          <w:p w14:paraId="23B492A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0.407***</w:t>
            </w:r>
          </w:p>
        </w:tc>
        <w:tc>
          <w:tcPr>
            <w:tcW w:w="615" w:type="pct"/>
            <w:tcBorders>
              <w:top w:val="nil"/>
              <w:left w:val="nil"/>
              <w:bottom w:val="nil"/>
              <w:right w:val="nil"/>
            </w:tcBorders>
            <w:shd w:val="clear" w:color="auto" w:fill="auto"/>
            <w:noWrap/>
            <w:vAlign w:val="bottom"/>
            <w:hideMark/>
          </w:tcPr>
          <w:p w14:paraId="616ADFDE"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0.537***</w:t>
            </w:r>
          </w:p>
        </w:tc>
        <w:tc>
          <w:tcPr>
            <w:tcW w:w="615" w:type="pct"/>
            <w:tcBorders>
              <w:top w:val="nil"/>
              <w:left w:val="nil"/>
              <w:bottom w:val="nil"/>
              <w:right w:val="nil"/>
            </w:tcBorders>
            <w:shd w:val="clear" w:color="auto" w:fill="auto"/>
            <w:noWrap/>
            <w:vAlign w:val="bottom"/>
            <w:hideMark/>
          </w:tcPr>
          <w:p w14:paraId="5C1B2143"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0.738***</w:t>
            </w:r>
          </w:p>
        </w:tc>
        <w:tc>
          <w:tcPr>
            <w:tcW w:w="615" w:type="pct"/>
            <w:tcBorders>
              <w:top w:val="nil"/>
              <w:left w:val="nil"/>
              <w:bottom w:val="nil"/>
              <w:right w:val="nil"/>
            </w:tcBorders>
            <w:shd w:val="clear" w:color="auto" w:fill="auto"/>
            <w:noWrap/>
            <w:vAlign w:val="bottom"/>
            <w:hideMark/>
          </w:tcPr>
          <w:p w14:paraId="17D7EA79"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1.100***</w:t>
            </w:r>
          </w:p>
        </w:tc>
        <w:tc>
          <w:tcPr>
            <w:tcW w:w="612" w:type="pct"/>
            <w:tcBorders>
              <w:top w:val="nil"/>
              <w:left w:val="nil"/>
              <w:bottom w:val="nil"/>
              <w:right w:val="nil"/>
            </w:tcBorders>
            <w:shd w:val="clear" w:color="auto" w:fill="auto"/>
            <w:noWrap/>
            <w:vAlign w:val="bottom"/>
            <w:hideMark/>
          </w:tcPr>
          <w:p w14:paraId="514AE358"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1.618***</w:t>
            </w:r>
          </w:p>
        </w:tc>
      </w:tr>
      <w:tr w:rsidR="005D0883" w:rsidRPr="005D0883" w14:paraId="211C6D78" w14:textId="77777777" w:rsidTr="00646F36">
        <w:trPr>
          <w:trHeight w:val="20"/>
        </w:trPr>
        <w:tc>
          <w:tcPr>
            <w:tcW w:w="1314" w:type="pct"/>
            <w:tcBorders>
              <w:top w:val="nil"/>
              <w:left w:val="nil"/>
              <w:bottom w:val="nil"/>
              <w:right w:val="nil"/>
            </w:tcBorders>
            <w:shd w:val="clear" w:color="auto" w:fill="auto"/>
            <w:noWrap/>
            <w:vAlign w:val="bottom"/>
            <w:hideMark/>
          </w:tcPr>
          <w:p w14:paraId="4F316AA4"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35D4F90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0.028</w:t>
            </w:r>
          </w:p>
        </w:tc>
        <w:tc>
          <w:tcPr>
            <w:tcW w:w="615" w:type="pct"/>
            <w:tcBorders>
              <w:top w:val="nil"/>
              <w:left w:val="nil"/>
              <w:bottom w:val="nil"/>
              <w:right w:val="nil"/>
            </w:tcBorders>
            <w:shd w:val="clear" w:color="auto" w:fill="auto"/>
            <w:noWrap/>
            <w:vAlign w:val="bottom"/>
            <w:hideMark/>
          </w:tcPr>
          <w:p w14:paraId="46619CFD"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0.032</w:t>
            </w:r>
          </w:p>
        </w:tc>
        <w:tc>
          <w:tcPr>
            <w:tcW w:w="615" w:type="pct"/>
            <w:tcBorders>
              <w:top w:val="nil"/>
              <w:left w:val="nil"/>
              <w:bottom w:val="nil"/>
              <w:right w:val="nil"/>
            </w:tcBorders>
            <w:shd w:val="clear" w:color="auto" w:fill="auto"/>
            <w:noWrap/>
            <w:vAlign w:val="bottom"/>
            <w:hideMark/>
          </w:tcPr>
          <w:p w14:paraId="29D078E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0.022</w:t>
            </w:r>
          </w:p>
        </w:tc>
        <w:tc>
          <w:tcPr>
            <w:tcW w:w="615" w:type="pct"/>
            <w:tcBorders>
              <w:top w:val="nil"/>
              <w:left w:val="nil"/>
              <w:bottom w:val="nil"/>
              <w:right w:val="nil"/>
            </w:tcBorders>
            <w:shd w:val="clear" w:color="auto" w:fill="auto"/>
            <w:noWrap/>
            <w:vAlign w:val="bottom"/>
            <w:hideMark/>
          </w:tcPr>
          <w:p w14:paraId="3DBA9AA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0.026</w:t>
            </w:r>
          </w:p>
        </w:tc>
        <w:tc>
          <w:tcPr>
            <w:tcW w:w="615" w:type="pct"/>
            <w:tcBorders>
              <w:top w:val="nil"/>
              <w:left w:val="nil"/>
              <w:bottom w:val="nil"/>
              <w:right w:val="nil"/>
            </w:tcBorders>
            <w:shd w:val="clear" w:color="auto" w:fill="auto"/>
            <w:noWrap/>
            <w:vAlign w:val="bottom"/>
            <w:hideMark/>
          </w:tcPr>
          <w:p w14:paraId="3ACB8149"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0.053</w:t>
            </w:r>
          </w:p>
        </w:tc>
        <w:tc>
          <w:tcPr>
            <w:tcW w:w="612" w:type="pct"/>
            <w:tcBorders>
              <w:top w:val="nil"/>
              <w:left w:val="nil"/>
              <w:bottom w:val="nil"/>
              <w:right w:val="nil"/>
            </w:tcBorders>
            <w:shd w:val="clear" w:color="auto" w:fill="auto"/>
            <w:noWrap/>
            <w:vAlign w:val="bottom"/>
            <w:hideMark/>
          </w:tcPr>
          <w:p w14:paraId="2C2BA317"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0.137</w:t>
            </w:r>
          </w:p>
        </w:tc>
      </w:tr>
      <w:tr w:rsidR="005D0883" w:rsidRPr="005D0883" w14:paraId="641D75B3" w14:textId="77777777" w:rsidTr="00646F36">
        <w:trPr>
          <w:trHeight w:val="20"/>
        </w:trPr>
        <w:tc>
          <w:tcPr>
            <w:tcW w:w="1314" w:type="pct"/>
            <w:tcBorders>
              <w:top w:val="nil"/>
              <w:left w:val="nil"/>
              <w:bottom w:val="nil"/>
              <w:right w:val="nil"/>
            </w:tcBorders>
            <w:shd w:val="clear" w:color="auto" w:fill="auto"/>
            <w:hideMark/>
          </w:tcPr>
          <w:p w14:paraId="5AA04C57"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Degree- NVQ 4,5</w:t>
            </w:r>
          </w:p>
        </w:tc>
        <w:tc>
          <w:tcPr>
            <w:tcW w:w="615" w:type="pct"/>
            <w:tcBorders>
              <w:top w:val="nil"/>
              <w:left w:val="nil"/>
              <w:bottom w:val="nil"/>
              <w:right w:val="nil"/>
            </w:tcBorders>
            <w:shd w:val="clear" w:color="auto" w:fill="auto"/>
            <w:noWrap/>
            <w:vAlign w:val="bottom"/>
            <w:hideMark/>
          </w:tcPr>
          <w:p w14:paraId="529D84D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-0.154***</w:t>
            </w:r>
          </w:p>
        </w:tc>
        <w:tc>
          <w:tcPr>
            <w:tcW w:w="615" w:type="pct"/>
            <w:tcBorders>
              <w:top w:val="nil"/>
              <w:left w:val="nil"/>
              <w:bottom w:val="nil"/>
              <w:right w:val="nil"/>
            </w:tcBorders>
            <w:shd w:val="clear" w:color="auto" w:fill="auto"/>
            <w:noWrap/>
            <w:vAlign w:val="bottom"/>
            <w:hideMark/>
          </w:tcPr>
          <w:p w14:paraId="7FFE00C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-0.079***</w:t>
            </w:r>
          </w:p>
        </w:tc>
        <w:tc>
          <w:tcPr>
            <w:tcW w:w="615" w:type="pct"/>
            <w:tcBorders>
              <w:top w:val="nil"/>
              <w:left w:val="nil"/>
              <w:bottom w:val="nil"/>
              <w:right w:val="nil"/>
            </w:tcBorders>
            <w:shd w:val="clear" w:color="auto" w:fill="auto"/>
            <w:noWrap/>
            <w:vAlign w:val="bottom"/>
            <w:hideMark/>
          </w:tcPr>
          <w:p w14:paraId="4E708F8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-0.083***</w:t>
            </w:r>
          </w:p>
        </w:tc>
        <w:tc>
          <w:tcPr>
            <w:tcW w:w="615" w:type="pct"/>
            <w:tcBorders>
              <w:top w:val="nil"/>
              <w:left w:val="nil"/>
              <w:bottom w:val="nil"/>
              <w:right w:val="nil"/>
            </w:tcBorders>
            <w:shd w:val="clear" w:color="auto" w:fill="auto"/>
            <w:noWrap/>
            <w:vAlign w:val="bottom"/>
            <w:hideMark/>
          </w:tcPr>
          <w:p w14:paraId="4F3E578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-0.133***</w:t>
            </w:r>
          </w:p>
        </w:tc>
        <w:tc>
          <w:tcPr>
            <w:tcW w:w="615" w:type="pct"/>
            <w:tcBorders>
              <w:top w:val="nil"/>
              <w:left w:val="nil"/>
              <w:bottom w:val="nil"/>
              <w:right w:val="nil"/>
            </w:tcBorders>
            <w:shd w:val="clear" w:color="auto" w:fill="auto"/>
            <w:noWrap/>
            <w:vAlign w:val="bottom"/>
            <w:hideMark/>
          </w:tcPr>
          <w:p w14:paraId="25AFAB3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-0.243***</w:t>
            </w:r>
          </w:p>
        </w:tc>
        <w:tc>
          <w:tcPr>
            <w:tcW w:w="612" w:type="pct"/>
            <w:tcBorders>
              <w:top w:val="nil"/>
              <w:left w:val="nil"/>
              <w:bottom w:val="nil"/>
              <w:right w:val="nil"/>
            </w:tcBorders>
            <w:shd w:val="clear" w:color="auto" w:fill="auto"/>
            <w:noWrap/>
            <w:vAlign w:val="bottom"/>
            <w:hideMark/>
          </w:tcPr>
          <w:p w14:paraId="5F47E4B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-0.558***</w:t>
            </w:r>
          </w:p>
        </w:tc>
      </w:tr>
      <w:tr w:rsidR="005D0883" w:rsidRPr="005D0883" w14:paraId="4A70602A" w14:textId="77777777" w:rsidTr="00646F36">
        <w:trPr>
          <w:trHeight w:val="20"/>
        </w:trPr>
        <w:tc>
          <w:tcPr>
            <w:tcW w:w="1314" w:type="pct"/>
            <w:tcBorders>
              <w:top w:val="nil"/>
              <w:left w:val="nil"/>
              <w:bottom w:val="nil"/>
              <w:right w:val="nil"/>
            </w:tcBorders>
            <w:shd w:val="clear" w:color="auto" w:fill="auto"/>
            <w:noWrap/>
            <w:vAlign w:val="bottom"/>
            <w:hideMark/>
          </w:tcPr>
          <w:p w14:paraId="59394997"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05C8FF79"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0.013</w:t>
            </w:r>
          </w:p>
        </w:tc>
        <w:tc>
          <w:tcPr>
            <w:tcW w:w="615" w:type="pct"/>
            <w:tcBorders>
              <w:top w:val="nil"/>
              <w:left w:val="nil"/>
              <w:bottom w:val="nil"/>
              <w:right w:val="nil"/>
            </w:tcBorders>
            <w:shd w:val="clear" w:color="auto" w:fill="auto"/>
            <w:noWrap/>
            <w:vAlign w:val="bottom"/>
            <w:hideMark/>
          </w:tcPr>
          <w:p w14:paraId="0AFD81B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0.010</w:t>
            </w:r>
          </w:p>
        </w:tc>
        <w:tc>
          <w:tcPr>
            <w:tcW w:w="615" w:type="pct"/>
            <w:tcBorders>
              <w:top w:val="nil"/>
              <w:left w:val="nil"/>
              <w:bottom w:val="nil"/>
              <w:right w:val="nil"/>
            </w:tcBorders>
            <w:shd w:val="clear" w:color="auto" w:fill="auto"/>
            <w:noWrap/>
            <w:vAlign w:val="bottom"/>
            <w:hideMark/>
          </w:tcPr>
          <w:p w14:paraId="3A667BF6"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0.009</w:t>
            </w:r>
          </w:p>
        </w:tc>
        <w:tc>
          <w:tcPr>
            <w:tcW w:w="615" w:type="pct"/>
            <w:tcBorders>
              <w:top w:val="nil"/>
              <w:left w:val="nil"/>
              <w:bottom w:val="nil"/>
              <w:right w:val="nil"/>
            </w:tcBorders>
            <w:shd w:val="clear" w:color="auto" w:fill="auto"/>
            <w:noWrap/>
            <w:vAlign w:val="bottom"/>
            <w:hideMark/>
          </w:tcPr>
          <w:p w14:paraId="08AE5979"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0.012</w:t>
            </w:r>
          </w:p>
        </w:tc>
        <w:tc>
          <w:tcPr>
            <w:tcW w:w="615" w:type="pct"/>
            <w:tcBorders>
              <w:top w:val="nil"/>
              <w:left w:val="nil"/>
              <w:bottom w:val="nil"/>
              <w:right w:val="nil"/>
            </w:tcBorders>
            <w:shd w:val="clear" w:color="auto" w:fill="auto"/>
            <w:noWrap/>
            <w:vAlign w:val="bottom"/>
            <w:hideMark/>
          </w:tcPr>
          <w:p w14:paraId="23AB26E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0.026</w:t>
            </w:r>
          </w:p>
        </w:tc>
        <w:tc>
          <w:tcPr>
            <w:tcW w:w="612" w:type="pct"/>
            <w:tcBorders>
              <w:top w:val="nil"/>
              <w:left w:val="nil"/>
              <w:bottom w:val="nil"/>
              <w:right w:val="nil"/>
            </w:tcBorders>
            <w:shd w:val="clear" w:color="auto" w:fill="auto"/>
            <w:noWrap/>
            <w:vAlign w:val="bottom"/>
            <w:hideMark/>
          </w:tcPr>
          <w:p w14:paraId="78009C1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0.073</w:t>
            </w:r>
          </w:p>
        </w:tc>
      </w:tr>
      <w:tr w:rsidR="005D0883" w:rsidRPr="005D0883" w14:paraId="65B911EB" w14:textId="77777777" w:rsidTr="00646F36">
        <w:trPr>
          <w:trHeight w:val="20"/>
        </w:trPr>
        <w:tc>
          <w:tcPr>
            <w:tcW w:w="1314" w:type="pct"/>
            <w:tcBorders>
              <w:top w:val="nil"/>
              <w:left w:val="nil"/>
              <w:bottom w:val="nil"/>
              <w:right w:val="nil"/>
            </w:tcBorders>
            <w:shd w:val="clear" w:color="auto" w:fill="auto"/>
            <w:hideMark/>
          </w:tcPr>
          <w:p w14:paraId="54260E63"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Higher Education</w:t>
            </w:r>
          </w:p>
        </w:tc>
        <w:tc>
          <w:tcPr>
            <w:tcW w:w="615" w:type="pct"/>
            <w:tcBorders>
              <w:top w:val="nil"/>
              <w:left w:val="nil"/>
              <w:bottom w:val="nil"/>
              <w:right w:val="nil"/>
            </w:tcBorders>
            <w:shd w:val="clear" w:color="auto" w:fill="auto"/>
            <w:noWrap/>
            <w:vAlign w:val="bottom"/>
            <w:hideMark/>
          </w:tcPr>
          <w:p w14:paraId="5302D1B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-0.119***</w:t>
            </w:r>
          </w:p>
        </w:tc>
        <w:tc>
          <w:tcPr>
            <w:tcW w:w="615" w:type="pct"/>
            <w:tcBorders>
              <w:top w:val="nil"/>
              <w:left w:val="nil"/>
              <w:bottom w:val="nil"/>
              <w:right w:val="nil"/>
            </w:tcBorders>
            <w:shd w:val="clear" w:color="auto" w:fill="auto"/>
            <w:noWrap/>
            <w:vAlign w:val="bottom"/>
            <w:hideMark/>
          </w:tcPr>
          <w:p w14:paraId="2E344CF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-0.038***</w:t>
            </w:r>
          </w:p>
        </w:tc>
        <w:tc>
          <w:tcPr>
            <w:tcW w:w="615" w:type="pct"/>
            <w:tcBorders>
              <w:top w:val="nil"/>
              <w:left w:val="nil"/>
              <w:bottom w:val="nil"/>
              <w:right w:val="nil"/>
            </w:tcBorders>
            <w:shd w:val="clear" w:color="auto" w:fill="auto"/>
            <w:noWrap/>
            <w:vAlign w:val="bottom"/>
            <w:hideMark/>
          </w:tcPr>
          <w:p w14:paraId="2778B63C"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-0.047***</w:t>
            </w:r>
          </w:p>
        </w:tc>
        <w:tc>
          <w:tcPr>
            <w:tcW w:w="615" w:type="pct"/>
            <w:tcBorders>
              <w:top w:val="nil"/>
              <w:left w:val="nil"/>
              <w:bottom w:val="nil"/>
              <w:right w:val="nil"/>
            </w:tcBorders>
            <w:shd w:val="clear" w:color="auto" w:fill="auto"/>
            <w:noWrap/>
            <w:vAlign w:val="bottom"/>
            <w:hideMark/>
          </w:tcPr>
          <w:p w14:paraId="5CF3D8DD"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-0.089***</w:t>
            </w:r>
          </w:p>
        </w:tc>
        <w:tc>
          <w:tcPr>
            <w:tcW w:w="615" w:type="pct"/>
            <w:tcBorders>
              <w:top w:val="nil"/>
              <w:left w:val="nil"/>
              <w:bottom w:val="nil"/>
              <w:right w:val="nil"/>
            </w:tcBorders>
            <w:shd w:val="clear" w:color="auto" w:fill="auto"/>
            <w:noWrap/>
            <w:vAlign w:val="bottom"/>
            <w:hideMark/>
          </w:tcPr>
          <w:p w14:paraId="11D3718D"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-0.186***</w:t>
            </w:r>
          </w:p>
        </w:tc>
        <w:tc>
          <w:tcPr>
            <w:tcW w:w="612" w:type="pct"/>
            <w:tcBorders>
              <w:top w:val="nil"/>
              <w:left w:val="nil"/>
              <w:bottom w:val="nil"/>
              <w:right w:val="nil"/>
            </w:tcBorders>
            <w:shd w:val="clear" w:color="auto" w:fill="auto"/>
            <w:noWrap/>
            <w:vAlign w:val="bottom"/>
            <w:hideMark/>
          </w:tcPr>
          <w:p w14:paraId="77B7EAD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-0.452***</w:t>
            </w:r>
          </w:p>
        </w:tc>
      </w:tr>
      <w:tr w:rsidR="005D0883" w:rsidRPr="005D0883" w14:paraId="3B9A4314" w14:textId="77777777" w:rsidTr="00646F36">
        <w:trPr>
          <w:trHeight w:val="20"/>
        </w:trPr>
        <w:tc>
          <w:tcPr>
            <w:tcW w:w="1314" w:type="pct"/>
            <w:tcBorders>
              <w:top w:val="nil"/>
              <w:left w:val="nil"/>
              <w:bottom w:val="nil"/>
              <w:right w:val="nil"/>
            </w:tcBorders>
            <w:shd w:val="clear" w:color="auto" w:fill="auto"/>
            <w:noWrap/>
            <w:vAlign w:val="bottom"/>
            <w:hideMark/>
          </w:tcPr>
          <w:p w14:paraId="07F16015"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51FFB4D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0.014</w:t>
            </w:r>
          </w:p>
        </w:tc>
        <w:tc>
          <w:tcPr>
            <w:tcW w:w="615" w:type="pct"/>
            <w:tcBorders>
              <w:top w:val="nil"/>
              <w:left w:val="nil"/>
              <w:bottom w:val="nil"/>
              <w:right w:val="nil"/>
            </w:tcBorders>
            <w:shd w:val="clear" w:color="auto" w:fill="auto"/>
            <w:noWrap/>
            <w:vAlign w:val="bottom"/>
            <w:hideMark/>
          </w:tcPr>
          <w:p w14:paraId="59C939D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0.010</w:t>
            </w:r>
          </w:p>
        </w:tc>
        <w:tc>
          <w:tcPr>
            <w:tcW w:w="615" w:type="pct"/>
            <w:tcBorders>
              <w:top w:val="nil"/>
              <w:left w:val="nil"/>
              <w:bottom w:val="nil"/>
              <w:right w:val="nil"/>
            </w:tcBorders>
            <w:shd w:val="clear" w:color="auto" w:fill="auto"/>
            <w:noWrap/>
            <w:vAlign w:val="bottom"/>
            <w:hideMark/>
          </w:tcPr>
          <w:p w14:paraId="17BD3E4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0.009</w:t>
            </w:r>
          </w:p>
        </w:tc>
        <w:tc>
          <w:tcPr>
            <w:tcW w:w="615" w:type="pct"/>
            <w:tcBorders>
              <w:top w:val="nil"/>
              <w:left w:val="nil"/>
              <w:bottom w:val="nil"/>
              <w:right w:val="nil"/>
            </w:tcBorders>
            <w:shd w:val="clear" w:color="auto" w:fill="auto"/>
            <w:noWrap/>
            <w:vAlign w:val="bottom"/>
            <w:hideMark/>
          </w:tcPr>
          <w:p w14:paraId="520C1592"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0.013</w:t>
            </w:r>
          </w:p>
        </w:tc>
        <w:tc>
          <w:tcPr>
            <w:tcW w:w="615" w:type="pct"/>
            <w:tcBorders>
              <w:top w:val="nil"/>
              <w:left w:val="nil"/>
              <w:bottom w:val="nil"/>
              <w:right w:val="nil"/>
            </w:tcBorders>
            <w:shd w:val="clear" w:color="auto" w:fill="auto"/>
            <w:noWrap/>
            <w:vAlign w:val="bottom"/>
            <w:hideMark/>
          </w:tcPr>
          <w:p w14:paraId="34A456B6"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0.030</w:t>
            </w:r>
          </w:p>
        </w:tc>
        <w:tc>
          <w:tcPr>
            <w:tcW w:w="612" w:type="pct"/>
            <w:tcBorders>
              <w:top w:val="nil"/>
              <w:left w:val="nil"/>
              <w:bottom w:val="nil"/>
              <w:right w:val="nil"/>
            </w:tcBorders>
            <w:shd w:val="clear" w:color="auto" w:fill="auto"/>
            <w:noWrap/>
            <w:vAlign w:val="bottom"/>
            <w:hideMark/>
          </w:tcPr>
          <w:p w14:paraId="1F9F4156"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0.083</w:t>
            </w:r>
          </w:p>
        </w:tc>
      </w:tr>
      <w:tr w:rsidR="005D0883" w:rsidRPr="005D0883" w14:paraId="51A56711" w14:textId="77777777" w:rsidTr="00646F36">
        <w:trPr>
          <w:trHeight w:val="20"/>
        </w:trPr>
        <w:tc>
          <w:tcPr>
            <w:tcW w:w="1314" w:type="pct"/>
            <w:tcBorders>
              <w:top w:val="nil"/>
              <w:left w:val="nil"/>
              <w:bottom w:val="nil"/>
              <w:right w:val="nil"/>
            </w:tcBorders>
            <w:shd w:val="clear" w:color="auto" w:fill="auto"/>
            <w:noWrap/>
            <w:vAlign w:val="bottom"/>
            <w:hideMark/>
          </w:tcPr>
          <w:p w14:paraId="280C3101"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NVQ 3- GCE A</w:t>
            </w:r>
          </w:p>
        </w:tc>
        <w:tc>
          <w:tcPr>
            <w:tcW w:w="615" w:type="pct"/>
            <w:tcBorders>
              <w:top w:val="nil"/>
              <w:left w:val="nil"/>
              <w:bottom w:val="nil"/>
              <w:right w:val="nil"/>
            </w:tcBorders>
            <w:shd w:val="clear" w:color="auto" w:fill="auto"/>
            <w:noWrap/>
            <w:vAlign w:val="bottom"/>
            <w:hideMark/>
          </w:tcPr>
          <w:p w14:paraId="76C0CBED"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-0.154***</w:t>
            </w:r>
          </w:p>
        </w:tc>
        <w:tc>
          <w:tcPr>
            <w:tcW w:w="615" w:type="pct"/>
            <w:tcBorders>
              <w:top w:val="nil"/>
              <w:left w:val="nil"/>
              <w:bottom w:val="nil"/>
              <w:right w:val="nil"/>
            </w:tcBorders>
            <w:shd w:val="clear" w:color="auto" w:fill="auto"/>
            <w:noWrap/>
            <w:vAlign w:val="bottom"/>
            <w:hideMark/>
          </w:tcPr>
          <w:p w14:paraId="5D5C37C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-0.071***</w:t>
            </w:r>
          </w:p>
        </w:tc>
        <w:tc>
          <w:tcPr>
            <w:tcW w:w="615" w:type="pct"/>
            <w:tcBorders>
              <w:top w:val="nil"/>
              <w:left w:val="nil"/>
              <w:bottom w:val="nil"/>
              <w:right w:val="nil"/>
            </w:tcBorders>
            <w:shd w:val="clear" w:color="auto" w:fill="auto"/>
            <w:noWrap/>
            <w:vAlign w:val="bottom"/>
            <w:hideMark/>
          </w:tcPr>
          <w:p w14:paraId="35D406A3"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-0.077***</w:t>
            </w:r>
          </w:p>
        </w:tc>
        <w:tc>
          <w:tcPr>
            <w:tcW w:w="615" w:type="pct"/>
            <w:tcBorders>
              <w:top w:val="nil"/>
              <w:left w:val="nil"/>
              <w:bottom w:val="nil"/>
              <w:right w:val="nil"/>
            </w:tcBorders>
            <w:shd w:val="clear" w:color="auto" w:fill="auto"/>
            <w:noWrap/>
            <w:vAlign w:val="bottom"/>
            <w:hideMark/>
          </w:tcPr>
          <w:p w14:paraId="220F6A0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-0.143***</w:t>
            </w:r>
          </w:p>
        </w:tc>
        <w:tc>
          <w:tcPr>
            <w:tcW w:w="615" w:type="pct"/>
            <w:tcBorders>
              <w:top w:val="nil"/>
              <w:left w:val="nil"/>
              <w:bottom w:val="nil"/>
              <w:right w:val="nil"/>
            </w:tcBorders>
            <w:shd w:val="clear" w:color="auto" w:fill="auto"/>
            <w:noWrap/>
            <w:vAlign w:val="bottom"/>
            <w:hideMark/>
          </w:tcPr>
          <w:p w14:paraId="4463DEC5"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-0.238***</w:t>
            </w:r>
          </w:p>
        </w:tc>
        <w:tc>
          <w:tcPr>
            <w:tcW w:w="612" w:type="pct"/>
            <w:tcBorders>
              <w:top w:val="nil"/>
              <w:left w:val="nil"/>
              <w:bottom w:val="nil"/>
              <w:right w:val="nil"/>
            </w:tcBorders>
            <w:shd w:val="clear" w:color="auto" w:fill="auto"/>
            <w:noWrap/>
            <w:vAlign w:val="bottom"/>
            <w:hideMark/>
          </w:tcPr>
          <w:p w14:paraId="4665FCF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-0.553***</w:t>
            </w:r>
          </w:p>
        </w:tc>
      </w:tr>
      <w:tr w:rsidR="005D0883" w:rsidRPr="005D0883" w14:paraId="3E9776BC" w14:textId="77777777" w:rsidTr="00646F36">
        <w:trPr>
          <w:trHeight w:val="20"/>
        </w:trPr>
        <w:tc>
          <w:tcPr>
            <w:tcW w:w="1314" w:type="pct"/>
            <w:tcBorders>
              <w:top w:val="nil"/>
              <w:left w:val="nil"/>
              <w:bottom w:val="nil"/>
              <w:right w:val="nil"/>
            </w:tcBorders>
            <w:shd w:val="clear" w:color="auto" w:fill="auto"/>
            <w:noWrap/>
            <w:vAlign w:val="bottom"/>
            <w:hideMark/>
          </w:tcPr>
          <w:p w14:paraId="516FD5E2"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4A6D2FB8"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0.013</w:t>
            </w:r>
          </w:p>
        </w:tc>
        <w:tc>
          <w:tcPr>
            <w:tcW w:w="615" w:type="pct"/>
            <w:tcBorders>
              <w:top w:val="nil"/>
              <w:left w:val="nil"/>
              <w:bottom w:val="nil"/>
              <w:right w:val="nil"/>
            </w:tcBorders>
            <w:shd w:val="clear" w:color="auto" w:fill="auto"/>
            <w:noWrap/>
            <w:vAlign w:val="bottom"/>
            <w:hideMark/>
          </w:tcPr>
          <w:p w14:paraId="59CC7FE8"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0.011</w:t>
            </w:r>
          </w:p>
        </w:tc>
        <w:tc>
          <w:tcPr>
            <w:tcW w:w="615" w:type="pct"/>
            <w:tcBorders>
              <w:top w:val="nil"/>
              <w:left w:val="nil"/>
              <w:bottom w:val="nil"/>
              <w:right w:val="nil"/>
            </w:tcBorders>
            <w:shd w:val="clear" w:color="auto" w:fill="auto"/>
            <w:noWrap/>
            <w:vAlign w:val="bottom"/>
            <w:hideMark/>
          </w:tcPr>
          <w:p w14:paraId="1553CDD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0.010</w:t>
            </w:r>
          </w:p>
        </w:tc>
        <w:tc>
          <w:tcPr>
            <w:tcW w:w="615" w:type="pct"/>
            <w:tcBorders>
              <w:top w:val="nil"/>
              <w:left w:val="nil"/>
              <w:bottom w:val="nil"/>
              <w:right w:val="nil"/>
            </w:tcBorders>
            <w:shd w:val="clear" w:color="auto" w:fill="auto"/>
            <w:noWrap/>
            <w:vAlign w:val="bottom"/>
            <w:hideMark/>
          </w:tcPr>
          <w:p w14:paraId="4B0D3DF3"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0.012</w:t>
            </w:r>
          </w:p>
        </w:tc>
        <w:tc>
          <w:tcPr>
            <w:tcW w:w="615" w:type="pct"/>
            <w:tcBorders>
              <w:top w:val="nil"/>
              <w:left w:val="nil"/>
              <w:bottom w:val="nil"/>
              <w:right w:val="nil"/>
            </w:tcBorders>
            <w:shd w:val="clear" w:color="auto" w:fill="auto"/>
            <w:noWrap/>
            <w:vAlign w:val="bottom"/>
            <w:hideMark/>
          </w:tcPr>
          <w:p w14:paraId="560E62A0"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0.026</w:t>
            </w:r>
          </w:p>
        </w:tc>
        <w:tc>
          <w:tcPr>
            <w:tcW w:w="612" w:type="pct"/>
            <w:tcBorders>
              <w:top w:val="nil"/>
              <w:left w:val="nil"/>
              <w:bottom w:val="nil"/>
              <w:right w:val="nil"/>
            </w:tcBorders>
            <w:shd w:val="clear" w:color="auto" w:fill="auto"/>
            <w:noWrap/>
            <w:vAlign w:val="bottom"/>
            <w:hideMark/>
          </w:tcPr>
          <w:p w14:paraId="00EA7BA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0.073</w:t>
            </w:r>
          </w:p>
        </w:tc>
      </w:tr>
      <w:tr w:rsidR="005D0883" w:rsidRPr="005D0883" w14:paraId="238A1ACE" w14:textId="77777777" w:rsidTr="00646F36">
        <w:trPr>
          <w:trHeight w:val="20"/>
        </w:trPr>
        <w:tc>
          <w:tcPr>
            <w:tcW w:w="1314" w:type="pct"/>
            <w:tcBorders>
              <w:top w:val="nil"/>
              <w:left w:val="nil"/>
              <w:bottom w:val="nil"/>
              <w:right w:val="nil"/>
            </w:tcBorders>
            <w:shd w:val="clear" w:color="auto" w:fill="auto"/>
            <w:hideMark/>
          </w:tcPr>
          <w:p w14:paraId="53B2F0CD"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NVQ 2 – GCE 0</w:t>
            </w:r>
          </w:p>
        </w:tc>
        <w:tc>
          <w:tcPr>
            <w:tcW w:w="615" w:type="pct"/>
            <w:tcBorders>
              <w:top w:val="nil"/>
              <w:left w:val="nil"/>
              <w:bottom w:val="nil"/>
              <w:right w:val="nil"/>
            </w:tcBorders>
            <w:shd w:val="clear" w:color="auto" w:fill="auto"/>
            <w:noWrap/>
            <w:vAlign w:val="bottom"/>
            <w:hideMark/>
          </w:tcPr>
          <w:p w14:paraId="12CCB9F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-0.107***</w:t>
            </w:r>
          </w:p>
        </w:tc>
        <w:tc>
          <w:tcPr>
            <w:tcW w:w="615" w:type="pct"/>
            <w:tcBorders>
              <w:top w:val="nil"/>
              <w:left w:val="nil"/>
              <w:bottom w:val="nil"/>
              <w:right w:val="nil"/>
            </w:tcBorders>
            <w:shd w:val="clear" w:color="auto" w:fill="auto"/>
            <w:noWrap/>
            <w:vAlign w:val="bottom"/>
            <w:hideMark/>
          </w:tcPr>
          <w:p w14:paraId="53083717"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-0.042***</w:t>
            </w:r>
          </w:p>
        </w:tc>
        <w:tc>
          <w:tcPr>
            <w:tcW w:w="615" w:type="pct"/>
            <w:tcBorders>
              <w:top w:val="nil"/>
              <w:left w:val="nil"/>
              <w:bottom w:val="nil"/>
              <w:right w:val="nil"/>
            </w:tcBorders>
            <w:shd w:val="clear" w:color="auto" w:fill="auto"/>
            <w:noWrap/>
            <w:vAlign w:val="bottom"/>
            <w:hideMark/>
          </w:tcPr>
          <w:p w14:paraId="7D3643D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-0.044***</w:t>
            </w:r>
          </w:p>
        </w:tc>
        <w:tc>
          <w:tcPr>
            <w:tcW w:w="615" w:type="pct"/>
            <w:tcBorders>
              <w:top w:val="nil"/>
              <w:left w:val="nil"/>
              <w:bottom w:val="nil"/>
              <w:right w:val="nil"/>
            </w:tcBorders>
            <w:shd w:val="clear" w:color="auto" w:fill="auto"/>
            <w:noWrap/>
            <w:vAlign w:val="bottom"/>
            <w:hideMark/>
          </w:tcPr>
          <w:p w14:paraId="25D4C0A8"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-0.088***</w:t>
            </w:r>
          </w:p>
        </w:tc>
        <w:tc>
          <w:tcPr>
            <w:tcW w:w="615" w:type="pct"/>
            <w:tcBorders>
              <w:top w:val="nil"/>
              <w:left w:val="nil"/>
              <w:bottom w:val="nil"/>
              <w:right w:val="nil"/>
            </w:tcBorders>
            <w:shd w:val="clear" w:color="auto" w:fill="auto"/>
            <w:noWrap/>
            <w:vAlign w:val="bottom"/>
            <w:hideMark/>
          </w:tcPr>
          <w:p w14:paraId="6DEFC02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-0.195***</w:t>
            </w:r>
          </w:p>
        </w:tc>
        <w:tc>
          <w:tcPr>
            <w:tcW w:w="612" w:type="pct"/>
            <w:tcBorders>
              <w:top w:val="nil"/>
              <w:left w:val="nil"/>
              <w:bottom w:val="nil"/>
              <w:right w:val="nil"/>
            </w:tcBorders>
            <w:shd w:val="clear" w:color="auto" w:fill="auto"/>
            <w:noWrap/>
            <w:vAlign w:val="bottom"/>
            <w:hideMark/>
          </w:tcPr>
          <w:p w14:paraId="21AA7653"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-0.480***</w:t>
            </w:r>
          </w:p>
        </w:tc>
      </w:tr>
      <w:tr w:rsidR="005D0883" w:rsidRPr="005D0883" w14:paraId="1FA912AF" w14:textId="77777777" w:rsidTr="00646F36">
        <w:trPr>
          <w:trHeight w:val="20"/>
        </w:trPr>
        <w:tc>
          <w:tcPr>
            <w:tcW w:w="1314" w:type="pct"/>
            <w:tcBorders>
              <w:top w:val="nil"/>
              <w:left w:val="nil"/>
              <w:bottom w:val="nil"/>
              <w:right w:val="nil"/>
            </w:tcBorders>
            <w:shd w:val="clear" w:color="auto" w:fill="auto"/>
            <w:noWrap/>
            <w:vAlign w:val="bottom"/>
            <w:hideMark/>
          </w:tcPr>
          <w:p w14:paraId="043323B6"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38EDAC8C"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0.012</w:t>
            </w:r>
          </w:p>
        </w:tc>
        <w:tc>
          <w:tcPr>
            <w:tcW w:w="615" w:type="pct"/>
            <w:tcBorders>
              <w:top w:val="nil"/>
              <w:left w:val="nil"/>
              <w:bottom w:val="nil"/>
              <w:right w:val="nil"/>
            </w:tcBorders>
            <w:shd w:val="clear" w:color="auto" w:fill="auto"/>
            <w:noWrap/>
            <w:vAlign w:val="bottom"/>
            <w:hideMark/>
          </w:tcPr>
          <w:p w14:paraId="11014FE1"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0.009</w:t>
            </w:r>
          </w:p>
        </w:tc>
        <w:tc>
          <w:tcPr>
            <w:tcW w:w="615" w:type="pct"/>
            <w:tcBorders>
              <w:top w:val="nil"/>
              <w:left w:val="nil"/>
              <w:bottom w:val="nil"/>
              <w:right w:val="nil"/>
            </w:tcBorders>
            <w:shd w:val="clear" w:color="auto" w:fill="auto"/>
            <w:noWrap/>
            <w:vAlign w:val="bottom"/>
            <w:hideMark/>
          </w:tcPr>
          <w:p w14:paraId="7A62161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0.008</w:t>
            </w:r>
          </w:p>
        </w:tc>
        <w:tc>
          <w:tcPr>
            <w:tcW w:w="615" w:type="pct"/>
            <w:tcBorders>
              <w:top w:val="nil"/>
              <w:left w:val="nil"/>
              <w:bottom w:val="nil"/>
              <w:right w:val="nil"/>
            </w:tcBorders>
            <w:shd w:val="clear" w:color="auto" w:fill="auto"/>
            <w:noWrap/>
            <w:vAlign w:val="bottom"/>
            <w:hideMark/>
          </w:tcPr>
          <w:p w14:paraId="1FF7839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0.011</w:t>
            </w:r>
          </w:p>
        </w:tc>
        <w:tc>
          <w:tcPr>
            <w:tcW w:w="615" w:type="pct"/>
            <w:tcBorders>
              <w:top w:val="nil"/>
              <w:left w:val="nil"/>
              <w:bottom w:val="nil"/>
              <w:right w:val="nil"/>
            </w:tcBorders>
            <w:shd w:val="clear" w:color="auto" w:fill="auto"/>
            <w:noWrap/>
            <w:vAlign w:val="bottom"/>
            <w:hideMark/>
          </w:tcPr>
          <w:p w14:paraId="75813503"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0.025</w:t>
            </w:r>
          </w:p>
        </w:tc>
        <w:tc>
          <w:tcPr>
            <w:tcW w:w="612" w:type="pct"/>
            <w:tcBorders>
              <w:top w:val="nil"/>
              <w:left w:val="nil"/>
              <w:bottom w:val="nil"/>
              <w:right w:val="nil"/>
            </w:tcBorders>
            <w:shd w:val="clear" w:color="auto" w:fill="auto"/>
            <w:noWrap/>
            <w:vAlign w:val="bottom"/>
            <w:hideMark/>
          </w:tcPr>
          <w:p w14:paraId="78DBB48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0.070</w:t>
            </w:r>
          </w:p>
        </w:tc>
      </w:tr>
      <w:tr w:rsidR="005D0883" w:rsidRPr="005D0883" w14:paraId="364D82FC" w14:textId="77777777" w:rsidTr="00646F36">
        <w:trPr>
          <w:trHeight w:val="20"/>
        </w:trPr>
        <w:tc>
          <w:tcPr>
            <w:tcW w:w="1314" w:type="pct"/>
            <w:tcBorders>
              <w:top w:val="nil"/>
              <w:left w:val="nil"/>
              <w:bottom w:val="nil"/>
              <w:right w:val="nil"/>
            </w:tcBorders>
            <w:shd w:val="clear" w:color="auto" w:fill="auto"/>
            <w:hideMark/>
          </w:tcPr>
          <w:p w14:paraId="343E7840" w14:textId="77777777" w:rsidR="005D0883" w:rsidRPr="005D0883" w:rsidRDefault="005D0883" w:rsidP="005D0883">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NVQ1 – CSE</w:t>
            </w:r>
          </w:p>
        </w:tc>
        <w:tc>
          <w:tcPr>
            <w:tcW w:w="615" w:type="pct"/>
            <w:tcBorders>
              <w:top w:val="nil"/>
              <w:left w:val="nil"/>
              <w:bottom w:val="nil"/>
              <w:right w:val="nil"/>
            </w:tcBorders>
            <w:shd w:val="clear" w:color="auto" w:fill="auto"/>
            <w:noWrap/>
            <w:vAlign w:val="bottom"/>
            <w:hideMark/>
          </w:tcPr>
          <w:p w14:paraId="5B97FD53"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-0.094***</w:t>
            </w:r>
          </w:p>
        </w:tc>
        <w:tc>
          <w:tcPr>
            <w:tcW w:w="615" w:type="pct"/>
            <w:tcBorders>
              <w:top w:val="nil"/>
              <w:left w:val="nil"/>
              <w:bottom w:val="nil"/>
              <w:right w:val="nil"/>
            </w:tcBorders>
            <w:shd w:val="clear" w:color="auto" w:fill="auto"/>
            <w:noWrap/>
            <w:vAlign w:val="bottom"/>
            <w:hideMark/>
          </w:tcPr>
          <w:p w14:paraId="70DE3D54"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-0.018</w:t>
            </w:r>
          </w:p>
        </w:tc>
        <w:tc>
          <w:tcPr>
            <w:tcW w:w="615" w:type="pct"/>
            <w:tcBorders>
              <w:top w:val="nil"/>
              <w:left w:val="nil"/>
              <w:bottom w:val="nil"/>
              <w:right w:val="nil"/>
            </w:tcBorders>
            <w:shd w:val="clear" w:color="auto" w:fill="auto"/>
            <w:noWrap/>
            <w:vAlign w:val="bottom"/>
            <w:hideMark/>
          </w:tcPr>
          <w:p w14:paraId="18E3BA1A"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-0.023*</w:t>
            </w:r>
          </w:p>
        </w:tc>
        <w:tc>
          <w:tcPr>
            <w:tcW w:w="615" w:type="pct"/>
            <w:tcBorders>
              <w:top w:val="nil"/>
              <w:left w:val="nil"/>
              <w:bottom w:val="nil"/>
              <w:right w:val="nil"/>
            </w:tcBorders>
            <w:shd w:val="clear" w:color="auto" w:fill="auto"/>
            <w:noWrap/>
            <w:vAlign w:val="bottom"/>
            <w:hideMark/>
          </w:tcPr>
          <w:p w14:paraId="73673136"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-0.071***</w:t>
            </w:r>
          </w:p>
        </w:tc>
        <w:tc>
          <w:tcPr>
            <w:tcW w:w="615" w:type="pct"/>
            <w:tcBorders>
              <w:top w:val="nil"/>
              <w:left w:val="nil"/>
              <w:bottom w:val="nil"/>
              <w:right w:val="nil"/>
            </w:tcBorders>
            <w:shd w:val="clear" w:color="auto" w:fill="auto"/>
            <w:noWrap/>
            <w:vAlign w:val="bottom"/>
            <w:hideMark/>
          </w:tcPr>
          <w:p w14:paraId="58D7E68B"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-0.167***</w:t>
            </w:r>
          </w:p>
        </w:tc>
        <w:tc>
          <w:tcPr>
            <w:tcW w:w="612" w:type="pct"/>
            <w:tcBorders>
              <w:top w:val="nil"/>
              <w:left w:val="nil"/>
              <w:bottom w:val="nil"/>
              <w:right w:val="nil"/>
            </w:tcBorders>
            <w:shd w:val="clear" w:color="auto" w:fill="auto"/>
            <w:noWrap/>
            <w:vAlign w:val="bottom"/>
            <w:hideMark/>
          </w:tcPr>
          <w:p w14:paraId="6DB43B22"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-0.365***</w:t>
            </w:r>
          </w:p>
        </w:tc>
      </w:tr>
      <w:tr w:rsidR="005D0883" w:rsidRPr="005D0883" w14:paraId="19876CE9" w14:textId="77777777" w:rsidTr="00646F36">
        <w:trPr>
          <w:trHeight w:val="20"/>
        </w:trPr>
        <w:tc>
          <w:tcPr>
            <w:tcW w:w="1314" w:type="pct"/>
            <w:tcBorders>
              <w:top w:val="nil"/>
              <w:left w:val="nil"/>
              <w:bottom w:val="nil"/>
              <w:right w:val="nil"/>
            </w:tcBorders>
            <w:shd w:val="clear" w:color="auto" w:fill="auto"/>
            <w:noWrap/>
            <w:vAlign w:val="bottom"/>
            <w:hideMark/>
          </w:tcPr>
          <w:p w14:paraId="56A6CC4C"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57F855C7"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0.019</w:t>
            </w:r>
          </w:p>
        </w:tc>
        <w:tc>
          <w:tcPr>
            <w:tcW w:w="615" w:type="pct"/>
            <w:tcBorders>
              <w:top w:val="nil"/>
              <w:left w:val="nil"/>
              <w:bottom w:val="nil"/>
              <w:right w:val="nil"/>
            </w:tcBorders>
            <w:shd w:val="clear" w:color="auto" w:fill="auto"/>
            <w:noWrap/>
            <w:vAlign w:val="bottom"/>
            <w:hideMark/>
          </w:tcPr>
          <w:p w14:paraId="6CFF88C9"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0.014</w:t>
            </w:r>
          </w:p>
        </w:tc>
        <w:tc>
          <w:tcPr>
            <w:tcW w:w="615" w:type="pct"/>
            <w:tcBorders>
              <w:top w:val="nil"/>
              <w:left w:val="nil"/>
              <w:bottom w:val="nil"/>
              <w:right w:val="nil"/>
            </w:tcBorders>
            <w:shd w:val="clear" w:color="auto" w:fill="auto"/>
            <w:noWrap/>
            <w:vAlign w:val="bottom"/>
            <w:hideMark/>
          </w:tcPr>
          <w:p w14:paraId="222F6A87"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0.013</w:t>
            </w:r>
          </w:p>
        </w:tc>
        <w:tc>
          <w:tcPr>
            <w:tcW w:w="615" w:type="pct"/>
            <w:tcBorders>
              <w:top w:val="nil"/>
              <w:left w:val="nil"/>
              <w:bottom w:val="nil"/>
              <w:right w:val="nil"/>
            </w:tcBorders>
            <w:shd w:val="clear" w:color="auto" w:fill="auto"/>
            <w:noWrap/>
            <w:vAlign w:val="bottom"/>
            <w:hideMark/>
          </w:tcPr>
          <w:p w14:paraId="101678EA"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0.018</w:t>
            </w:r>
          </w:p>
        </w:tc>
        <w:tc>
          <w:tcPr>
            <w:tcW w:w="615" w:type="pct"/>
            <w:tcBorders>
              <w:top w:val="nil"/>
              <w:left w:val="nil"/>
              <w:bottom w:val="nil"/>
              <w:right w:val="nil"/>
            </w:tcBorders>
            <w:shd w:val="clear" w:color="auto" w:fill="auto"/>
            <w:noWrap/>
            <w:vAlign w:val="bottom"/>
            <w:hideMark/>
          </w:tcPr>
          <w:p w14:paraId="49296181"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0.040</w:t>
            </w:r>
          </w:p>
        </w:tc>
        <w:tc>
          <w:tcPr>
            <w:tcW w:w="612" w:type="pct"/>
            <w:tcBorders>
              <w:top w:val="nil"/>
              <w:left w:val="nil"/>
              <w:bottom w:val="nil"/>
              <w:right w:val="nil"/>
            </w:tcBorders>
            <w:shd w:val="clear" w:color="auto" w:fill="auto"/>
            <w:noWrap/>
            <w:vAlign w:val="bottom"/>
            <w:hideMark/>
          </w:tcPr>
          <w:p w14:paraId="538E6A0E"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0.120</w:t>
            </w:r>
          </w:p>
        </w:tc>
      </w:tr>
      <w:tr w:rsidR="005A16C4" w:rsidRPr="005A16C4" w14:paraId="708728CF" w14:textId="77777777" w:rsidTr="00646F36">
        <w:trPr>
          <w:trHeight w:val="20"/>
        </w:trPr>
        <w:tc>
          <w:tcPr>
            <w:tcW w:w="1314" w:type="pct"/>
            <w:tcBorders>
              <w:top w:val="nil"/>
              <w:left w:val="nil"/>
              <w:bottom w:val="nil"/>
              <w:right w:val="nil"/>
            </w:tcBorders>
            <w:shd w:val="clear" w:color="auto" w:fill="auto"/>
            <w:noWrap/>
            <w:vAlign w:val="bottom"/>
            <w:hideMark/>
          </w:tcPr>
          <w:p w14:paraId="7B69E79B" w14:textId="77777777" w:rsidR="005A16C4" w:rsidRPr="00BC22E8" w:rsidRDefault="005A16C4" w:rsidP="005D0883">
            <w:pPr>
              <w:spacing w:after="0" w:line="240" w:lineRule="auto"/>
              <w:rPr>
                <w:rFonts w:ascii="Garamond" w:eastAsia="Times New Roman" w:hAnsi="Garamond" w:cs="Times New Roman"/>
                <w:color w:val="000000"/>
                <w:sz w:val="20"/>
                <w:szCs w:val="20"/>
                <w:lang w:val="it-IT" w:eastAsia="it-IT"/>
              </w:rPr>
            </w:pPr>
            <w:r w:rsidRPr="00BC22E8">
              <w:rPr>
                <w:rFonts w:ascii="Garamond" w:eastAsia="Times New Roman" w:hAnsi="Garamond" w:cs="Times New Roman"/>
                <w:color w:val="000000"/>
                <w:sz w:val="20"/>
                <w:szCs w:val="20"/>
                <w:lang w:val="it-IT" w:eastAsia="it-IT"/>
              </w:rPr>
              <w:t>Other  Qualifications</w:t>
            </w:r>
          </w:p>
        </w:tc>
        <w:tc>
          <w:tcPr>
            <w:tcW w:w="615" w:type="pct"/>
            <w:tcBorders>
              <w:top w:val="nil"/>
              <w:left w:val="nil"/>
              <w:bottom w:val="nil"/>
              <w:right w:val="nil"/>
            </w:tcBorders>
            <w:shd w:val="clear" w:color="auto" w:fill="auto"/>
            <w:noWrap/>
            <w:vAlign w:val="bottom"/>
            <w:hideMark/>
          </w:tcPr>
          <w:p w14:paraId="28E711A8" w14:textId="77777777" w:rsidR="005A16C4" w:rsidRPr="005A16C4" w:rsidRDefault="005A16C4" w:rsidP="00D5220A">
            <w:pPr>
              <w:spacing w:after="0" w:line="240" w:lineRule="auto"/>
              <w:jc w:val="both"/>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-0.116***</w:t>
            </w:r>
          </w:p>
        </w:tc>
        <w:tc>
          <w:tcPr>
            <w:tcW w:w="615" w:type="pct"/>
            <w:tcBorders>
              <w:top w:val="nil"/>
              <w:left w:val="nil"/>
              <w:bottom w:val="nil"/>
              <w:right w:val="nil"/>
            </w:tcBorders>
            <w:shd w:val="clear" w:color="auto" w:fill="auto"/>
            <w:noWrap/>
            <w:vAlign w:val="bottom"/>
            <w:hideMark/>
          </w:tcPr>
          <w:p w14:paraId="439D26AF" w14:textId="77777777" w:rsidR="005A16C4" w:rsidRPr="005A16C4" w:rsidRDefault="005A16C4" w:rsidP="00D5220A">
            <w:pPr>
              <w:spacing w:after="0" w:line="240" w:lineRule="auto"/>
              <w:jc w:val="both"/>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-0.018</w:t>
            </w:r>
          </w:p>
        </w:tc>
        <w:tc>
          <w:tcPr>
            <w:tcW w:w="615" w:type="pct"/>
            <w:tcBorders>
              <w:top w:val="nil"/>
              <w:left w:val="nil"/>
              <w:bottom w:val="nil"/>
              <w:right w:val="nil"/>
            </w:tcBorders>
            <w:shd w:val="clear" w:color="auto" w:fill="auto"/>
            <w:noWrap/>
            <w:vAlign w:val="bottom"/>
            <w:hideMark/>
          </w:tcPr>
          <w:p w14:paraId="7EE1DA71" w14:textId="77777777" w:rsidR="005A16C4" w:rsidRPr="005A16C4" w:rsidRDefault="005A16C4" w:rsidP="00D5220A">
            <w:pPr>
              <w:spacing w:after="0" w:line="240" w:lineRule="auto"/>
              <w:jc w:val="both"/>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-0.045***</w:t>
            </w:r>
          </w:p>
        </w:tc>
        <w:tc>
          <w:tcPr>
            <w:tcW w:w="615" w:type="pct"/>
            <w:tcBorders>
              <w:top w:val="nil"/>
              <w:left w:val="nil"/>
              <w:bottom w:val="nil"/>
              <w:right w:val="nil"/>
            </w:tcBorders>
            <w:shd w:val="clear" w:color="auto" w:fill="auto"/>
            <w:noWrap/>
            <w:vAlign w:val="bottom"/>
            <w:hideMark/>
          </w:tcPr>
          <w:p w14:paraId="39861D35" w14:textId="77777777" w:rsidR="005A16C4" w:rsidRPr="005A16C4" w:rsidRDefault="005A16C4" w:rsidP="00D5220A">
            <w:pPr>
              <w:spacing w:after="0" w:line="240" w:lineRule="auto"/>
              <w:jc w:val="both"/>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-0.092***</w:t>
            </w:r>
          </w:p>
        </w:tc>
        <w:tc>
          <w:tcPr>
            <w:tcW w:w="615" w:type="pct"/>
            <w:tcBorders>
              <w:top w:val="nil"/>
              <w:left w:val="nil"/>
              <w:bottom w:val="nil"/>
              <w:right w:val="nil"/>
            </w:tcBorders>
            <w:shd w:val="clear" w:color="auto" w:fill="auto"/>
            <w:noWrap/>
            <w:vAlign w:val="bottom"/>
            <w:hideMark/>
          </w:tcPr>
          <w:p w14:paraId="691B5357" w14:textId="77777777" w:rsidR="005A16C4" w:rsidRPr="005A16C4" w:rsidRDefault="005A16C4" w:rsidP="00D5220A">
            <w:pPr>
              <w:spacing w:after="0" w:line="240" w:lineRule="auto"/>
              <w:jc w:val="both"/>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-0.257***</w:t>
            </w:r>
          </w:p>
        </w:tc>
        <w:tc>
          <w:tcPr>
            <w:tcW w:w="612" w:type="pct"/>
            <w:tcBorders>
              <w:top w:val="nil"/>
              <w:left w:val="nil"/>
              <w:bottom w:val="nil"/>
              <w:right w:val="nil"/>
            </w:tcBorders>
            <w:shd w:val="clear" w:color="auto" w:fill="auto"/>
            <w:noWrap/>
            <w:vAlign w:val="bottom"/>
            <w:hideMark/>
          </w:tcPr>
          <w:p w14:paraId="58592FAF" w14:textId="77777777" w:rsidR="005A16C4" w:rsidRPr="005A16C4" w:rsidRDefault="005A16C4" w:rsidP="00D5220A">
            <w:pPr>
              <w:spacing w:after="0" w:line="240" w:lineRule="auto"/>
              <w:jc w:val="both"/>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-0.533***</w:t>
            </w:r>
          </w:p>
        </w:tc>
      </w:tr>
      <w:tr w:rsidR="005A16C4" w:rsidRPr="005A16C4" w14:paraId="7EC7BDF6" w14:textId="77777777" w:rsidTr="00646F36">
        <w:trPr>
          <w:trHeight w:val="20"/>
        </w:trPr>
        <w:tc>
          <w:tcPr>
            <w:tcW w:w="1314" w:type="pct"/>
            <w:tcBorders>
              <w:top w:val="nil"/>
              <w:left w:val="nil"/>
              <w:bottom w:val="nil"/>
              <w:right w:val="nil"/>
            </w:tcBorders>
            <w:shd w:val="clear" w:color="auto" w:fill="auto"/>
            <w:noWrap/>
            <w:vAlign w:val="bottom"/>
            <w:hideMark/>
          </w:tcPr>
          <w:p w14:paraId="0C357E0B" w14:textId="77777777" w:rsidR="005A16C4" w:rsidRPr="005A16C4" w:rsidRDefault="005A16C4" w:rsidP="005A16C4">
            <w:pPr>
              <w:spacing w:after="0" w:line="240" w:lineRule="auto"/>
              <w:jc w:val="center"/>
              <w:rPr>
                <w:rFonts w:ascii="Garamond" w:eastAsia="Times New Roman" w:hAnsi="Garamond" w:cs="Times New Roman"/>
                <w:i/>
                <w:color w:val="000000"/>
                <w:lang w:val="it-IT" w:eastAsia="it-IT"/>
              </w:rPr>
            </w:pPr>
          </w:p>
        </w:tc>
        <w:tc>
          <w:tcPr>
            <w:tcW w:w="615" w:type="pct"/>
            <w:tcBorders>
              <w:top w:val="nil"/>
              <w:left w:val="nil"/>
              <w:bottom w:val="nil"/>
              <w:right w:val="nil"/>
            </w:tcBorders>
            <w:shd w:val="clear" w:color="auto" w:fill="auto"/>
            <w:noWrap/>
            <w:vAlign w:val="bottom"/>
            <w:hideMark/>
          </w:tcPr>
          <w:p w14:paraId="7B3134C0" w14:textId="77777777" w:rsidR="005A16C4" w:rsidRPr="005A16C4" w:rsidRDefault="005A16C4" w:rsidP="00D5220A">
            <w:pPr>
              <w:spacing w:after="0" w:line="240" w:lineRule="auto"/>
              <w:jc w:val="both"/>
              <w:rPr>
                <w:rFonts w:ascii="Garamond" w:eastAsia="Times New Roman" w:hAnsi="Garamond" w:cs="Times New Roman"/>
                <w:i/>
                <w:color w:val="000000"/>
                <w:lang w:val="it-IT" w:eastAsia="it-IT"/>
              </w:rPr>
            </w:pPr>
            <w:r w:rsidRPr="005A16C4">
              <w:rPr>
                <w:rFonts w:ascii="Garamond" w:eastAsia="Times New Roman" w:hAnsi="Garamond" w:cs="Times New Roman"/>
                <w:i/>
                <w:color w:val="000000"/>
                <w:lang w:val="it-IT" w:eastAsia="it-IT"/>
              </w:rPr>
              <w:t>0.027</w:t>
            </w:r>
          </w:p>
        </w:tc>
        <w:tc>
          <w:tcPr>
            <w:tcW w:w="615" w:type="pct"/>
            <w:tcBorders>
              <w:top w:val="nil"/>
              <w:left w:val="nil"/>
              <w:bottom w:val="nil"/>
              <w:right w:val="nil"/>
            </w:tcBorders>
            <w:shd w:val="clear" w:color="auto" w:fill="auto"/>
            <w:noWrap/>
            <w:vAlign w:val="bottom"/>
            <w:hideMark/>
          </w:tcPr>
          <w:p w14:paraId="29C191E7" w14:textId="77777777" w:rsidR="005A16C4" w:rsidRPr="005A16C4" w:rsidRDefault="005A16C4" w:rsidP="00D5220A">
            <w:pPr>
              <w:spacing w:after="0" w:line="240" w:lineRule="auto"/>
              <w:jc w:val="both"/>
              <w:rPr>
                <w:rFonts w:ascii="Garamond" w:eastAsia="Times New Roman" w:hAnsi="Garamond" w:cs="Times New Roman"/>
                <w:i/>
                <w:color w:val="000000"/>
                <w:lang w:val="it-IT" w:eastAsia="it-IT"/>
              </w:rPr>
            </w:pPr>
            <w:r w:rsidRPr="005A16C4">
              <w:rPr>
                <w:rFonts w:ascii="Garamond" w:eastAsia="Times New Roman" w:hAnsi="Garamond" w:cs="Times New Roman"/>
                <w:i/>
                <w:color w:val="000000"/>
                <w:lang w:val="it-IT" w:eastAsia="it-IT"/>
              </w:rPr>
              <w:t>0.018</w:t>
            </w:r>
          </w:p>
        </w:tc>
        <w:tc>
          <w:tcPr>
            <w:tcW w:w="615" w:type="pct"/>
            <w:tcBorders>
              <w:top w:val="nil"/>
              <w:left w:val="nil"/>
              <w:bottom w:val="nil"/>
              <w:right w:val="nil"/>
            </w:tcBorders>
            <w:shd w:val="clear" w:color="auto" w:fill="auto"/>
            <w:noWrap/>
            <w:vAlign w:val="bottom"/>
            <w:hideMark/>
          </w:tcPr>
          <w:p w14:paraId="020710FB" w14:textId="77777777" w:rsidR="005A16C4" w:rsidRPr="005A16C4" w:rsidRDefault="005A16C4" w:rsidP="00D5220A">
            <w:pPr>
              <w:spacing w:after="0" w:line="240" w:lineRule="auto"/>
              <w:jc w:val="both"/>
              <w:rPr>
                <w:rFonts w:ascii="Garamond" w:eastAsia="Times New Roman" w:hAnsi="Garamond" w:cs="Times New Roman"/>
                <w:i/>
                <w:color w:val="000000"/>
                <w:lang w:val="it-IT" w:eastAsia="it-IT"/>
              </w:rPr>
            </w:pPr>
            <w:r w:rsidRPr="005A16C4">
              <w:rPr>
                <w:rFonts w:ascii="Garamond" w:eastAsia="Times New Roman" w:hAnsi="Garamond" w:cs="Times New Roman"/>
                <w:i/>
                <w:color w:val="000000"/>
                <w:lang w:val="it-IT" w:eastAsia="it-IT"/>
              </w:rPr>
              <w:t>0.017</w:t>
            </w:r>
          </w:p>
        </w:tc>
        <w:tc>
          <w:tcPr>
            <w:tcW w:w="615" w:type="pct"/>
            <w:tcBorders>
              <w:top w:val="nil"/>
              <w:left w:val="nil"/>
              <w:bottom w:val="nil"/>
              <w:right w:val="nil"/>
            </w:tcBorders>
            <w:shd w:val="clear" w:color="auto" w:fill="auto"/>
            <w:noWrap/>
            <w:vAlign w:val="bottom"/>
            <w:hideMark/>
          </w:tcPr>
          <w:p w14:paraId="64231A4A" w14:textId="77777777" w:rsidR="005A16C4" w:rsidRPr="005A16C4" w:rsidRDefault="005A16C4" w:rsidP="00D5220A">
            <w:pPr>
              <w:spacing w:after="0" w:line="240" w:lineRule="auto"/>
              <w:jc w:val="both"/>
              <w:rPr>
                <w:rFonts w:ascii="Garamond" w:eastAsia="Times New Roman" w:hAnsi="Garamond" w:cs="Times New Roman"/>
                <w:i/>
                <w:color w:val="000000"/>
                <w:lang w:val="it-IT" w:eastAsia="it-IT"/>
              </w:rPr>
            </w:pPr>
            <w:r w:rsidRPr="005A16C4">
              <w:rPr>
                <w:rFonts w:ascii="Garamond" w:eastAsia="Times New Roman" w:hAnsi="Garamond" w:cs="Times New Roman"/>
                <w:i/>
                <w:color w:val="000000"/>
                <w:lang w:val="it-IT" w:eastAsia="it-IT"/>
              </w:rPr>
              <w:t>0.024</w:t>
            </w:r>
          </w:p>
        </w:tc>
        <w:tc>
          <w:tcPr>
            <w:tcW w:w="615" w:type="pct"/>
            <w:tcBorders>
              <w:top w:val="nil"/>
              <w:left w:val="nil"/>
              <w:bottom w:val="nil"/>
              <w:right w:val="nil"/>
            </w:tcBorders>
            <w:shd w:val="clear" w:color="auto" w:fill="auto"/>
            <w:noWrap/>
            <w:vAlign w:val="bottom"/>
            <w:hideMark/>
          </w:tcPr>
          <w:p w14:paraId="31B47010" w14:textId="77777777" w:rsidR="005A16C4" w:rsidRPr="005A16C4" w:rsidRDefault="005A16C4" w:rsidP="00D5220A">
            <w:pPr>
              <w:spacing w:after="0" w:line="240" w:lineRule="auto"/>
              <w:jc w:val="both"/>
              <w:rPr>
                <w:rFonts w:ascii="Garamond" w:eastAsia="Times New Roman" w:hAnsi="Garamond" w:cs="Times New Roman"/>
                <w:i/>
                <w:color w:val="000000"/>
                <w:lang w:val="it-IT" w:eastAsia="it-IT"/>
              </w:rPr>
            </w:pPr>
            <w:r w:rsidRPr="005A16C4">
              <w:rPr>
                <w:rFonts w:ascii="Garamond" w:eastAsia="Times New Roman" w:hAnsi="Garamond" w:cs="Times New Roman"/>
                <w:i/>
                <w:color w:val="000000"/>
                <w:lang w:val="it-IT" w:eastAsia="it-IT"/>
              </w:rPr>
              <w:t>0.058</w:t>
            </w:r>
          </w:p>
        </w:tc>
        <w:tc>
          <w:tcPr>
            <w:tcW w:w="612" w:type="pct"/>
            <w:tcBorders>
              <w:top w:val="nil"/>
              <w:left w:val="nil"/>
              <w:bottom w:val="nil"/>
              <w:right w:val="nil"/>
            </w:tcBorders>
            <w:shd w:val="clear" w:color="auto" w:fill="auto"/>
            <w:noWrap/>
            <w:vAlign w:val="bottom"/>
            <w:hideMark/>
          </w:tcPr>
          <w:p w14:paraId="723BE4DC" w14:textId="77777777" w:rsidR="005A16C4" w:rsidRPr="005A16C4" w:rsidRDefault="005A16C4" w:rsidP="00D5220A">
            <w:pPr>
              <w:spacing w:after="0" w:line="240" w:lineRule="auto"/>
              <w:jc w:val="both"/>
              <w:rPr>
                <w:rFonts w:ascii="Garamond" w:eastAsia="Times New Roman" w:hAnsi="Garamond" w:cs="Times New Roman"/>
                <w:i/>
                <w:color w:val="000000"/>
                <w:lang w:val="it-IT" w:eastAsia="it-IT"/>
              </w:rPr>
            </w:pPr>
            <w:r w:rsidRPr="005A16C4">
              <w:rPr>
                <w:rFonts w:ascii="Garamond" w:eastAsia="Times New Roman" w:hAnsi="Garamond" w:cs="Times New Roman"/>
                <w:i/>
                <w:color w:val="000000"/>
                <w:lang w:val="it-IT" w:eastAsia="it-IT"/>
              </w:rPr>
              <w:t>0.162</w:t>
            </w:r>
          </w:p>
        </w:tc>
      </w:tr>
      <w:tr w:rsidR="005D0883" w:rsidRPr="005D0883" w14:paraId="29AE76A2" w14:textId="77777777" w:rsidTr="00646F36">
        <w:trPr>
          <w:trHeight w:val="20"/>
        </w:trPr>
        <w:tc>
          <w:tcPr>
            <w:tcW w:w="1314" w:type="pct"/>
            <w:tcBorders>
              <w:top w:val="nil"/>
              <w:left w:val="nil"/>
              <w:bottom w:val="nil"/>
              <w:right w:val="nil"/>
            </w:tcBorders>
            <w:shd w:val="clear" w:color="auto" w:fill="auto"/>
            <w:noWrap/>
            <w:vAlign w:val="bottom"/>
            <w:hideMark/>
          </w:tcPr>
          <w:p w14:paraId="4FCF71E3" w14:textId="77777777" w:rsidR="005D0883" w:rsidRPr="005D0883" w:rsidRDefault="005D0883" w:rsidP="005D0883">
            <w:pPr>
              <w:spacing w:after="0" w:line="240" w:lineRule="auto"/>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Constant</w:t>
            </w:r>
          </w:p>
        </w:tc>
        <w:tc>
          <w:tcPr>
            <w:tcW w:w="615" w:type="pct"/>
            <w:tcBorders>
              <w:top w:val="nil"/>
              <w:left w:val="nil"/>
              <w:bottom w:val="nil"/>
              <w:right w:val="nil"/>
            </w:tcBorders>
            <w:shd w:val="clear" w:color="auto" w:fill="auto"/>
            <w:noWrap/>
            <w:vAlign w:val="bottom"/>
            <w:hideMark/>
          </w:tcPr>
          <w:p w14:paraId="6451047A"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6.043***</w:t>
            </w:r>
          </w:p>
        </w:tc>
        <w:tc>
          <w:tcPr>
            <w:tcW w:w="615" w:type="pct"/>
            <w:tcBorders>
              <w:top w:val="nil"/>
              <w:left w:val="nil"/>
              <w:bottom w:val="nil"/>
              <w:right w:val="nil"/>
            </w:tcBorders>
            <w:shd w:val="clear" w:color="auto" w:fill="auto"/>
            <w:noWrap/>
            <w:vAlign w:val="bottom"/>
            <w:hideMark/>
          </w:tcPr>
          <w:p w14:paraId="1325B58F"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5.407***</w:t>
            </w:r>
          </w:p>
        </w:tc>
        <w:tc>
          <w:tcPr>
            <w:tcW w:w="615" w:type="pct"/>
            <w:tcBorders>
              <w:top w:val="nil"/>
              <w:left w:val="nil"/>
              <w:bottom w:val="nil"/>
              <w:right w:val="nil"/>
            </w:tcBorders>
            <w:shd w:val="clear" w:color="auto" w:fill="auto"/>
            <w:noWrap/>
            <w:vAlign w:val="bottom"/>
            <w:hideMark/>
          </w:tcPr>
          <w:p w14:paraId="28B2DE61"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5.657***</w:t>
            </w:r>
          </w:p>
        </w:tc>
        <w:tc>
          <w:tcPr>
            <w:tcW w:w="615" w:type="pct"/>
            <w:tcBorders>
              <w:top w:val="nil"/>
              <w:left w:val="nil"/>
              <w:bottom w:val="nil"/>
              <w:right w:val="nil"/>
            </w:tcBorders>
            <w:shd w:val="clear" w:color="auto" w:fill="auto"/>
            <w:noWrap/>
            <w:vAlign w:val="bottom"/>
            <w:hideMark/>
          </w:tcPr>
          <w:p w14:paraId="710A0840"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6.126***</w:t>
            </w:r>
          </w:p>
        </w:tc>
        <w:tc>
          <w:tcPr>
            <w:tcW w:w="615" w:type="pct"/>
            <w:tcBorders>
              <w:top w:val="nil"/>
              <w:left w:val="nil"/>
              <w:bottom w:val="nil"/>
              <w:right w:val="nil"/>
            </w:tcBorders>
            <w:shd w:val="clear" w:color="auto" w:fill="auto"/>
            <w:noWrap/>
            <w:vAlign w:val="bottom"/>
            <w:hideMark/>
          </w:tcPr>
          <w:p w14:paraId="28EB775D"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6.827***</w:t>
            </w:r>
          </w:p>
        </w:tc>
        <w:tc>
          <w:tcPr>
            <w:tcW w:w="612" w:type="pct"/>
            <w:tcBorders>
              <w:top w:val="nil"/>
              <w:left w:val="nil"/>
              <w:bottom w:val="nil"/>
              <w:right w:val="nil"/>
            </w:tcBorders>
            <w:shd w:val="clear" w:color="auto" w:fill="auto"/>
            <w:noWrap/>
            <w:vAlign w:val="bottom"/>
            <w:hideMark/>
          </w:tcPr>
          <w:p w14:paraId="6C4EE4DA" w14:textId="77777777" w:rsidR="005D0883" w:rsidRPr="005D0883" w:rsidRDefault="005D0883" w:rsidP="00D5220A">
            <w:pPr>
              <w:spacing w:after="0" w:line="240" w:lineRule="auto"/>
              <w:jc w:val="both"/>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8.110***</w:t>
            </w:r>
          </w:p>
        </w:tc>
      </w:tr>
      <w:tr w:rsidR="005D0883" w:rsidRPr="005D0883" w14:paraId="78674712" w14:textId="77777777" w:rsidTr="00646F36">
        <w:trPr>
          <w:trHeight w:val="20"/>
        </w:trPr>
        <w:tc>
          <w:tcPr>
            <w:tcW w:w="1314" w:type="pct"/>
            <w:tcBorders>
              <w:top w:val="nil"/>
              <w:left w:val="nil"/>
              <w:bottom w:val="single" w:sz="4" w:space="0" w:color="auto"/>
              <w:right w:val="nil"/>
            </w:tcBorders>
            <w:shd w:val="clear" w:color="auto" w:fill="auto"/>
            <w:noWrap/>
            <w:vAlign w:val="bottom"/>
            <w:hideMark/>
          </w:tcPr>
          <w:p w14:paraId="2509ED02" w14:textId="77777777" w:rsidR="005D0883" w:rsidRPr="005D0883" w:rsidRDefault="005D0883" w:rsidP="005D0883">
            <w:pPr>
              <w:spacing w:after="0" w:line="240" w:lineRule="auto"/>
              <w:rPr>
                <w:rFonts w:ascii="Garamond" w:eastAsia="Times New Roman" w:hAnsi="Garamond" w:cs="Times New Roman"/>
                <w:i/>
                <w:color w:val="000000"/>
                <w:lang w:val="it-IT" w:eastAsia="it-IT"/>
              </w:rPr>
            </w:pPr>
          </w:p>
        </w:tc>
        <w:tc>
          <w:tcPr>
            <w:tcW w:w="615" w:type="pct"/>
            <w:tcBorders>
              <w:top w:val="nil"/>
              <w:left w:val="nil"/>
              <w:bottom w:val="single" w:sz="4" w:space="0" w:color="auto"/>
              <w:right w:val="nil"/>
            </w:tcBorders>
            <w:shd w:val="clear" w:color="auto" w:fill="auto"/>
            <w:noWrap/>
            <w:vAlign w:val="bottom"/>
            <w:hideMark/>
          </w:tcPr>
          <w:p w14:paraId="08D63C7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0.055</w:t>
            </w:r>
          </w:p>
        </w:tc>
        <w:tc>
          <w:tcPr>
            <w:tcW w:w="615" w:type="pct"/>
            <w:tcBorders>
              <w:top w:val="nil"/>
              <w:left w:val="nil"/>
              <w:bottom w:val="single" w:sz="4" w:space="0" w:color="auto"/>
              <w:right w:val="nil"/>
            </w:tcBorders>
            <w:shd w:val="clear" w:color="auto" w:fill="auto"/>
            <w:noWrap/>
            <w:vAlign w:val="bottom"/>
            <w:hideMark/>
          </w:tcPr>
          <w:p w14:paraId="1DDB94A7"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0.052</w:t>
            </w:r>
          </w:p>
        </w:tc>
        <w:tc>
          <w:tcPr>
            <w:tcW w:w="615" w:type="pct"/>
            <w:tcBorders>
              <w:top w:val="nil"/>
              <w:left w:val="nil"/>
              <w:bottom w:val="single" w:sz="4" w:space="0" w:color="auto"/>
              <w:right w:val="nil"/>
            </w:tcBorders>
            <w:shd w:val="clear" w:color="auto" w:fill="auto"/>
            <w:noWrap/>
            <w:vAlign w:val="bottom"/>
            <w:hideMark/>
          </w:tcPr>
          <w:p w14:paraId="0BE28D35"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0.042</w:t>
            </w:r>
          </w:p>
        </w:tc>
        <w:tc>
          <w:tcPr>
            <w:tcW w:w="615" w:type="pct"/>
            <w:tcBorders>
              <w:top w:val="nil"/>
              <w:left w:val="nil"/>
              <w:bottom w:val="single" w:sz="4" w:space="0" w:color="auto"/>
              <w:right w:val="nil"/>
            </w:tcBorders>
            <w:shd w:val="clear" w:color="auto" w:fill="auto"/>
            <w:noWrap/>
            <w:vAlign w:val="bottom"/>
            <w:hideMark/>
          </w:tcPr>
          <w:p w14:paraId="0D4FE91F"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0.051</w:t>
            </w:r>
          </w:p>
        </w:tc>
        <w:tc>
          <w:tcPr>
            <w:tcW w:w="615" w:type="pct"/>
            <w:tcBorders>
              <w:top w:val="nil"/>
              <w:left w:val="nil"/>
              <w:bottom w:val="single" w:sz="4" w:space="0" w:color="auto"/>
              <w:right w:val="nil"/>
            </w:tcBorders>
            <w:shd w:val="clear" w:color="auto" w:fill="auto"/>
            <w:noWrap/>
            <w:vAlign w:val="bottom"/>
            <w:hideMark/>
          </w:tcPr>
          <w:p w14:paraId="4DAF0CF3"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0.101</w:t>
            </w:r>
          </w:p>
        </w:tc>
        <w:tc>
          <w:tcPr>
            <w:tcW w:w="612" w:type="pct"/>
            <w:tcBorders>
              <w:top w:val="nil"/>
              <w:left w:val="nil"/>
              <w:bottom w:val="single" w:sz="4" w:space="0" w:color="auto"/>
              <w:right w:val="nil"/>
            </w:tcBorders>
            <w:shd w:val="clear" w:color="auto" w:fill="auto"/>
            <w:noWrap/>
            <w:vAlign w:val="bottom"/>
            <w:hideMark/>
          </w:tcPr>
          <w:p w14:paraId="4F909314" w14:textId="77777777" w:rsidR="005D0883" w:rsidRPr="005D0883" w:rsidRDefault="005D0883" w:rsidP="00D5220A">
            <w:pPr>
              <w:spacing w:after="0" w:line="240" w:lineRule="auto"/>
              <w:jc w:val="both"/>
              <w:rPr>
                <w:rFonts w:ascii="Garamond" w:eastAsia="Times New Roman" w:hAnsi="Garamond" w:cs="Times New Roman"/>
                <w:i/>
                <w:color w:val="000000"/>
                <w:lang w:val="it-IT" w:eastAsia="it-IT"/>
              </w:rPr>
            </w:pPr>
            <w:r w:rsidRPr="005D0883">
              <w:rPr>
                <w:rFonts w:ascii="Garamond" w:eastAsia="Times New Roman" w:hAnsi="Garamond" w:cs="Times New Roman"/>
                <w:i/>
                <w:color w:val="000000"/>
                <w:lang w:val="it-IT" w:eastAsia="it-IT"/>
              </w:rPr>
              <w:t>0.277</w:t>
            </w:r>
          </w:p>
        </w:tc>
      </w:tr>
      <w:tr w:rsidR="005D0883" w:rsidRPr="005D0883" w14:paraId="284818C2" w14:textId="77777777" w:rsidTr="00646F36">
        <w:trPr>
          <w:trHeight w:val="20"/>
        </w:trPr>
        <w:tc>
          <w:tcPr>
            <w:tcW w:w="1314" w:type="pct"/>
            <w:tcBorders>
              <w:top w:val="single" w:sz="4" w:space="0" w:color="auto"/>
              <w:left w:val="nil"/>
              <w:bottom w:val="single" w:sz="4" w:space="0" w:color="auto"/>
              <w:right w:val="nil"/>
            </w:tcBorders>
            <w:shd w:val="clear" w:color="auto" w:fill="auto"/>
            <w:noWrap/>
            <w:vAlign w:val="bottom"/>
            <w:hideMark/>
          </w:tcPr>
          <w:p w14:paraId="2D1E7174"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Years Fixed Effects</w:t>
            </w:r>
          </w:p>
        </w:tc>
        <w:tc>
          <w:tcPr>
            <w:tcW w:w="615" w:type="pct"/>
            <w:tcBorders>
              <w:top w:val="single" w:sz="4" w:space="0" w:color="auto"/>
              <w:left w:val="nil"/>
              <w:bottom w:val="single" w:sz="4" w:space="0" w:color="auto"/>
              <w:right w:val="nil"/>
            </w:tcBorders>
            <w:shd w:val="clear" w:color="auto" w:fill="auto"/>
            <w:noWrap/>
            <w:vAlign w:val="bottom"/>
            <w:hideMark/>
          </w:tcPr>
          <w:p w14:paraId="03F348FC"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YES</w:t>
            </w:r>
          </w:p>
        </w:tc>
        <w:tc>
          <w:tcPr>
            <w:tcW w:w="615" w:type="pct"/>
            <w:tcBorders>
              <w:top w:val="single" w:sz="4" w:space="0" w:color="auto"/>
              <w:left w:val="nil"/>
              <w:bottom w:val="single" w:sz="4" w:space="0" w:color="auto"/>
              <w:right w:val="nil"/>
            </w:tcBorders>
            <w:shd w:val="clear" w:color="auto" w:fill="auto"/>
            <w:noWrap/>
            <w:vAlign w:val="bottom"/>
            <w:hideMark/>
          </w:tcPr>
          <w:p w14:paraId="274396DB"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YES</w:t>
            </w:r>
          </w:p>
        </w:tc>
        <w:tc>
          <w:tcPr>
            <w:tcW w:w="615" w:type="pct"/>
            <w:tcBorders>
              <w:top w:val="single" w:sz="4" w:space="0" w:color="auto"/>
              <w:left w:val="nil"/>
              <w:bottom w:val="single" w:sz="4" w:space="0" w:color="auto"/>
              <w:right w:val="nil"/>
            </w:tcBorders>
            <w:shd w:val="clear" w:color="auto" w:fill="auto"/>
            <w:noWrap/>
            <w:vAlign w:val="bottom"/>
            <w:hideMark/>
          </w:tcPr>
          <w:p w14:paraId="66FF28F2"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YES</w:t>
            </w:r>
          </w:p>
        </w:tc>
        <w:tc>
          <w:tcPr>
            <w:tcW w:w="615" w:type="pct"/>
            <w:tcBorders>
              <w:top w:val="single" w:sz="4" w:space="0" w:color="auto"/>
              <w:left w:val="nil"/>
              <w:bottom w:val="single" w:sz="4" w:space="0" w:color="auto"/>
              <w:right w:val="nil"/>
            </w:tcBorders>
            <w:shd w:val="clear" w:color="auto" w:fill="auto"/>
            <w:noWrap/>
            <w:vAlign w:val="bottom"/>
            <w:hideMark/>
          </w:tcPr>
          <w:p w14:paraId="65D2C080"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YES</w:t>
            </w:r>
          </w:p>
        </w:tc>
        <w:tc>
          <w:tcPr>
            <w:tcW w:w="615" w:type="pct"/>
            <w:tcBorders>
              <w:top w:val="single" w:sz="4" w:space="0" w:color="auto"/>
              <w:left w:val="nil"/>
              <w:bottom w:val="single" w:sz="4" w:space="0" w:color="auto"/>
              <w:right w:val="nil"/>
            </w:tcBorders>
            <w:shd w:val="clear" w:color="auto" w:fill="auto"/>
            <w:noWrap/>
            <w:vAlign w:val="bottom"/>
            <w:hideMark/>
          </w:tcPr>
          <w:p w14:paraId="612FE09D"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YES</w:t>
            </w:r>
          </w:p>
        </w:tc>
        <w:tc>
          <w:tcPr>
            <w:tcW w:w="612" w:type="pct"/>
            <w:tcBorders>
              <w:top w:val="single" w:sz="4" w:space="0" w:color="auto"/>
              <w:left w:val="nil"/>
              <w:bottom w:val="single" w:sz="4" w:space="0" w:color="auto"/>
              <w:right w:val="nil"/>
            </w:tcBorders>
            <w:shd w:val="clear" w:color="auto" w:fill="auto"/>
            <w:noWrap/>
            <w:vAlign w:val="bottom"/>
            <w:hideMark/>
          </w:tcPr>
          <w:p w14:paraId="04C8D961"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Pr>
                <w:rFonts w:ascii="Garamond" w:eastAsia="Times New Roman" w:hAnsi="Garamond" w:cs="Times New Roman"/>
                <w:color w:val="000000"/>
                <w:lang w:val="it-IT" w:eastAsia="it-IT"/>
              </w:rPr>
              <w:t>YES</w:t>
            </w:r>
          </w:p>
        </w:tc>
      </w:tr>
      <w:tr w:rsidR="005D0883" w:rsidRPr="005D0883" w14:paraId="2512CBCA" w14:textId="77777777" w:rsidTr="00646F36">
        <w:trPr>
          <w:trHeight w:val="20"/>
        </w:trPr>
        <w:tc>
          <w:tcPr>
            <w:tcW w:w="1314" w:type="pct"/>
            <w:tcBorders>
              <w:top w:val="single" w:sz="4" w:space="0" w:color="auto"/>
              <w:left w:val="nil"/>
              <w:bottom w:val="single" w:sz="4" w:space="0" w:color="auto"/>
              <w:right w:val="nil"/>
            </w:tcBorders>
            <w:shd w:val="clear" w:color="auto" w:fill="auto"/>
            <w:noWrap/>
            <w:vAlign w:val="bottom"/>
            <w:hideMark/>
          </w:tcPr>
          <w:p w14:paraId="70EA9EFE"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Observations</w:t>
            </w:r>
          </w:p>
        </w:tc>
        <w:tc>
          <w:tcPr>
            <w:tcW w:w="615" w:type="pct"/>
            <w:tcBorders>
              <w:top w:val="single" w:sz="4" w:space="0" w:color="auto"/>
              <w:left w:val="nil"/>
              <w:bottom w:val="single" w:sz="4" w:space="0" w:color="auto"/>
              <w:right w:val="nil"/>
            </w:tcBorders>
            <w:shd w:val="clear" w:color="auto" w:fill="auto"/>
            <w:noWrap/>
            <w:vAlign w:val="bottom"/>
            <w:hideMark/>
          </w:tcPr>
          <w:p w14:paraId="73E27247"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34831</w:t>
            </w:r>
          </w:p>
        </w:tc>
        <w:tc>
          <w:tcPr>
            <w:tcW w:w="615" w:type="pct"/>
            <w:tcBorders>
              <w:top w:val="single" w:sz="4" w:space="0" w:color="auto"/>
              <w:left w:val="nil"/>
              <w:bottom w:val="single" w:sz="4" w:space="0" w:color="auto"/>
              <w:right w:val="nil"/>
            </w:tcBorders>
            <w:shd w:val="clear" w:color="auto" w:fill="auto"/>
            <w:noWrap/>
            <w:vAlign w:val="bottom"/>
            <w:hideMark/>
          </w:tcPr>
          <w:p w14:paraId="5146FF4F"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34831</w:t>
            </w:r>
          </w:p>
        </w:tc>
        <w:tc>
          <w:tcPr>
            <w:tcW w:w="615" w:type="pct"/>
            <w:tcBorders>
              <w:top w:val="single" w:sz="4" w:space="0" w:color="auto"/>
              <w:left w:val="nil"/>
              <w:bottom w:val="single" w:sz="4" w:space="0" w:color="auto"/>
              <w:right w:val="nil"/>
            </w:tcBorders>
            <w:shd w:val="clear" w:color="auto" w:fill="auto"/>
            <w:noWrap/>
            <w:vAlign w:val="bottom"/>
            <w:hideMark/>
          </w:tcPr>
          <w:p w14:paraId="2BBD5ABC"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34831</w:t>
            </w:r>
          </w:p>
        </w:tc>
        <w:tc>
          <w:tcPr>
            <w:tcW w:w="615" w:type="pct"/>
            <w:tcBorders>
              <w:top w:val="single" w:sz="4" w:space="0" w:color="auto"/>
              <w:left w:val="nil"/>
              <w:bottom w:val="single" w:sz="4" w:space="0" w:color="auto"/>
              <w:right w:val="nil"/>
            </w:tcBorders>
            <w:shd w:val="clear" w:color="auto" w:fill="auto"/>
            <w:noWrap/>
            <w:vAlign w:val="bottom"/>
            <w:hideMark/>
          </w:tcPr>
          <w:p w14:paraId="1A4E9A64"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34831</w:t>
            </w:r>
          </w:p>
        </w:tc>
        <w:tc>
          <w:tcPr>
            <w:tcW w:w="615" w:type="pct"/>
            <w:tcBorders>
              <w:top w:val="single" w:sz="4" w:space="0" w:color="auto"/>
              <w:left w:val="nil"/>
              <w:bottom w:val="single" w:sz="4" w:space="0" w:color="auto"/>
              <w:right w:val="nil"/>
            </w:tcBorders>
            <w:shd w:val="clear" w:color="auto" w:fill="auto"/>
            <w:noWrap/>
            <w:vAlign w:val="bottom"/>
            <w:hideMark/>
          </w:tcPr>
          <w:p w14:paraId="5485BBBA"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34831</w:t>
            </w:r>
          </w:p>
        </w:tc>
        <w:tc>
          <w:tcPr>
            <w:tcW w:w="612" w:type="pct"/>
            <w:tcBorders>
              <w:top w:val="single" w:sz="4" w:space="0" w:color="auto"/>
              <w:left w:val="nil"/>
              <w:bottom w:val="single" w:sz="4" w:space="0" w:color="auto"/>
              <w:right w:val="nil"/>
            </w:tcBorders>
            <w:shd w:val="clear" w:color="auto" w:fill="auto"/>
            <w:noWrap/>
            <w:vAlign w:val="bottom"/>
            <w:hideMark/>
          </w:tcPr>
          <w:p w14:paraId="297FC0C3" w14:textId="77777777" w:rsidR="005D0883" w:rsidRPr="005D0883" w:rsidRDefault="005D0883" w:rsidP="005D0883">
            <w:pPr>
              <w:spacing w:after="0" w:line="240" w:lineRule="auto"/>
              <w:jc w:val="center"/>
              <w:rPr>
                <w:rFonts w:ascii="Garamond" w:eastAsia="Times New Roman" w:hAnsi="Garamond" w:cs="Times New Roman"/>
                <w:color w:val="000000"/>
                <w:lang w:val="it-IT" w:eastAsia="it-IT"/>
              </w:rPr>
            </w:pPr>
            <w:r w:rsidRPr="005D0883">
              <w:rPr>
                <w:rFonts w:ascii="Garamond" w:eastAsia="Times New Roman" w:hAnsi="Garamond" w:cs="Times New Roman"/>
                <w:color w:val="000000"/>
                <w:lang w:val="it-IT" w:eastAsia="it-IT"/>
              </w:rPr>
              <w:t>34831</w:t>
            </w:r>
          </w:p>
        </w:tc>
      </w:tr>
    </w:tbl>
    <w:p w14:paraId="5D20BAC8" w14:textId="77777777" w:rsidR="005D0883" w:rsidRDefault="005D0883" w:rsidP="005D0883">
      <w:pPr>
        <w:jc w:val="both"/>
        <w:rPr>
          <w:rFonts w:ascii="Garamond" w:hAnsi="Garamond"/>
          <w:sz w:val="16"/>
          <w:szCs w:val="16"/>
        </w:rPr>
      </w:pPr>
      <w:r w:rsidRPr="005568B0">
        <w:rPr>
          <w:rFonts w:ascii="Garamond" w:hAnsi="Garamond"/>
          <w:i/>
          <w:sz w:val="16"/>
          <w:szCs w:val="16"/>
        </w:rPr>
        <w:t>Standard Errors in Italics</w:t>
      </w:r>
      <w:r w:rsidRPr="005568B0">
        <w:rPr>
          <w:rFonts w:ascii="Garamond" w:hAnsi="Garamond"/>
          <w:sz w:val="16"/>
          <w:szCs w:val="16"/>
        </w:rPr>
        <w:t>; ***, **, * indicate significance at 1%, 5% and 10%, respectively</w:t>
      </w:r>
      <w:r>
        <w:rPr>
          <w:rFonts w:ascii="Garamond" w:hAnsi="Garamond"/>
          <w:sz w:val="16"/>
          <w:szCs w:val="16"/>
        </w:rPr>
        <w:t>. Sample weights applied.</w:t>
      </w:r>
    </w:p>
    <w:p w14:paraId="4BAA5F8D" w14:textId="77777777" w:rsidR="005D0883" w:rsidRPr="005568B0" w:rsidRDefault="00267BC6" w:rsidP="00267BC6">
      <w:pPr>
        <w:rPr>
          <w:rFonts w:ascii="Garamond" w:hAnsi="Garamond"/>
          <w:b/>
        </w:rPr>
      </w:pPr>
      <w:r>
        <w:rPr>
          <w:rFonts w:ascii="Garamond" w:hAnsi="Garamond"/>
          <w:b/>
        </w:rPr>
        <w:br w:type="page"/>
      </w:r>
    </w:p>
    <w:p w14:paraId="62207658" w14:textId="77777777" w:rsidR="00073E55" w:rsidRDefault="00073E55" w:rsidP="00073E55">
      <w:pPr>
        <w:jc w:val="both"/>
        <w:rPr>
          <w:rFonts w:ascii="Garamond" w:hAnsi="Garamond"/>
          <w:b/>
        </w:rPr>
      </w:pPr>
      <w:r w:rsidRPr="005568B0">
        <w:rPr>
          <w:rFonts w:ascii="Garamond" w:hAnsi="Garamond"/>
          <w:b/>
        </w:rPr>
        <w:lastRenderedPageBreak/>
        <w:t>Table</w:t>
      </w:r>
      <w:r>
        <w:rPr>
          <w:rFonts w:ascii="Garamond" w:hAnsi="Garamond"/>
          <w:b/>
        </w:rPr>
        <w:t xml:space="preserve"> 5</w:t>
      </w:r>
      <w:r w:rsidRPr="005568B0">
        <w:rPr>
          <w:rFonts w:ascii="Garamond" w:hAnsi="Garamond"/>
          <w:b/>
        </w:rPr>
        <w:t xml:space="preserve">. </w:t>
      </w:r>
      <w:r>
        <w:rPr>
          <w:rFonts w:ascii="Garamond" w:hAnsi="Garamond"/>
          <w:b/>
        </w:rPr>
        <w:t>Fibrinogen Results</w:t>
      </w:r>
      <w:r w:rsidR="00A33DC3">
        <w:rPr>
          <w:rFonts w:ascii="Garamond" w:hAnsi="Garamond"/>
          <w:b/>
        </w:rPr>
        <w:t xml:space="preserve"> </w:t>
      </w:r>
      <w:r w:rsidR="00A444A3">
        <w:rPr>
          <w:rFonts w:ascii="Garamond" w:hAnsi="Garamond"/>
          <w:b/>
        </w:rPr>
        <w:t>-</w:t>
      </w:r>
      <w:r w:rsidR="00A33DC3">
        <w:rPr>
          <w:rFonts w:ascii="Garamond" w:hAnsi="Garamond"/>
          <w:b/>
        </w:rPr>
        <w:t xml:space="preserve"> </w:t>
      </w:r>
      <w:r w:rsidR="00A444A3">
        <w:rPr>
          <w:rFonts w:ascii="Garamond" w:hAnsi="Garamond"/>
          <w:b/>
        </w:rPr>
        <w:t>OLS and RIF regression</w:t>
      </w:r>
      <w:r w:rsidR="00832EC5">
        <w:rPr>
          <w:rFonts w:ascii="Garamond" w:hAnsi="Garamond"/>
          <w:b/>
        </w:rPr>
        <w:t>s</w:t>
      </w:r>
    </w:p>
    <w:tbl>
      <w:tblPr>
        <w:tblW w:w="5000" w:type="pct"/>
        <w:tblCellMar>
          <w:left w:w="70" w:type="dxa"/>
          <w:right w:w="70" w:type="dxa"/>
        </w:tblCellMar>
        <w:tblLook w:val="04A0" w:firstRow="1" w:lastRow="0" w:firstColumn="1" w:lastColumn="0" w:noHBand="0" w:noVBand="1"/>
      </w:tblPr>
      <w:tblGrid>
        <w:gridCol w:w="1955"/>
        <w:gridCol w:w="1021"/>
        <w:gridCol w:w="1021"/>
        <w:gridCol w:w="1021"/>
        <w:gridCol w:w="1021"/>
        <w:gridCol w:w="1021"/>
        <w:gridCol w:w="1016"/>
      </w:tblGrid>
      <w:tr w:rsidR="00073E55" w:rsidRPr="00646F36" w14:paraId="6EDD02C0" w14:textId="77777777" w:rsidTr="00267BC6">
        <w:trPr>
          <w:trHeight w:val="20"/>
        </w:trPr>
        <w:tc>
          <w:tcPr>
            <w:tcW w:w="1211" w:type="pct"/>
            <w:tcBorders>
              <w:top w:val="single" w:sz="4" w:space="0" w:color="auto"/>
              <w:left w:val="nil"/>
              <w:bottom w:val="single" w:sz="4" w:space="0" w:color="auto"/>
              <w:right w:val="nil"/>
            </w:tcBorders>
            <w:shd w:val="clear" w:color="auto" w:fill="auto"/>
            <w:noWrap/>
            <w:vAlign w:val="bottom"/>
            <w:hideMark/>
          </w:tcPr>
          <w:p w14:paraId="1268EACF" w14:textId="77777777" w:rsidR="00073E55" w:rsidRPr="00A444A3" w:rsidRDefault="00073E55" w:rsidP="00073E55">
            <w:pPr>
              <w:spacing w:after="0" w:line="240" w:lineRule="auto"/>
              <w:rPr>
                <w:rFonts w:ascii="Garamond" w:eastAsia="Times New Roman" w:hAnsi="Garamond" w:cs="Times New Roman"/>
                <w:color w:val="000000"/>
                <w:lang w:eastAsia="it-IT"/>
              </w:rPr>
            </w:pPr>
          </w:p>
        </w:tc>
        <w:tc>
          <w:tcPr>
            <w:tcW w:w="632" w:type="pct"/>
            <w:tcBorders>
              <w:top w:val="single" w:sz="4" w:space="0" w:color="auto"/>
              <w:left w:val="nil"/>
              <w:bottom w:val="single" w:sz="4" w:space="0" w:color="auto"/>
              <w:right w:val="nil"/>
            </w:tcBorders>
            <w:shd w:val="clear" w:color="auto" w:fill="auto"/>
            <w:noWrap/>
            <w:vAlign w:val="bottom"/>
            <w:hideMark/>
          </w:tcPr>
          <w:p w14:paraId="5E04BCB2" w14:textId="77777777" w:rsidR="00073E55" w:rsidRPr="00BC22E8" w:rsidRDefault="00073E55" w:rsidP="00073E55">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OLS</w:t>
            </w:r>
          </w:p>
        </w:tc>
        <w:tc>
          <w:tcPr>
            <w:tcW w:w="3158" w:type="pct"/>
            <w:gridSpan w:val="5"/>
            <w:tcBorders>
              <w:top w:val="single" w:sz="4" w:space="0" w:color="auto"/>
              <w:left w:val="nil"/>
              <w:bottom w:val="single" w:sz="4" w:space="0" w:color="auto"/>
              <w:right w:val="nil"/>
            </w:tcBorders>
            <w:shd w:val="clear" w:color="auto" w:fill="auto"/>
            <w:noWrap/>
            <w:vAlign w:val="bottom"/>
            <w:hideMark/>
          </w:tcPr>
          <w:p w14:paraId="76C7ED06" w14:textId="77777777" w:rsidR="00073E55" w:rsidRPr="00BC22E8" w:rsidRDefault="00073E55" w:rsidP="00BC22E8">
            <w:pPr>
              <w:spacing w:after="0" w:line="240" w:lineRule="auto"/>
              <w:jc w:val="center"/>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RIF Regression</w:t>
            </w:r>
            <w:r w:rsidR="00832EC5" w:rsidRPr="00BC22E8">
              <w:rPr>
                <w:rFonts w:ascii="Garamond" w:eastAsia="Times New Roman" w:hAnsi="Garamond" w:cs="Times New Roman"/>
                <w:b/>
                <w:color w:val="000000"/>
                <w:lang w:eastAsia="it-IT"/>
              </w:rPr>
              <w:t>s</w:t>
            </w:r>
          </w:p>
        </w:tc>
      </w:tr>
      <w:tr w:rsidR="00073E55" w:rsidRPr="00646F36" w14:paraId="09001610" w14:textId="77777777" w:rsidTr="00267BC6">
        <w:trPr>
          <w:trHeight w:val="20"/>
        </w:trPr>
        <w:tc>
          <w:tcPr>
            <w:tcW w:w="1211" w:type="pct"/>
            <w:tcBorders>
              <w:top w:val="single" w:sz="4" w:space="0" w:color="auto"/>
              <w:left w:val="nil"/>
              <w:bottom w:val="single" w:sz="4" w:space="0" w:color="auto"/>
              <w:right w:val="nil"/>
            </w:tcBorders>
            <w:shd w:val="clear" w:color="auto" w:fill="auto"/>
            <w:noWrap/>
            <w:vAlign w:val="bottom"/>
            <w:hideMark/>
          </w:tcPr>
          <w:p w14:paraId="2FBF7E74"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Variables</w:t>
            </w:r>
          </w:p>
        </w:tc>
        <w:tc>
          <w:tcPr>
            <w:tcW w:w="632" w:type="pct"/>
            <w:tcBorders>
              <w:top w:val="single" w:sz="4" w:space="0" w:color="auto"/>
              <w:left w:val="nil"/>
              <w:bottom w:val="single" w:sz="4" w:space="0" w:color="auto"/>
              <w:right w:val="nil"/>
            </w:tcBorders>
            <w:shd w:val="clear" w:color="auto" w:fill="auto"/>
            <w:noWrap/>
            <w:vAlign w:val="bottom"/>
            <w:hideMark/>
          </w:tcPr>
          <w:p w14:paraId="606307F9" w14:textId="77777777" w:rsidR="00073E55" w:rsidRPr="00646F36" w:rsidRDefault="00073E55" w:rsidP="00073E55">
            <w:pPr>
              <w:spacing w:after="0" w:line="240" w:lineRule="auto"/>
              <w:rPr>
                <w:rFonts w:ascii="Garamond" w:eastAsia="Times New Roman" w:hAnsi="Garamond" w:cs="Times New Roman"/>
                <w:color w:val="000000"/>
                <w:lang w:eastAsia="it-IT"/>
              </w:rPr>
            </w:pPr>
          </w:p>
        </w:tc>
        <w:tc>
          <w:tcPr>
            <w:tcW w:w="632" w:type="pct"/>
            <w:tcBorders>
              <w:top w:val="single" w:sz="4" w:space="0" w:color="auto"/>
              <w:left w:val="nil"/>
              <w:bottom w:val="single" w:sz="4" w:space="0" w:color="auto"/>
              <w:right w:val="nil"/>
            </w:tcBorders>
            <w:shd w:val="clear" w:color="auto" w:fill="auto"/>
            <w:noWrap/>
            <w:vAlign w:val="bottom"/>
            <w:hideMark/>
          </w:tcPr>
          <w:p w14:paraId="5235C182" w14:textId="77777777" w:rsidR="00073E55" w:rsidRPr="00BC22E8" w:rsidRDefault="00073E55" w:rsidP="00073E55">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Q25</w:t>
            </w:r>
          </w:p>
        </w:tc>
        <w:tc>
          <w:tcPr>
            <w:tcW w:w="632" w:type="pct"/>
            <w:tcBorders>
              <w:top w:val="single" w:sz="4" w:space="0" w:color="auto"/>
              <w:left w:val="nil"/>
              <w:bottom w:val="single" w:sz="4" w:space="0" w:color="auto"/>
              <w:right w:val="nil"/>
            </w:tcBorders>
            <w:shd w:val="clear" w:color="auto" w:fill="auto"/>
            <w:noWrap/>
            <w:vAlign w:val="bottom"/>
            <w:hideMark/>
          </w:tcPr>
          <w:p w14:paraId="734D8133" w14:textId="77777777" w:rsidR="00073E55" w:rsidRPr="00BC22E8" w:rsidRDefault="00073E55" w:rsidP="00073E55">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Q50</w:t>
            </w:r>
          </w:p>
        </w:tc>
        <w:tc>
          <w:tcPr>
            <w:tcW w:w="632" w:type="pct"/>
            <w:tcBorders>
              <w:top w:val="single" w:sz="4" w:space="0" w:color="auto"/>
              <w:left w:val="nil"/>
              <w:bottom w:val="single" w:sz="4" w:space="0" w:color="auto"/>
              <w:right w:val="nil"/>
            </w:tcBorders>
            <w:shd w:val="clear" w:color="auto" w:fill="auto"/>
            <w:noWrap/>
            <w:vAlign w:val="bottom"/>
            <w:hideMark/>
          </w:tcPr>
          <w:p w14:paraId="7F626DB8" w14:textId="77777777" w:rsidR="00073E55" w:rsidRPr="00BC22E8" w:rsidRDefault="00073E55" w:rsidP="00073E55">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Q75</w:t>
            </w:r>
          </w:p>
        </w:tc>
        <w:tc>
          <w:tcPr>
            <w:tcW w:w="632" w:type="pct"/>
            <w:tcBorders>
              <w:top w:val="single" w:sz="4" w:space="0" w:color="auto"/>
              <w:left w:val="nil"/>
              <w:bottom w:val="single" w:sz="4" w:space="0" w:color="auto"/>
              <w:right w:val="nil"/>
            </w:tcBorders>
            <w:shd w:val="clear" w:color="auto" w:fill="auto"/>
            <w:noWrap/>
            <w:vAlign w:val="bottom"/>
            <w:hideMark/>
          </w:tcPr>
          <w:p w14:paraId="7E183722" w14:textId="77777777" w:rsidR="00073E55" w:rsidRPr="00BC22E8" w:rsidRDefault="00073E55" w:rsidP="00073E55">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Q90</w:t>
            </w:r>
          </w:p>
        </w:tc>
        <w:tc>
          <w:tcPr>
            <w:tcW w:w="632" w:type="pct"/>
            <w:tcBorders>
              <w:top w:val="single" w:sz="4" w:space="0" w:color="auto"/>
              <w:left w:val="nil"/>
              <w:bottom w:val="single" w:sz="4" w:space="0" w:color="auto"/>
              <w:right w:val="nil"/>
            </w:tcBorders>
            <w:shd w:val="clear" w:color="auto" w:fill="auto"/>
            <w:noWrap/>
            <w:vAlign w:val="bottom"/>
            <w:hideMark/>
          </w:tcPr>
          <w:p w14:paraId="020806F8" w14:textId="77777777" w:rsidR="00073E55" w:rsidRPr="00BC22E8" w:rsidRDefault="00073E55" w:rsidP="00073E55">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Q95</w:t>
            </w:r>
          </w:p>
        </w:tc>
      </w:tr>
      <w:tr w:rsidR="00073E55" w:rsidRPr="00646F36" w14:paraId="76BE653F" w14:textId="77777777" w:rsidTr="00267BC6">
        <w:trPr>
          <w:trHeight w:val="20"/>
        </w:trPr>
        <w:tc>
          <w:tcPr>
            <w:tcW w:w="1211" w:type="pct"/>
            <w:tcBorders>
              <w:top w:val="single" w:sz="4" w:space="0" w:color="auto"/>
              <w:left w:val="nil"/>
              <w:bottom w:val="nil"/>
              <w:right w:val="nil"/>
            </w:tcBorders>
            <w:shd w:val="clear" w:color="auto" w:fill="auto"/>
            <w:hideMark/>
          </w:tcPr>
          <w:p w14:paraId="635B1F9B"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Log Income</w:t>
            </w:r>
          </w:p>
        </w:tc>
        <w:tc>
          <w:tcPr>
            <w:tcW w:w="632" w:type="pct"/>
            <w:tcBorders>
              <w:top w:val="single" w:sz="4" w:space="0" w:color="auto"/>
              <w:left w:val="nil"/>
              <w:bottom w:val="nil"/>
              <w:right w:val="nil"/>
            </w:tcBorders>
            <w:shd w:val="clear" w:color="auto" w:fill="auto"/>
            <w:noWrap/>
            <w:vAlign w:val="bottom"/>
            <w:hideMark/>
          </w:tcPr>
          <w:p w14:paraId="39D86C3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-0.039***</w:t>
            </w:r>
          </w:p>
        </w:tc>
        <w:tc>
          <w:tcPr>
            <w:tcW w:w="632" w:type="pct"/>
            <w:tcBorders>
              <w:top w:val="single" w:sz="4" w:space="0" w:color="auto"/>
              <w:left w:val="nil"/>
              <w:bottom w:val="nil"/>
              <w:right w:val="nil"/>
            </w:tcBorders>
            <w:shd w:val="clear" w:color="auto" w:fill="auto"/>
            <w:noWrap/>
            <w:vAlign w:val="bottom"/>
            <w:hideMark/>
          </w:tcPr>
          <w:p w14:paraId="3EBB7E2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-0.028***</w:t>
            </w:r>
          </w:p>
        </w:tc>
        <w:tc>
          <w:tcPr>
            <w:tcW w:w="632" w:type="pct"/>
            <w:tcBorders>
              <w:top w:val="single" w:sz="4" w:space="0" w:color="auto"/>
              <w:left w:val="nil"/>
              <w:bottom w:val="nil"/>
              <w:right w:val="nil"/>
            </w:tcBorders>
            <w:shd w:val="clear" w:color="auto" w:fill="auto"/>
            <w:noWrap/>
            <w:vAlign w:val="bottom"/>
            <w:hideMark/>
          </w:tcPr>
          <w:p w14:paraId="39E261C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-0.050***</w:t>
            </w:r>
          </w:p>
        </w:tc>
        <w:tc>
          <w:tcPr>
            <w:tcW w:w="632" w:type="pct"/>
            <w:tcBorders>
              <w:top w:val="single" w:sz="4" w:space="0" w:color="auto"/>
              <w:left w:val="nil"/>
              <w:bottom w:val="nil"/>
              <w:right w:val="nil"/>
            </w:tcBorders>
            <w:shd w:val="clear" w:color="auto" w:fill="auto"/>
            <w:noWrap/>
            <w:vAlign w:val="bottom"/>
            <w:hideMark/>
          </w:tcPr>
          <w:p w14:paraId="3CCEB69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-0.057***</w:t>
            </w:r>
          </w:p>
        </w:tc>
        <w:tc>
          <w:tcPr>
            <w:tcW w:w="632" w:type="pct"/>
            <w:tcBorders>
              <w:top w:val="single" w:sz="4" w:space="0" w:color="auto"/>
              <w:left w:val="nil"/>
              <w:bottom w:val="nil"/>
              <w:right w:val="nil"/>
            </w:tcBorders>
            <w:shd w:val="clear" w:color="auto" w:fill="auto"/>
            <w:noWrap/>
            <w:vAlign w:val="bottom"/>
            <w:hideMark/>
          </w:tcPr>
          <w:p w14:paraId="613F6C6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-0.041***</w:t>
            </w:r>
          </w:p>
        </w:tc>
        <w:tc>
          <w:tcPr>
            <w:tcW w:w="632" w:type="pct"/>
            <w:tcBorders>
              <w:top w:val="single" w:sz="4" w:space="0" w:color="auto"/>
              <w:left w:val="nil"/>
              <w:bottom w:val="nil"/>
              <w:right w:val="nil"/>
            </w:tcBorders>
            <w:shd w:val="clear" w:color="auto" w:fill="auto"/>
            <w:noWrap/>
            <w:vAlign w:val="bottom"/>
            <w:hideMark/>
          </w:tcPr>
          <w:p w14:paraId="592EE2C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-0.067***</w:t>
            </w:r>
          </w:p>
        </w:tc>
      </w:tr>
      <w:tr w:rsidR="00073E55" w:rsidRPr="00646F36" w14:paraId="00F20667" w14:textId="77777777" w:rsidTr="00267BC6">
        <w:trPr>
          <w:trHeight w:val="20"/>
        </w:trPr>
        <w:tc>
          <w:tcPr>
            <w:tcW w:w="1211" w:type="pct"/>
            <w:tcBorders>
              <w:top w:val="nil"/>
              <w:left w:val="nil"/>
              <w:bottom w:val="nil"/>
              <w:right w:val="nil"/>
            </w:tcBorders>
            <w:shd w:val="clear" w:color="auto" w:fill="auto"/>
            <w:noWrap/>
            <w:vAlign w:val="bottom"/>
            <w:hideMark/>
          </w:tcPr>
          <w:p w14:paraId="013F1F3F"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6D9E630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0.008</w:t>
            </w:r>
          </w:p>
        </w:tc>
        <w:tc>
          <w:tcPr>
            <w:tcW w:w="632" w:type="pct"/>
            <w:tcBorders>
              <w:top w:val="nil"/>
              <w:left w:val="nil"/>
              <w:bottom w:val="nil"/>
              <w:right w:val="nil"/>
            </w:tcBorders>
            <w:shd w:val="clear" w:color="auto" w:fill="auto"/>
            <w:noWrap/>
            <w:vAlign w:val="bottom"/>
            <w:hideMark/>
          </w:tcPr>
          <w:p w14:paraId="704973F5"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0.010</w:t>
            </w:r>
          </w:p>
        </w:tc>
        <w:tc>
          <w:tcPr>
            <w:tcW w:w="632" w:type="pct"/>
            <w:tcBorders>
              <w:top w:val="nil"/>
              <w:left w:val="nil"/>
              <w:bottom w:val="nil"/>
              <w:right w:val="nil"/>
            </w:tcBorders>
            <w:shd w:val="clear" w:color="auto" w:fill="auto"/>
            <w:noWrap/>
            <w:vAlign w:val="bottom"/>
            <w:hideMark/>
          </w:tcPr>
          <w:p w14:paraId="4CF26BC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0.011</w:t>
            </w:r>
          </w:p>
        </w:tc>
        <w:tc>
          <w:tcPr>
            <w:tcW w:w="632" w:type="pct"/>
            <w:tcBorders>
              <w:top w:val="nil"/>
              <w:left w:val="nil"/>
              <w:bottom w:val="nil"/>
              <w:right w:val="nil"/>
            </w:tcBorders>
            <w:shd w:val="clear" w:color="auto" w:fill="auto"/>
            <w:noWrap/>
            <w:vAlign w:val="bottom"/>
            <w:hideMark/>
          </w:tcPr>
          <w:p w14:paraId="0B1D68D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0.014</w:t>
            </w:r>
          </w:p>
        </w:tc>
        <w:tc>
          <w:tcPr>
            <w:tcW w:w="632" w:type="pct"/>
            <w:tcBorders>
              <w:top w:val="nil"/>
              <w:left w:val="nil"/>
              <w:bottom w:val="nil"/>
              <w:right w:val="nil"/>
            </w:tcBorders>
            <w:shd w:val="clear" w:color="auto" w:fill="auto"/>
            <w:noWrap/>
            <w:vAlign w:val="bottom"/>
            <w:hideMark/>
          </w:tcPr>
          <w:p w14:paraId="024AE44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0.016</w:t>
            </w:r>
          </w:p>
        </w:tc>
        <w:tc>
          <w:tcPr>
            <w:tcW w:w="632" w:type="pct"/>
            <w:tcBorders>
              <w:top w:val="nil"/>
              <w:left w:val="nil"/>
              <w:bottom w:val="nil"/>
              <w:right w:val="nil"/>
            </w:tcBorders>
            <w:shd w:val="clear" w:color="auto" w:fill="auto"/>
            <w:noWrap/>
            <w:vAlign w:val="bottom"/>
            <w:hideMark/>
          </w:tcPr>
          <w:p w14:paraId="0E2372A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0.025</w:t>
            </w:r>
          </w:p>
        </w:tc>
      </w:tr>
      <w:tr w:rsidR="00073E55" w:rsidRPr="00646F36" w14:paraId="6189B608" w14:textId="77777777" w:rsidTr="00267BC6">
        <w:trPr>
          <w:trHeight w:val="20"/>
        </w:trPr>
        <w:tc>
          <w:tcPr>
            <w:tcW w:w="1211" w:type="pct"/>
            <w:tcBorders>
              <w:top w:val="nil"/>
              <w:left w:val="nil"/>
              <w:bottom w:val="nil"/>
              <w:right w:val="nil"/>
            </w:tcBorders>
            <w:shd w:val="clear" w:color="auto" w:fill="auto"/>
            <w:noWrap/>
            <w:vAlign w:val="bottom"/>
            <w:hideMark/>
          </w:tcPr>
          <w:p w14:paraId="5FEC5B75"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(18-34)</w:t>
            </w:r>
          </w:p>
        </w:tc>
        <w:tc>
          <w:tcPr>
            <w:tcW w:w="632" w:type="pct"/>
            <w:tcBorders>
              <w:top w:val="nil"/>
              <w:left w:val="nil"/>
              <w:bottom w:val="nil"/>
              <w:right w:val="nil"/>
            </w:tcBorders>
            <w:shd w:val="clear" w:color="auto" w:fill="auto"/>
            <w:noWrap/>
            <w:vAlign w:val="bottom"/>
            <w:hideMark/>
          </w:tcPr>
          <w:p w14:paraId="097D80A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0.053</w:t>
            </w:r>
          </w:p>
        </w:tc>
        <w:tc>
          <w:tcPr>
            <w:tcW w:w="632" w:type="pct"/>
            <w:tcBorders>
              <w:top w:val="nil"/>
              <w:left w:val="nil"/>
              <w:bottom w:val="nil"/>
              <w:right w:val="nil"/>
            </w:tcBorders>
            <w:shd w:val="clear" w:color="auto" w:fill="auto"/>
            <w:noWrap/>
            <w:vAlign w:val="bottom"/>
            <w:hideMark/>
          </w:tcPr>
          <w:p w14:paraId="2EBC7FB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0.026</w:t>
            </w:r>
          </w:p>
        </w:tc>
        <w:tc>
          <w:tcPr>
            <w:tcW w:w="632" w:type="pct"/>
            <w:tcBorders>
              <w:top w:val="nil"/>
              <w:left w:val="nil"/>
              <w:bottom w:val="nil"/>
              <w:right w:val="nil"/>
            </w:tcBorders>
            <w:shd w:val="clear" w:color="auto" w:fill="auto"/>
            <w:noWrap/>
            <w:vAlign w:val="bottom"/>
            <w:hideMark/>
          </w:tcPr>
          <w:p w14:paraId="107CB0E1"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-0.010</w:t>
            </w:r>
          </w:p>
        </w:tc>
        <w:tc>
          <w:tcPr>
            <w:tcW w:w="632" w:type="pct"/>
            <w:tcBorders>
              <w:top w:val="nil"/>
              <w:left w:val="nil"/>
              <w:bottom w:val="nil"/>
              <w:right w:val="nil"/>
            </w:tcBorders>
            <w:shd w:val="clear" w:color="auto" w:fill="auto"/>
            <w:noWrap/>
            <w:vAlign w:val="bottom"/>
            <w:hideMark/>
          </w:tcPr>
          <w:p w14:paraId="1A9A64F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0.035</w:t>
            </w:r>
          </w:p>
        </w:tc>
        <w:tc>
          <w:tcPr>
            <w:tcW w:w="632" w:type="pct"/>
            <w:tcBorders>
              <w:top w:val="nil"/>
              <w:left w:val="nil"/>
              <w:bottom w:val="nil"/>
              <w:right w:val="nil"/>
            </w:tcBorders>
            <w:shd w:val="clear" w:color="auto" w:fill="auto"/>
            <w:noWrap/>
            <w:vAlign w:val="bottom"/>
            <w:hideMark/>
          </w:tcPr>
          <w:p w14:paraId="301FCDD7"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0.119*</w:t>
            </w:r>
          </w:p>
        </w:tc>
        <w:tc>
          <w:tcPr>
            <w:tcW w:w="632" w:type="pct"/>
            <w:tcBorders>
              <w:top w:val="nil"/>
              <w:left w:val="nil"/>
              <w:bottom w:val="nil"/>
              <w:right w:val="nil"/>
            </w:tcBorders>
            <w:shd w:val="clear" w:color="auto" w:fill="auto"/>
            <w:noWrap/>
            <w:vAlign w:val="bottom"/>
            <w:hideMark/>
          </w:tcPr>
          <w:p w14:paraId="4F288BD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0.113</w:t>
            </w:r>
          </w:p>
        </w:tc>
      </w:tr>
      <w:tr w:rsidR="00073E55" w:rsidRPr="00646F36" w14:paraId="259D728C" w14:textId="77777777" w:rsidTr="00267BC6">
        <w:trPr>
          <w:trHeight w:val="20"/>
        </w:trPr>
        <w:tc>
          <w:tcPr>
            <w:tcW w:w="1211" w:type="pct"/>
            <w:tcBorders>
              <w:top w:val="nil"/>
              <w:left w:val="nil"/>
              <w:bottom w:val="nil"/>
              <w:right w:val="nil"/>
            </w:tcBorders>
            <w:shd w:val="clear" w:color="auto" w:fill="auto"/>
            <w:noWrap/>
            <w:vAlign w:val="bottom"/>
            <w:hideMark/>
          </w:tcPr>
          <w:p w14:paraId="7B194591"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138EC4C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0.039</w:t>
            </w:r>
          </w:p>
        </w:tc>
        <w:tc>
          <w:tcPr>
            <w:tcW w:w="632" w:type="pct"/>
            <w:tcBorders>
              <w:top w:val="nil"/>
              <w:left w:val="nil"/>
              <w:bottom w:val="nil"/>
              <w:right w:val="nil"/>
            </w:tcBorders>
            <w:shd w:val="clear" w:color="auto" w:fill="auto"/>
            <w:noWrap/>
            <w:vAlign w:val="bottom"/>
            <w:hideMark/>
          </w:tcPr>
          <w:p w14:paraId="671F34B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0.070</w:t>
            </w:r>
          </w:p>
        </w:tc>
        <w:tc>
          <w:tcPr>
            <w:tcW w:w="632" w:type="pct"/>
            <w:tcBorders>
              <w:top w:val="nil"/>
              <w:left w:val="nil"/>
              <w:bottom w:val="nil"/>
              <w:right w:val="nil"/>
            </w:tcBorders>
            <w:shd w:val="clear" w:color="auto" w:fill="auto"/>
            <w:noWrap/>
            <w:vAlign w:val="bottom"/>
            <w:hideMark/>
          </w:tcPr>
          <w:p w14:paraId="333571E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0.058</w:t>
            </w:r>
          </w:p>
        </w:tc>
        <w:tc>
          <w:tcPr>
            <w:tcW w:w="632" w:type="pct"/>
            <w:tcBorders>
              <w:top w:val="nil"/>
              <w:left w:val="nil"/>
              <w:bottom w:val="nil"/>
              <w:right w:val="nil"/>
            </w:tcBorders>
            <w:shd w:val="clear" w:color="auto" w:fill="auto"/>
            <w:noWrap/>
            <w:vAlign w:val="bottom"/>
            <w:hideMark/>
          </w:tcPr>
          <w:p w14:paraId="24603BB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0.060</w:t>
            </w:r>
          </w:p>
        </w:tc>
        <w:tc>
          <w:tcPr>
            <w:tcW w:w="632" w:type="pct"/>
            <w:tcBorders>
              <w:top w:val="nil"/>
              <w:left w:val="nil"/>
              <w:bottom w:val="nil"/>
              <w:right w:val="nil"/>
            </w:tcBorders>
            <w:shd w:val="clear" w:color="auto" w:fill="auto"/>
            <w:noWrap/>
            <w:vAlign w:val="bottom"/>
            <w:hideMark/>
          </w:tcPr>
          <w:p w14:paraId="1AE05C5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0.070</w:t>
            </w:r>
          </w:p>
        </w:tc>
        <w:tc>
          <w:tcPr>
            <w:tcW w:w="632" w:type="pct"/>
            <w:tcBorders>
              <w:top w:val="nil"/>
              <w:left w:val="nil"/>
              <w:bottom w:val="nil"/>
              <w:right w:val="nil"/>
            </w:tcBorders>
            <w:shd w:val="clear" w:color="auto" w:fill="auto"/>
            <w:noWrap/>
            <w:vAlign w:val="bottom"/>
            <w:hideMark/>
          </w:tcPr>
          <w:p w14:paraId="2C431C3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0.102</w:t>
            </w:r>
          </w:p>
        </w:tc>
      </w:tr>
      <w:tr w:rsidR="00073E55" w:rsidRPr="00646F36" w14:paraId="5AE5DA4E" w14:textId="77777777" w:rsidTr="00267BC6">
        <w:trPr>
          <w:trHeight w:val="20"/>
        </w:trPr>
        <w:tc>
          <w:tcPr>
            <w:tcW w:w="1211" w:type="pct"/>
            <w:tcBorders>
              <w:top w:val="nil"/>
              <w:left w:val="nil"/>
              <w:bottom w:val="nil"/>
              <w:right w:val="nil"/>
            </w:tcBorders>
            <w:shd w:val="clear" w:color="auto" w:fill="auto"/>
            <w:noWrap/>
            <w:vAlign w:val="bottom"/>
            <w:hideMark/>
          </w:tcPr>
          <w:p w14:paraId="24402A2C"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(35-44)</w:t>
            </w:r>
          </w:p>
        </w:tc>
        <w:tc>
          <w:tcPr>
            <w:tcW w:w="632" w:type="pct"/>
            <w:tcBorders>
              <w:top w:val="nil"/>
              <w:left w:val="nil"/>
              <w:bottom w:val="nil"/>
              <w:right w:val="nil"/>
            </w:tcBorders>
            <w:shd w:val="clear" w:color="auto" w:fill="auto"/>
            <w:noWrap/>
            <w:vAlign w:val="bottom"/>
            <w:hideMark/>
          </w:tcPr>
          <w:p w14:paraId="4C9E8E2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0.247***</w:t>
            </w:r>
          </w:p>
        </w:tc>
        <w:tc>
          <w:tcPr>
            <w:tcW w:w="632" w:type="pct"/>
            <w:tcBorders>
              <w:top w:val="nil"/>
              <w:left w:val="nil"/>
              <w:bottom w:val="nil"/>
              <w:right w:val="nil"/>
            </w:tcBorders>
            <w:shd w:val="clear" w:color="auto" w:fill="auto"/>
            <w:noWrap/>
            <w:vAlign w:val="bottom"/>
            <w:hideMark/>
          </w:tcPr>
          <w:p w14:paraId="79BF985F"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0.266***</w:t>
            </w:r>
          </w:p>
        </w:tc>
        <w:tc>
          <w:tcPr>
            <w:tcW w:w="632" w:type="pct"/>
            <w:tcBorders>
              <w:top w:val="nil"/>
              <w:left w:val="nil"/>
              <w:bottom w:val="nil"/>
              <w:right w:val="nil"/>
            </w:tcBorders>
            <w:shd w:val="clear" w:color="auto" w:fill="auto"/>
            <w:noWrap/>
            <w:vAlign w:val="bottom"/>
            <w:hideMark/>
          </w:tcPr>
          <w:p w14:paraId="4645758A"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0.202***</w:t>
            </w:r>
          </w:p>
        </w:tc>
        <w:tc>
          <w:tcPr>
            <w:tcW w:w="632" w:type="pct"/>
            <w:tcBorders>
              <w:top w:val="nil"/>
              <w:left w:val="nil"/>
              <w:bottom w:val="nil"/>
              <w:right w:val="nil"/>
            </w:tcBorders>
            <w:shd w:val="clear" w:color="auto" w:fill="auto"/>
            <w:noWrap/>
            <w:vAlign w:val="bottom"/>
            <w:hideMark/>
          </w:tcPr>
          <w:p w14:paraId="71BB00E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0.163***</w:t>
            </w:r>
          </w:p>
        </w:tc>
        <w:tc>
          <w:tcPr>
            <w:tcW w:w="632" w:type="pct"/>
            <w:tcBorders>
              <w:top w:val="nil"/>
              <w:left w:val="nil"/>
              <w:bottom w:val="nil"/>
              <w:right w:val="nil"/>
            </w:tcBorders>
            <w:shd w:val="clear" w:color="auto" w:fill="auto"/>
            <w:noWrap/>
            <w:vAlign w:val="bottom"/>
            <w:hideMark/>
          </w:tcPr>
          <w:p w14:paraId="2E1D981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0.183***</w:t>
            </w:r>
          </w:p>
        </w:tc>
        <w:tc>
          <w:tcPr>
            <w:tcW w:w="632" w:type="pct"/>
            <w:tcBorders>
              <w:top w:val="nil"/>
              <w:left w:val="nil"/>
              <w:bottom w:val="nil"/>
              <w:right w:val="nil"/>
            </w:tcBorders>
            <w:shd w:val="clear" w:color="auto" w:fill="auto"/>
            <w:noWrap/>
            <w:vAlign w:val="bottom"/>
            <w:hideMark/>
          </w:tcPr>
          <w:p w14:paraId="4060C15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0.168*</w:t>
            </w:r>
          </w:p>
        </w:tc>
      </w:tr>
      <w:tr w:rsidR="00073E55" w:rsidRPr="00646F36" w14:paraId="3496F56E" w14:textId="77777777" w:rsidTr="00267BC6">
        <w:trPr>
          <w:trHeight w:val="20"/>
        </w:trPr>
        <w:tc>
          <w:tcPr>
            <w:tcW w:w="1211" w:type="pct"/>
            <w:tcBorders>
              <w:top w:val="nil"/>
              <w:left w:val="nil"/>
              <w:bottom w:val="nil"/>
              <w:right w:val="nil"/>
            </w:tcBorders>
            <w:shd w:val="clear" w:color="auto" w:fill="auto"/>
            <w:noWrap/>
            <w:vAlign w:val="bottom"/>
            <w:hideMark/>
          </w:tcPr>
          <w:p w14:paraId="3EF4C8EA"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4FCC8609"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0.040</w:t>
            </w:r>
          </w:p>
        </w:tc>
        <w:tc>
          <w:tcPr>
            <w:tcW w:w="632" w:type="pct"/>
            <w:tcBorders>
              <w:top w:val="nil"/>
              <w:left w:val="nil"/>
              <w:bottom w:val="nil"/>
              <w:right w:val="nil"/>
            </w:tcBorders>
            <w:shd w:val="clear" w:color="auto" w:fill="auto"/>
            <w:noWrap/>
            <w:vAlign w:val="bottom"/>
            <w:hideMark/>
          </w:tcPr>
          <w:p w14:paraId="743ED69E"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0.069</w:t>
            </w:r>
          </w:p>
        </w:tc>
        <w:tc>
          <w:tcPr>
            <w:tcW w:w="632" w:type="pct"/>
            <w:tcBorders>
              <w:top w:val="nil"/>
              <w:left w:val="nil"/>
              <w:bottom w:val="nil"/>
              <w:right w:val="nil"/>
            </w:tcBorders>
            <w:shd w:val="clear" w:color="auto" w:fill="auto"/>
            <w:noWrap/>
            <w:vAlign w:val="bottom"/>
            <w:hideMark/>
          </w:tcPr>
          <w:p w14:paraId="29BC52F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0.058</w:t>
            </w:r>
          </w:p>
        </w:tc>
        <w:tc>
          <w:tcPr>
            <w:tcW w:w="632" w:type="pct"/>
            <w:tcBorders>
              <w:top w:val="nil"/>
              <w:left w:val="nil"/>
              <w:bottom w:val="nil"/>
              <w:right w:val="nil"/>
            </w:tcBorders>
            <w:shd w:val="clear" w:color="auto" w:fill="auto"/>
            <w:noWrap/>
            <w:vAlign w:val="bottom"/>
            <w:hideMark/>
          </w:tcPr>
          <w:p w14:paraId="38C70F5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0.060</w:t>
            </w:r>
          </w:p>
        </w:tc>
        <w:tc>
          <w:tcPr>
            <w:tcW w:w="632" w:type="pct"/>
            <w:tcBorders>
              <w:top w:val="nil"/>
              <w:left w:val="nil"/>
              <w:bottom w:val="nil"/>
              <w:right w:val="nil"/>
            </w:tcBorders>
            <w:shd w:val="clear" w:color="auto" w:fill="auto"/>
            <w:noWrap/>
            <w:vAlign w:val="bottom"/>
            <w:hideMark/>
          </w:tcPr>
          <w:p w14:paraId="47A3648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0.070</w:t>
            </w:r>
          </w:p>
        </w:tc>
        <w:tc>
          <w:tcPr>
            <w:tcW w:w="632" w:type="pct"/>
            <w:tcBorders>
              <w:top w:val="nil"/>
              <w:left w:val="nil"/>
              <w:bottom w:val="nil"/>
              <w:right w:val="nil"/>
            </w:tcBorders>
            <w:shd w:val="clear" w:color="auto" w:fill="auto"/>
            <w:noWrap/>
            <w:vAlign w:val="bottom"/>
            <w:hideMark/>
          </w:tcPr>
          <w:p w14:paraId="625366A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0.101</w:t>
            </w:r>
          </w:p>
        </w:tc>
      </w:tr>
      <w:tr w:rsidR="00073E55" w:rsidRPr="00646F36" w14:paraId="0A65B6A8" w14:textId="77777777" w:rsidTr="00267BC6">
        <w:trPr>
          <w:trHeight w:val="20"/>
        </w:trPr>
        <w:tc>
          <w:tcPr>
            <w:tcW w:w="1211" w:type="pct"/>
            <w:tcBorders>
              <w:top w:val="nil"/>
              <w:left w:val="nil"/>
              <w:bottom w:val="nil"/>
              <w:right w:val="nil"/>
            </w:tcBorders>
            <w:shd w:val="clear" w:color="auto" w:fill="auto"/>
            <w:hideMark/>
          </w:tcPr>
          <w:p w14:paraId="1E525D19"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(45-64)</w:t>
            </w:r>
          </w:p>
        </w:tc>
        <w:tc>
          <w:tcPr>
            <w:tcW w:w="632" w:type="pct"/>
            <w:tcBorders>
              <w:top w:val="nil"/>
              <w:left w:val="nil"/>
              <w:bottom w:val="nil"/>
              <w:right w:val="nil"/>
            </w:tcBorders>
            <w:shd w:val="clear" w:color="auto" w:fill="auto"/>
            <w:noWrap/>
            <w:vAlign w:val="bottom"/>
            <w:hideMark/>
          </w:tcPr>
          <w:p w14:paraId="58CA3D4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0.447***</w:t>
            </w:r>
          </w:p>
        </w:tc>
        <w:tc>
          <w:tcPr>
            <w:tcW w:w="632" w:type="pct"/>
            <w:tcBorders>
              <w:top w:val="nil"/>
              <w:left w:val="nil"/>
              <w:bottom w:val="nil"/>
              <w:right w:val="nil"/>
            </w:tcBorders>
            <w:shd w:val="clear" w:color="auto" w:fill="auto"/>
            <w:noWrap/>
            <w:vAlign w:val="bottom"/>
            <w:hideMark/>
          </w:tcPr>
          <w:p w14:paraId="619DCBA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0.470***</w:t>
            </w:r>
          </w:p>
        </w:tc>
        <w:tc>
          <w:tcPr>
            <w:tcW w:w="632" w:type="pct"/>
            <w:tcBorders>
              <w:top w:val="nil"/>
              <w:left w:val="nil"/>
              <w:bottom w:val="nil"/>
              <w:right w:val="nil"/>
            </w:tcBorders>
            <w:shd w:val="clear" w:color="auto" w:fill="auto"/>
            <w:noWrap/>
            <w:vAlign w:val="bottom"/>
            <w:hideMark/>
          </w:tcPr>
          <w:p w14:paraId="7D9A66A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0.438***</w:t>
            </w:r>
          </w:p>
        </w:tc>
        <w:tc>
          <w:tcPr>
            <w:tcW w:w="632" w:type="pct"/>
            <w:tcBorders>
              <w:top w:val="nil"/>
              <w:left w:val="nil"/>
              <w:bottom w:val="nil"/>
              <w:right w:val="nil"/>
            </w:tcBorders>
            <w:shd w:val="clear" w:color="auto" w:fill="auto"/>
            <w:noWrap/>
            <w:vAlign w:val="bottom"/>
            <w:hideMark/>
          </w:tcPr>
          <w:p w14:paraId="2760520F"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0.353***</w:t>
            </w:r>
          </w:p>
        </w:tc>
        <w:tc>
          <w:tcPr>
            <w:tcW w:w="632" w:type="pct"/>
            <w:tcBorders>
              <w:top w:val="nil"/>
              <w:left w:val="nil"/>
              <w:bottom w:val="nil"/>
              <w:right w:val="nil"/>
            </w:tcBorders>
            <w:shd w:val="clear" w:color="auto" w:fill="auto"/>
            <w:noWrap/>
            <w:vAlign w:val="bottom"/>
            <w:hideMark/>
          </w:tcPr>
          <w:p w14:paraId="3538D10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0.358***</w:t>
            </w:r>
          </w:p>
        </w:tc>
        <w:tc>
          <w:tcPr>
            <w:tcW w:w="632" w:type="pct"/>
            <w:tcBorders>
              <w:top w:val="nil"/>
              <w:left w:val="nil"/>
              <w:bottom w:val="nil"/>
              <w:right w:val="nil"/>
            </w:tcBorders>
            <w:shd w:val="clear" w:color="auto" w:fill="auto"/>
            <w:noWrap/>
            <w:vAlign w:val="bottom"/>
            <w:hideMark/>
          </w:tcPr>
          <w:p w14:paraId="5FB6FF1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0.392***</w:t>
            </w:r>
          </w:p>
        </w:tc>
      </w:tr>
      <w:tr w:rsidR="00073E55" w:rsidRPr="00646F36" w14:paraId="761D2F98" w14:textId="77777777" w:rsidTr="00267BC6">
        <w:trPr>
          <w:trHeight w:val="20"/>
        </w:trPr>
        <w:tc>
          <w:tcPr>
            <w:tcW w:w="1211" w:type="pct"/>
            <w:tcBorders>
              <w:top w:val="nil"/>
              <w:left w:val="nil"/>
              <w:bottom w:val="nil"/>
              <w:right w:val="nil"/>
            </w:tcBorders>
            <w:shd w:val="clear" w:color="auto" w:fill="auto"/>
            <w:noWrap/>
            <w:vAlign w:val="bottom"/>
            <w:hideMark/>
          </w:tcPr>
          <w:p w14:paraId="7B1D0A91"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242B5E1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0.039</w:t>
            </w:r>
          </w:p>
        </w:tc>
        <w:tc>
          <w:tcPr>
            <w:tcW w:w="632" w:type="pct"/>
            <w:tcBorders>
              <w:top w:val="nil"/>
              <w:left w:val="nil"/>
              <w:bottom w:val="nil"/>
              <w:right w:val="nil"/>
            </w:tcBorders>
            <w:shd w:val="clear" w:color="auto" w:fill="auto"/>
            <w:noWrap/>
            <w:vAlign w:val="bottom"/>
            <w:hideMark/>
          </w:tcPr>
          <w:p w14:paraId="2EC4F36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0.067</w:t>
            </w:r>
          </w:p>
        </w:tc>
        <w:tc>
          <w:tcPr>
            <w:tcW w:w="632" w:type="pct"/>
            <w:tcBorders>
              <w:top w:val="nil"/>
              <w:left w:val="nil"/>
              <w:bottom w:val="nil"/>
              <w:right w:val="nil"/>
            </w:tcBorders>
            <w:shd w:val="clear" w:color="auto" w:fill="auto"/>
            <w:noWrap/>
            <w:vAlign w:val="bottom"/>
            <w:hideMark/>
          </w:tcPr>
          <w:p w14:paraId="54BB14A8"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0.057</w:t>
            </w:r>
          </w:p>
        </w:tc>
        <w:tc>
          <w:tcPr>
            <w:tcW w:w="632" w:type="pct"/>
            <w:tcBorders>
              <w:top w:val="nil"/>
              <w:left w:val="nil"/>
              <w:bottom w:val="nil"/>
              <w:right w:val="nil"/>
            </w:tcBorders>
            <w:shd w:val="clear" w:color="auto" w:fill="auto"/>
            <w:noWrap/>
            <w:vAlign w:val="bottom"/>
            <w:hideMark/>
          </w:tcPr>
          <w:p w14:paraId="2814412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0.060</w:t>
            </w:r>
          </w:p>
        </w:tc>
        <w:tc>
          <w:tcPr>
            <w:tcW w:w="632" w:type="pct"/>
            <w:tcBorders>
              <w:top w:val="nil"/>
              <w:left w:val="nil"/>
              <w:bottom w:val="nil"/>
              <w:right w:val="nil"/>
            </w:tcBorders>
            <w:shd w:val="clear" w:color="auto" w:fill="auto"/>
            <w:noWrap/>
            <w:vAlign w:val="bottom"/>
            <w:hideMark/>
          </w:tcPr>
          <w:p w14:paraId="2C136F7F"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0.072</w:t>
            </w:r>
          </w:p>
        </w:tc>
        <w:tc>
          <w:tcPr>
            <w:tcW w:w="632" w:type="pct"/>
            <w:tcBorders>
              <w:top w:val="nil"/>
              <w:left w:val="nil"/>
              <w:bottom w:val="nil"/>
              <w:right w:val="nil"/>
            </w:tcBorders>
            <w:shd w:val="clear" w:color="auto" w:fill="auto"/>
            <w:noWrap/>
            <w:vAlign w:val="bottom"/>
            <w:hideMark/>
          </w:tcPr>
          <w:p w14:paraId="00A9332F"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0.106</w:t>
            </w:r>
          </w:p>
        </w:tc>
      </w:tr>
      <w:tr w:rsidR="00073E55" w:rsidRPr="00646F36" w14:paraId="4D64CF47" w14:textId="77777777" w:rsidTr="00267BC6">
        <w:trPr>
          <w:trHeight w:val="20"/>
        </w:trPr>
        <w:tc>
          <w:tcPr>
            <w:tcW w:w="1211" w:type="pct"/>
            <w:tcBorders>
              <w:top w:val="nil"/>
              <w:left w:val="nil"/>
              <w:bottom w:val="nil"/>
              <w:right w:val="nil"/>
            </w:tcBorders>
            <w:shd w:val="clear" w:color="auto" w:fill="auto"/>
            <w:hideMark/>
          </w:tcPr>
          <w:p w14:paraId="58B7C9C9"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(65-74)</w:t>
            </w:r>
          </w:p>
        </w:tc>
        <w:tc>
          <w:tcPr>
            <w:tcW w:w="632" w:type="pct"/>
            <w:tcBorders>
              <w:top w:val="nil"/>
              <w:left w:val="nil"/>
              <w:bottom w:val="nil"/>
              <w:right w:val="nil"/>
            </w:tcBorders>
            <w:shd w:val="clear" w:color="auto" w:fill="auto"/>
            <w:noWrap/>
            <w:vAlign w:val="bottom"/>
            <w:hideMark/>
          </w:tcPr>
          <w:p w14:paraId="1DC51B3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0.635***</w:t>
            </w:r>
          </w:p>
        </w:tc>
        <w:tc>
          <w:tcPr>
            <w:tcW w:w="632" w:type="pct"/>
            <w:tcBorders>
              <w:top w:val="nil"/>
              <w:left w:val="nil"/>
              <w:bottom w:val="nil"/>
              <w:right w:val="nil"/>
            </w:tcBorders>
            <w:shd w:val="clear" w:color="auto" w:fill="auto"/>
            <w:noWrap/>
            <w:vAlign w:val="bottom"/>
            <w:hideMark/>
          </w:tcPr>
          <w:p w14:paraId="2DB27FE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0.586***</w:t>
            </w:r>
          </w:p>
        </w:tc>
        <w:tc>
          <w:tcPr>
            <w:tcW w:w="632" w:type="pct"/>
            <w:tcBorders>
              <w:top w:val="nil"/>
              <w:left w:val="nil"/>
              <w:bottom w:val="nil"/>
              <w:right w:val="nil"/>
            </w:tcBorders>
            <w:shd w:val="clear" w:color="auto" w:fill="auto"/>
            <w:noWrap/>
            <w:vAlign w:val="bottom"/>
            <w:hideMark/>
          </w:tcPr>
          <w:p w14:paraId="33E16FC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0.625***</w:t>
            </w:r>
          </w:p>
        </w:tc>
        <w:tc>
          <w:tcPr>
            <w:tcW w:w="632" w:type="pct"/>
            <w:tcBorders>
              <w:top w:val="nil"/>
              <w:left w:val="nil"/>
              <w:bottom w:val="nil"/>
              <w:right w:val="nil"/>
            </w:tcBorders>
            <w:shd w:val="clear" w:color="auto" w:fill="auto"/>
            <w:noWrap/>
            <w:vAlign w:val="bottom"/>
            <w:hideMark/>
          </w:tcPr>
          <w:p w14:paraId="6A88E061"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0.589***</w:t>
            </w:r>
          </w:p>
        </w:tc>
        <w:tc>
          <w:tcPr>
            <w:tcW w:w="632" w:type="pct"/>
            <w:tcBorders>
              <w:top w:val="nil"/>
              <w:left w:val="nil"/>
              <w:bottom w:val="nil"/>
              <w:right w:val="nil"/>
            </w:tcBorders>
            <w:shd w:val="clear" w:color="auto" w:fill="auto"/>
            <w:noWrap/>
            <w:vAlign w:val="bottom"/>
            <w:hideMark/>
          </w:tcPr>
          <w:p w14:paraId="2014DBF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0.622***</w:t>
            </w:r>
          </w:p>
        </w:tc>
        <w:tc>
          <w:tcPr>
            <w:tcW w:w="632" w:type="pct"/>
            <w:tcBorders>
              <w:top w:val="nil"/>
              <w:left w:val="nil"/>
              <w:bottom w:val="nil"/>
              <w:right w:val="nil"/>
            </w:tcBorders>
            <w:shd w:val="clear" w:color="auto" w:fill="auto"/>
            <w:noWrap/>
            <w:vAlign w:val="bottom"/>
            <w:hideMark/>
          </w:tcPr>
          <w:p w14:paraId="5B46FD0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0.618***</w:t>
            </w:r>
          </w:p>
        </w:tc>
      </w:tr>
      <w:tr w:rsidR="00073E55" w:rsidRPr="00646F36" w14:paraId="30CD9807" w14:textId="77777777" w:rsidTr="00267BC6">
        <w:trPr>
          <w:trHeight w:val="20"/>
        </w:trPr>
        <w:tc>
          <w:tcPr>
            <w:tcW w:w="1211" w:type="pct"/>
            <w:tcBorders>
              <w:top w:val="nil"/>
              <w:left w:val="nil"/>
              <w:bottom w:val="nil"/>
              <w:right w:val="nil"/>
            </w:tcBorders>
            <w:shd w:val="clear" w:color="auto" w:fill="auto"/>
            <w:noWrap/>
            <w:vAlign w:val="bottom"/>
            <w:hideMark/>
          </w:tcPr>
          <w:p w14:paraId="2F70AE50"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10DBEC89"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0.045</w:t>
            </w:r>
          </w:p>
        </w:tc>
        <w:tc>
          <w:tcPr>
            <w:tcW w:w="632" w:type="pct"/>
            <w:tcBorders>
              <w:top w:val="nil"/>
              <w:left w:val="nil"/>
              <w:bottom w:val="nil"/>
              <w:right w:val="nil"/>
            </w:tcBorders>
            <w:shd w:val="clear" w:color="auto" w:fill="auto"/>
            <w:noWrap/>
            <w:vAlign w:val="bottom"/>
            <w:hideMark/>
          </w:tcPr>
          <w:p w14:paraId="600E0375"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0.069</w:t>
            </w:r>
          </w:p>
        </w:tc>
        <w:tc>
          <w:tcPr>
            <w:tcW w:w="632" w:type="pct"/>
            <w:tcBorders>
              <w:top w:val="nil"/>
              <w:left w:val="nil"/>
              <w:bottom w:val="nil"/>
              <w:right w:val="nil"/>
            </w:tcBorders>
            <w:shd w:val="clear" w:color="auto" w:fill="auto"/>
            <w:noWrap/>
            <w:vAlign w:val="bottom"/>
            <w:hideMark/>
          </w:tcPr>
          <w:p w14:paraId="14A7887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0.062</w:t>
            </w:r>
          </w:p>
        </w:tc>
        <w:tc>
          <w:tcPr>
            <w:tcW w:w="632" w:type="pct"/>
            <w:tcBorders>
              <w:top w:val="nil"/>
              <w:left w:val="nil"/>
              <w:bottom w:val="nil"/>
              <w:right w:val="nil"/>
            </w:tcBorders>
            <w:shd w:val="clear" w:color="auto" w:fill="auto"/>
            <w:noWrap/>
            <w:vAlign w:val="bottom"/>
            <w:hideMark/>
          </w:tcPr>
          <w:p w14:paraId="7A2B9C8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0.074</w:t>
            </w:r>
          </w:p>
        </w:tc>
        <w:tc>
          <w:tcPr>
            <w:tcW w:w="632" w:type="pct"/>
            <w:tcBorders>
              <w:top w:val="nil"/>
              <w:left w:val="nil"/>
              <w:bottom w:val="nil"/>
              <w:right w:val="nil"/>
            </w:tcBorders>
            <w:shd w:val="clear" w:color="auto" w:fill="auto"/>
            <w:noWrap/>
            <w:vAlign w:val="bottom"/>
            <w:hideMark/>
          </w:tcPr>
          <w:p w14:paraId="762058E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0.093</w:t>
            </w:r>
          </w:p>
        </w:tc>
        <w:tc>
          <w:tcPr>
            <w:tcW w:w="632" w:type="pct"/>
            <w:tcBorders>
              <w:top w:val="nil"/>
              <w:left w:val="nil"/>
              <w:bottom w:val="nil"/>
              <w:right w:val="nil"/>
            </w:tcBorders>
            <w:shd w:val="clear" w:color="auto" w:fill="auto"/>
            <w:noWrap/>
            <w:vAlign w:val="bottom"/>
            <w:hideMark/>
          </w:tcPr>
          <w:p w14:paraId="51FEA35A"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0.147</w:t>
            </w:r>
          </w:p>
        </w:tc>
      </w:tr>
      <w:tr w:rsidR="00073E55" w:rsidRPr="00646F36" w14:paraId="2D2B0B48" w14:textId="77777777" w:rsidTr="00267BC6">
        <w:trPr>
          <w:trHeight w:val="20"/>
        </w:trPr>
        <w:tc>
          <w:tcPr>
            <w:tcW w:w="1211" w:type="pct"/>
            <w:tcBorders>
              <w:top w:val="nil"/>
              <w:left w:val="nil"/>
              <w:bottom w:val="nil"/>
              <w:right w:val="nil"/>
            </w:tcBorders>
            <w:shd w:val="clear" w:color="auto" w:fill="auto"/>
            <w:noWrap/>
            <w:vAlign w:val="bottom"/>
            <w:hideMark/>
          </w:tcPr>
          <w:p w14:paraId="5A4E0056"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(75+)</w:t>
            </w:r>
          </w:p>
        </w:tc>
        <w:tc>
          <w:tcPr>
            <w:tcW w:w="632" w:type="pct"/>
            <w:tcBorders>
              <w:top w:val="nil"/>
              <w:left w:val="nil"/>
              <w:bottom w:val="nil"/>
              <w:right w:val="nil"/>
            </w:tcBorders>
            <w:shd w:val="clear" w:color="auto" w:fill="auto"/>
            <w:noWrap/>
            <w:vAlign w:val="bottom"/>
            <w:hideMark/>
          </w:tcPr>
          <w:p w14:paraId="7D6FBB21"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0.839***</w:t>
            </w:r>
          </w:p>
        </w:tc>
        <w:tc>
          <w:tcPr>
            <w:tcW w:w="632" w:type="pct"/>
            <w:tcBorders>
              <w:top w:val="nil"/>
              <w:left w:val="nil"/>
              <w:bottom w:val="nil"/>
              <w:right w:val="nil"/>
            </w:tcBorders>
            <w:shd w:val="clear" w:color="auto" w:fill="auto"/>
            <w:noWrap/>
            <w:vAlign w:val="bottom"/>
            <w:hideMark/>
          </w:tcPr>
          <w:p w14:paraId="426AE3AA"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0.672***</w:t>
            </w:r>
          </w:p>
        </w:tc>
        <w:tc>
          <w:tcPr>
            <w:tcW w:w="632" w:type="pct"/>
            <w:tcBorders>
              <w:top w:val="nil"/>
              <w:left w:val="nil"/>
              <w:bottom w:val="nil"/>
              <w:right w:val="nil"/>
            </w:tcBorders>
            <w:shd w:val="clear" w:color="auto" w:fill="auto"/>
            <w:noWrap/>
            <w:vAlign w:val="bottom"/>
            <w:hideMark/>
          </w:tcPr>
          <w:p w14:paraId="19ACC23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0.795***</w:t>
            </w:r>
          </w:p>
        </w:tc>
        <w:tc>
          <w:tcPr>
            <w:tcW w:w="632" w:type="pct"/>
            <w:tcBorders>
              <w:top w:val="nil"/>
              <w:left w:val="nil"/>
              <w:bottom w:val="nil"/>
              <w:right w:val="nil"/>
            </w:tcBorders>
            <w:shd w:val="clear" w:color="auto" w:fill="auto"/>
            <w:noWrap/>
            <w:vAlign w:val="bottom"/>
            <w:hideMark/>
          </w:tcPr>
          <w:p w14:paraId="13A32FBE"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0.846***</w:t>
            </w:r>
          </w:p>
        </w:tc>
        <w:tc>
          <w:tcPr>
            <w:tcW w:w="632" w:type="pct"/>
            <w:tcBorders>
              <w:top w:val="nil"/>
              <w:left w:val="nil"/>
              <w:bottom w:val="nil"/>
              <w:right w:val="nil"/>
            </w:tcBorders>
            <w:shd w:val="clear" w:color="auto" w:fill="auto"/>
            <w:noWrap/>
            <w:vAlign w:val="bottom"/>
            <w:hideMark/>
          </w:tcPr>
          <w:p w14:paraId="766B403F"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0.887***</w:t>
            </w:r>
          </w:p>
        </w:tc>
        <w:tc>
          <w:tcPr>
            <w:tcW w:w="632" w:type="pct"/>
            <w:tcBorders>
              <w:top w:val="nil"/>
              <w:left w:val="nil"/>
              <w:bottom w:val="nil"/>
              <w:right w:val="nil"/>
            </w:tcBorders>
            <w:shd w:val="clear" w:color="auto" w:fill="auto"/>
            <w:noWrap/>
            <w:vAlign w:val="bottom"/>
            <w:hideMark/>
          </w:tcPr>
          <w:p w14:paraId="0B8CA1E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1.316***</w:t>
            </w:r>
          </w:p>
        </w:tc>
      </w:tr>
      <w:tr w:rsidR="00073E55" w:rsidRPr="00646F36" w14:paraId="77E85065" w14:textId="77777777" w:rsidTr="00267BC6">
        <w:trPr>
          <w:trHeight w:val="20"/>
        </w:trPr>
        <w:tc>
          <w:tcPr>
            <w:tcW w:w="1211" w:type="pct"/>
            <w:tcBorders>
              <w:top w:val="nil"/>
              <w:left w:val="nil"/>
              <w:bottom w:val="nil"/>
              <w:right w:val="nil"/>
            </w:tcBorders>
            <w:shd w:val="clear" w:color="auto" w:fill="auto"/>
            <w:noWrap/>
            <w:vAlign w:val="bottom"/>
            <w:hideMark/>
          </w:tcPr>
          <w:p w14:paraId="675C9B20"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66B80FE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0.049</w:t>
            </w:r>
          </w:p>
        </w:tc>
        <w:tc>
          <w:tcPr>
            <w:tcW w:w="632" w:type="pct"/>
            <w:tcBorders>
              <w:top w:val="nil"/>
              <w:left w:val="nil"/>
              <w:bottom w:val="nil"/>
              <w:right w:val="nil"/>
            </w:tcBorders>
            <w:shd w:val="clear" w:color="auto" w:fill="auto"/>
            <w:noWrap/>
            <w:vAlign w:val="bottom"/>
            <w:hideMark/>
          </w:tcPr>
          <w:p w14:paraId="3E465B9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0.069</w:t>
            </w:r>
          </w:p>
        </w:tc>
        <w:tc>
          <w:tcPr>
            <w:tcW w:w="632" w:type="pct"/>
            <w:tcBorders>
              <w:top w:val="nil"/>
              <w:left w:val="nil"/>
              <w:bottom w:val="nil"/>
              <w:right w:val="nil"/>
            </w:tcBorders>
            <w:shd w:val="clear" w:color="auto" w:fill="auto"/>
            <w:noWrap/>
            <w:vAlign w:val="bottom"/>
            <w:hideMark/>
          </w:tcPr>
          <w:p w14:paraId="2C33BD4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0.065</w:t>
            </w:r>
          </w:p>
        </w:tc>
        <w:tc>
          <w:tcPr>
            <w:tcW w:w="632" w:type="pct"/>
            <w:tcBorders>
              <w:top w:val="nil"/>
              <w:left w:val="nil"/>
              <w:bottom w:val="nil"/>
              <w:right w:val="nil"/>
            </w:tcBorders>
            <w:shd w:val="clear" w:color="auto" w:fill="auto"/>
            <w:noWrap/>
            <w:vAlign w:val="bottom"/>
            <w:hideMark/>
          </w:tcPr>
          <w:p w14:paraId="57F1A42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0.084</w:t>
            </w:r>
          </w:p>
        </w:tc>
        <w:tc>
          <w:tcPr>
            <w:tcW w:w="632" w:type="pct"/>
            <w:tcBorders>
              <w:top w:val="nil"/>
              <w:left w:val="nil"/>
              <w:bottom w:val="nil"/>
              <w:right w:val="nil"/>
            </w:tcBorders>
            <w:shd w:val="clear" w:color="auto" w:fill="auto"/>
            <w:noWrap/>
            <w:vAlign w:val="bottom"/>
            <w:hideMark/>
          </w:tcPr>
          <w:p w14:paraId="6C32ADE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0.117</w:t>
            </w:r>
          </w:p>
        </w:tc>
        <w:tc>
          <w:tcPr>
            <w:tcW w:w="632" w:type="pct"/>
            <w:tcBorders>
              <w:top w:val="nil"/>
              <w:left w:val="nil"/>
              <w:bottom w:val="nil"/>
              <w:right w:val="nil"/>
            </w:tcBorders>
            <w:shd w:val="clear" w:color="auto" w:fill="auto"/>
            <w:noWrap/>
            <w:vAlign w:val="bottom"/>
            <w:hideMark/>
          </w:tcPr>
          <w:p w14:paraId="6F4652E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0.208</w:t>
            </w:r>
          </w:p>
        </w:tc>
      </w:tr>
      <w:tr w:rsidR="00073E55" w:rsidRPr="00646F36" w14:paraId="62893901" w14:textId="77777777" w:rsidTr="00267BC6">
        <w:trPr>
          <w:trHeight w:val="20"/>
        </w:trPr>
        <w:tc>
          <w:tcPr>
            <w:tcW w:w="1211" w:type="pct"/>
            <w:tcBorders>
              <w:top w:val="nil"/>
              <w:left w:val="nil"/>
              <w:bottom w:val="nil"/>
              <w:right w:val="nil"/>
            </w:tcBorders>
            <w:shd w:val="clear" w:color="auto" w:fill="auto"/>
            <w:noWrap/>
            <w:vAlign w:val="bottom"/>
            <w:hideMark/>
          </w:tcPr>
          <w:p w14:paraId="26612E1A"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(11-18)</w:t>
            </w:r>
          </w:p>
        </w:tc>
        <w:tc>
          <w:tcPr>
            <w:tcW w:w="632" w:type="pct"/>
            <w:tcBorders>
              <w:top w:val="nil"/>
              <w:left w:val="nil"/>
              <w:bottom w:val="nil"/>
              <w:right w:val="nil"/>
            </w:tcBorders>
            <w:shd w:val="clear" w:color="auto" w:fill="auto"/>
            <w:noWrap/>
            <w:vAlign w:val="bottom"/>
            <w:hideMark/>
          </w:tcPr>
          <w:p w14:paraId="7932553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0.143***</w:t>
            </w:r>
          </w:p>
        </w:tc>
        <w:tc>
          <w:tcPr>
            <w:tcW w:w="632" w:type="pct"/>
            <w:tcBorders>
              <w:top w:val="nil"/>
              <w:left w:val="nil"/>
              <w:bottom w:val="nil"/>
              <w:right w:val="nil"/>
            </w:tcBorders>
            <w:shd w:val="clear" w:color="auto" w:fill="auto"/>
            <w:noWrap/>
            <w:vAlign w:val="bottom"/>
            <w:hideMark/>
          </w:tcPr>
          <w:p w14:paraId="1AFBFA8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0.144**</w:t>
            </w:r>
          </w:p>
        </w:tc>
        <w:tc>
          <w:tcPr>
            <w:tcW w:w="632" w:type="pct"/>
            <w:tcBorders>
              <w:top w:val="nil"/>
              <w:left w:val="nil"/>
              <w:bottom w:val="nil"/>
              <w:right w:val="nil"/>
            </w:tcBorders>
            <w:shd w:val="clear" w:color="auto" w:fill="auto"/>
            <w:noWrap/>
            <w:vAlign w:val="bottom"/>
            <w:hideMark/>
          </w:tcPr>
          <w:p w14:paraId="4FC77F23"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0.103</w:t>
            </w:r>
          </w:p>
        </w:tc>
        <w:tc>
          <w:tcPr>
            <w:tcW w:w="632" w:type="pct"/>
            <w:tcBorders>
              <w:top w:val="nil"/>
              <w:left w:val="nil"/>
              <w:bottom w:val="nil"/>
              <w:right w:val="nil"/>
            </w:tcBorders>
            <w:shd w:val="clear" w:color="auto" w:fill="auto"/>
            <w:noWrap/>
            <w:vAlign w:val="bottom"/>
            <w:hideMark/>
          </w:tcPr>
          <w:p w14:paraId="336536F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0.046</w:t>
            </w:r>
          </w:p>
        </w:tc>
        <w:tc>
          <w:tcPr>
            <w:tcW w:w="632" w:type="pct"/>
            <w:tcBorders>
              <w:top w:val="nil"/>
              <w:left w:val="nil"/>
              <w:bottom w:val="nil"/>
              <w:right w:val="nil"/>
            </w:tcBorders>
            <w:shd w:val="clear" w:color="auto" w:fill="auto"/>
            <w:noWrap/>
            <w:vAlign w:val="bottom"/>
            <w:hideMark/>
          </w:tcPr>
          <w:p w14:paraId="4CFB302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0.148</w:t>
            </w:r>
          </w:p>
        </w:tc>
        <w:tc>
          <w:tcPr>
            <w:tcW w:w="632" w:type="pct"/>
            <w:tcBorders>
              <w:top w:val="nil"/>
              <w:left w:val="nil"/>
              <w:bottom w:val="nil"/>
              <w:right w:val="nil"/>
            </w:tcBorders>
            <w:shd w:val="clear" w:color="auto" w:fill="auto"/>
            <w:noWrap/>
            <w:vAlign w:val="bottom"/>
            <w:hideMark/>
          </w:tcPr>
          <w:p w14:paraId="5B72EA0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0.107</w:t>
            </w:r>
          </w:p>
        </w:tc>
      </w:tr>
      <w:tr w:rsidR="00073E55" w:rsidRPr="00646F36" w14:paraId="554C4C4D" w14:textId="77777777" w:rsidTr="00267BC6">
        <w:trPr>
          <w:trHeight w:val="20"/>
        </w:trPr>
        <w:tc>
          <w:tcPr>
            <w:tcW w:w="1211" w:type="pct"/>
            <w:tcBorders>
              <w:top w:val="nil"/>
              <w:left w:val="nil"/>
              <w:bottom w:val="nil"/>
              <w:right w:val="nil"/>
            </w:tcBorders>
            <w:shd w:val="clear" w:color="auto" w:fill="auto"/>
            <w:noWrap/>
            <w:vAlign w:val="bottom"/>
            <w:hideMark/>
          </w:tcPr>
          <w:p w14:paraId="455CBE1E"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11F66E2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0.043</w:t>
            </w:r>
          </w:p>
        </w:tc>
        <w:tc>
          <w:tcPr>
            <w:tcW w:w="632" w:type="pct"/>
            <w:tcBorders>
              <w:top w:val="nil"/>
              <w:left w:val="nil"/>
              <w:bottom w:val="nil"/>
              <w:right w:val="nil"/>
            </w:tcBorders>
            <w:shd w:val="clear" w:color="auto" w:fill="auto"/>
            <w:noWrap/>
            <w:vAlign w:val="bottom"/>
            <w:hideMark/>
          </w:tcPr>
          <w:p w14:paraId="35ED6FB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0.073</w:t>
            </w:r>
          </w:p>
        </w:tc>
        <w:tc>
          <w:tcPr>
            <w:tcW w:w="632" w:type="pct"/>
            <w:tcBorders>
              <w:top w:val="nil"/>
              <w:left w:val="nil"/>
              <w:bottom w:val="nil"/>
              <w:right w:val="nil"/>
            </w:tcBorders>
            <w:shd w:val="clear" w:color="auto" w:fill="auto"/>
            <w:noWrap/>
            <w:vAlign w:val="bottom"/>
            <w:hideMark/>
          </w:tcPr>
          <w:p w14:paraId="70E2ADBE"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0.074</w:t>
            </w:r>
          </w:p>
        </w:tc>
        <w:tc>
          <w:tcPr>
            <w:tcW w:w="632" w:type="pct"/>
            <w:tcBorders>
              <w:top w:val="nil"/>
              <w:left w:val="nil"/>
              <w:bottom w:val="nil"/>
              <w:right w:val="nil"/>
            </w:tcBorders>
            <w:shd w:val="clear" w:color="auto" w:fill="auto"/>
            <w:noWrap/>
            <w:vAlign w:val="bottom"/>
            <w:hideMark/>
          </w:tcPr>
          <w:p w14:paraId="4330471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0.080</w:t>
            </w:r>
          </w:p>
        </w:tc>
        <w:tc>
          <w:tcPr>
            <w:tcW w:w="632" w:type="pct"/>
            <w:tcBorders>
              <w:top w:val="nil"/>
              <w:left w:val="nil"/>
              <w:bottom w:val="nil"/>
              <w:right w:val="nil"/>
            </w:tcBorders>
            <w:shd w:val="clear" w:color="auto" w:fill="auto"/>
            <w:noWrap/>
            <w:vAlign w:val="bottom"/>
            <w:hideMark/>
          </w:tcPr>
          <w:p w14:paraId="2E23002A"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0.108</w:t>
            </w:r>
          </w:p>
        </w:tc>
        <w:tc>
          <w:tcPr>
            <w:tcW w:w="632" w:type="pct"/>
            <w:tcBorders>
              <w:top w:val="nil"/>
              <w:left w:val="nil"/>
              <w:bottom w:val="nil"/>
              <w:right w:val="nil"/>
            </w:tcBorders>
            <w:shd w:val="clear" w:color="auto" w:fill="auto"/>
            <w:noWrap/>
            <w:vAlign w:val="bottom"/>
            <w:hideMark/>
          </w:tcPr>
          <w:p w14:paraId="0FCA0C7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0.150</w:t>
            </w:r>
          </w:p>
        </w:tc>
      </w:tr>
      <w:tr w:rsidR="00073E55" w:rsidRPr="00646F36" w14:paraId="06DF2E46" w14:textId="77777777" w:rsidTr="00267BC6">
        <w:trPr>
          <w:trHeight w:val="20"/>
        </w:trPr>
        <w:tc>
          <w:tcPr>
            <w:tcW w:w="1211" w:type="pct"/>
            <w:tcBorders>
              <w:top w:val="nil"/>
              <w:left w:val="nil"/>
              <w:bottom w:val="nil"/>
              <w:right w:val="nil"/>
            </w:tcBorders>
            <w:shd w:val="clear" w:color="auto" w:fill="auto"/>
            <w:hideMark/>
          </w:tcPr>
          <w:p w14:paraId="6B180C79"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(18-34)</w:t>
            </w:r>
          </w:p>
        </w:tc>
        <w:tc>
          <w:tcPr>
            <w:tcW w:w="632" w:type="pct"/>
            <w:tcBorders>
              <w:top w:val="nil"/>
              <w:left w:val="nil"/>
              <w:bottom w:val="nil"/>
              <w:right w:val="nil"/>
            </w:tcBorders>
            <w:shd w:val="clear" w:color="auto" w:fill="auto"/>
            <w:noWrap/>
            <w:vAlign w:val="bottom"/>
            <w:hideMark/>
          </w:tcPr>
          <w:p w14:paraId="14A36A6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0.385***</w:t>
            </w:r>
          </w:p>
        </w:tc>
        <w:tc>
          <w:tcPr>
            <w:tcW w:w="632" w:type="pct"/>
            <w:tcBorders>
              <w:top w:val="nil"/>
              <w:left w:val="nil"/>
              <w:bottom w:val="nil"/>
              <w:right w:val="nil"/>
            </w:tcBorders>
            <w:shd w:val="clear" w:color="auto" w:fill="auto"/>
            <w:noWrap/>
            <w:vAlign w:val="bottom"/>
            <w:hideMark/>
          </w:tcPr>
          <w:p w14:paraId="5C34DEC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0.428***</w:t>
            </w:r>
          </w:p>
        </w:tc>
        <w:tc>
          <w:tcPr>
            <w:tcW w:w="632" w:type="pct"/>
            <w:tcBorders>
              <w:top w:val="nil"/>
              <w:left w:val="nil"/>
              <w:bottom w:val="nil"/>
              <w:right w:val="nil"/>
            </w:tcBorders>
            <w:shd w:val="clear" w:color="auto" w:fill="auto"/>
            <w:noWrap/>
            <w:vAlign w:val="bottom"/>
            <w:hideMark/>
          </w:tcPr>
          <w:p w14:paraId="73538CC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0.359***</w:t>
            </w:r>
          </w:p>
        </w:tc>
        <w:tc>
          <w:tcPr>
            <w:tcW w:w="632" w:type="pct"/>
            <w:tcBorders>
              <w:top w:val="nil"/>
              <w:left w:val="nil"/>
              <w:bottom w:val="nil"/>
              <w:right w:val="nil"/>
            </w:tcBorders>
            <w:shd w:val="clear" w:color="auto" w:fill="auto"/>
            <w:noWrap/>
            <w:vAlign w:val="bottom"/>
            <w:hideMark/>
          </w:tcPr>
          <w:p w14:paraId="674D6EC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0.329***</w:t>
            </w:r>
          </w:p>
        </w:tc>
        <w:tc>
          <w:tcPr>
            <w:tcW w:w="632" w:type="pct"/>
            <w:tcBorders>
              <w:top w:val="nil"/>
              <w:left w:val="nil"/>
              <w:bottom w:val="nil"/>
              <w:right w:val="nil"/>
            </w:tcBorders>
            <w:shd w:val="clear" w:color="auto" w:fill="auto"/>
            <w:noWrap/>
            <w:vAlign w:val="bottom"/>
            <w:hideMark/>
          </w:tcPr>
          <w:p w14:paraId="209F040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0.358***</w:t>
            </w:r>
          </w:p>
        </w:tc>
        <w:tc>
          <w:tcPr>
            <w:tcW w:w="632" w:type="pct"/>
            <w:tcBorders>
              <w:top w:val="nil"/>
              <w:left w:val="nil"/>
              <w:bottom w:val="nil"/>
              <w:right w:val="nil"/>
            </w:tcBorders>
            <w:shd w:val="clear" w:color="auto" w:fill="auto"/>
            <w:noWrap/>
            <w:vAlign w:val="bottom"/>
            <w:hideMark/>
          </w:tcPr>
          <w:p w14:paraId="0F6A94E7"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0.316***</w:t>
            </w:r>
          </w:p>
        </w:tc>
      </w:tr>
      <w:tr w:rsidR="00073E55" w:rsidRPr="00646F36" w14:paraId="1A88499B" w14:textId="77777777" w:rsidTr="00267BC6">
        <w:trPr>
          <w:trHeight w:val="20"/>
        </w:trPr>
        <w:tc>
          <w:tcPr>
            <w:tcW w:w="1211" w:type="pct"/>
            <w:tcBorders>
              <w:top w:val="nil"/>
              <w:left w:val="nil"/>
              <w:bottom w:val="nil"/>
              <w:right w:val="nil"/>
            </w:tcBorders>
            <w:shd w:val="clear" w:color="auto" w:fill="auto"/>
            <w:noWrap/>
            <w:vAlign w:val="bottom"/>
            <w:hideMark/>
          </w:tcPr>
          <w:p w14:paraId="3AFEEA6D"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60743DE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0.038</w:t>
            </w:r>
          </w:p>
        </w:tc>
        <w:tc>
          <w:tcPr>
            <w:tcW w:w="632" w:type="pct"/>
            <w:tcBorders>
              <w:top w:val="nil"/>
              <w:left w:val="nil"/>
              <w:bottom w:val="nil"/>
              <w:right w:val="nil"/>
            </w:tcBorders>
            <w:shd w:val="clear" w:color="auto" w:fill="auto"/>
            <w:noWrap/>
            <w:vAlign w:val="bottom"/>
            <w:hideMark/>
          </w:tcPr>
          <w:p w14:paraId="667691E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0.066</w:t>
            </w:r>
          </w:p>
        </w:tc>
        <w:tc>
          <w:tcPr>
            <w:tcW w:w="632" w:type="pct"/>
            <w:tcBorders>
              <w:top w:val="nil"/>
              <w:left w:val="nil"/>
              <w:bottom w:val="nil"/>
              <w:right w:val="nil"/>
            </w:tcBorders>
            <w:shd w:val="clear" w:color="auto" w:fill="auto"/>
            <w:noWrap/>
            <w:vAlign w:val="bottom"/>
            <w:hideMark/>
          </w:tcPr>
          <w:p w14:paraId="6DC7B7A9"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0.057</w:t>
            </w:r>
          </w:p>
        </w:tc>
        <w:tc>
          <w:tcPr>
            <w:tcW w:w="632" w:type="pct"/>
            <w:tcBorders>
              <w:top w:val="nil"/>
              <w:left w:val="nil"/>
              <w:bottom w:val="nil"/>
              <w:right w:val="nil"/>
            </w:tcBorders>
            <w:shd w:val="clear" w:color="auto" w:fill="auto"/>
            <w:noWrap/>
            <w:vAlign w:val="bottom"/>
            <w:hideMark/>
          </w:tcPr>
          <w:p w14:paraId="21DDB47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0.060</w:t>
            </w:r>
          </w:p>
        </w:tc>
        <w:tc>
          <w:tcPr>
            <w:tcW w:w="632" w:type="pct"/>
            <w:tcBorders>
              <w:top w:val="nil"/>
              <w:left w:val="nil"/>
              <w:bottom w:val="nil"/>
              <w:right w:val="nil"/>
            </w:tcBorders>
            <w:shd w:val="clear" w:color="auto" w:fill="auto"/>
            <w:noWrap/>
            <w:vAlign w:val="bottom"/>
            <w:hideMark/>
          </w:tcPr>
          <w:p w14:paraId="5160628A"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0.073</w:t>
            </w:r>
          </w:p>
        </w:tc>
        <w:tc>
          <w:tcPr>
            <w:tcW w:w="632" w:type="pct"/>
            <w:tcBorders>
              <w:top w:val="nil"/>
              <w:left w:val="nil"/>
              <w:bottom w:val="nil"/>
              <w:right w:val="nil"/>
            </w:tcBorders>
            <w:shd w:val="clear" w:color="auto" w:fill="auto"/>
            <w:noWrap/>
            <w:vAlign w:val="bottom"/>
            <w:hideMark/>
          </w:tcPr>
          <w:p w14:paraId="79B11BE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0.104</w:t>
            </w:r>
          </w:p>
        </w:tc>
      </w:tr>
      <w:tr w:rsidR="00073E55" w:rsidRPr="00646F36" w14:paraId="19BEBDAD" w14:textId="77777777" w:rsidTr="00267BC6">
        <w:trPr>
          <w:trHeight w:val="20"/>
        </w:trPr>
        <w:tc>
          <w:tcPr>
            <w:tcW w:w="1211" w:type="pct"/>
            <w:tcBorders>
              <w:top w:val="nil"/>
              <w:left w:val="nil"/>
              <w:bottom w:val="nil"/>
              <w:right w:val="nil"/>
            </w:tcBorders>
            <w:shd w:val="clear" w:color="auto" w:fill="auto"/>
            <w:hideMark/>
          </w:tcPr>
          <w:p w14:paraId="797C8D4E"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(35-44)</w:t>
            </w:r>
          </w:p>
        </w:tc>
        <w:tc>
          <w:tcPr>
            <w:tcW w:w="632" w:type="pct"/>
            <w:tcBorders>
              <w:top w:val="nil"/>
              <w:left w:val="nil"/>
              <w:bottom w:val="nil"/>
              <w:right w:val="nil"/>
            </w:tcBorders>
            <w:shd w:val="clear" w:color="auto" w:fill="auto"/>
            <w:noWrap/>
            <w:vAlign w:val="bottom"/>
            <w:hideMark/>
          </w:tcPr>
          <w:p w14:paraId="3A45ECE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0.402***</w:t>
            </w:r>
          </w:p>
        </w:tc>
        <w:tc>
          <w:tcPr>
            <w:tcW w:w="632" w:type="pct"/>
            <w:tcBorders>
              <w:top w:val="nil"/>
              <w:left w:val="nil"/>
              <w:bottom w:val="nil"/>
              <w:right w:val="nil"/>
            </w:tcBorders>
            <w:shd w:val="clear" w:color="auto" w:fill="auto"/>
            <w:noWrap/>
            <w:vAlign w:val="bottom"/>
            <w:hideMark/>
          </w:tcPr>
          <w:p w14:paraId="279E7EF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0.407***</w:t>
            </w:r>
          </w:p>
        </w:tc>
        <w:tc>
          <w:tcPr>
            <w:tcW w:w="632" w:type="pct"/>
            <w:tcBorders>
              <w:top w:val="nil"/>
              <w:left w:val="nil"/>
              <w:bottom w:val="nil"/>
              <w:right w:val="nil"/>
            </w:tcBorders>
            <w:shd w:val="clear" w:color="auto" w:fill="auto"/>
            <w:noWrap/>
            <w:vAlign w:val="bottom"/>
            <w:hideMark/>
          </w:tcPr>
          <w:p w14:paraId="067A694F"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0.406***</w:t>
            </w:r>
          </w:p>
        </w:tc>
        <w:tc>
          <w:tcPr>
            <w:tcW w:w="632" w:type="pct"/>
            <w:tcBorders>
              <w:top w:val="nil"/>
              <w:left w:val="nil"/>
              <w:bottom w:val="nil"/>
              <w:right w:val="nil"/>
            </w:tcBorders>
            <w:shd w:val="clear" w:color="auto" w:fill="auto"/>
            <w:noWrap/>
            <w:vAlign w:val="bottom"/>
            <w:hideMark/>
          </w:tcPr>
          <w:p w14:paraId="2126B46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0.385***</w:t>
            </w:r>
          </w:p>
        </w:tc>
        <w:tc>
          <w:tcPr>
            <w:tcW w:w="632" w:type="pct"/>
            <w:tcBorders>
              <w:top w:val="nil"/>
              <w:left w:val="nil"/>
              <w:bottom w:val="nil"/>
              <w:right w:val="nil"/>
            </w:tcBorders>
            <w:shd w:val="clear" w:color="auto" w:fill="auto"/>
            <w:noWrap/>
            <w:vAlign w:val="bottom"/>
            <w:hideMark/>
          </w:tcPr>
          <w:p w14:paraId="64E459F7"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0.346***</w:t>
            </w:r>
          </w:p>
        </w:tc>
        <w:tc>
          <w:tcPr>
            <w:tcW w:w="632" w:type="pct"/>
            <w:tcBorders>
              <w:top w:val="nil"/>
              <w:left w:val="nil"/>
              <w:bottom w:val="nil"/>
              <w:right w:val="nil"/>
            </w:tcBorders>
            <w:shd w:val="clear" w:color="auto" w:fill="auto"/>
            <w:noWrap/>
            <w:vAlign w:val="bottom"/>
            <w:hideMark/>
          </w:tcPr>
          <w:p w14:paraId="275C448E"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0.312***</w:t>
            </w:r>
          </w:p>
        </w:tc>
      </w:tr>
      <w:tr w:rsidR="00073E55" w:rsidRPr="00646F36" w14:paraId="5DFF6810" w14:textId="77777777" w:rsidTr="00267BC6">
        <w:trPr>
          <w:trHeight w:val="20"/>
        </w:trPr>
        <w:tc>
          <w:tcPr>
            <w:tcW w:w="1211" w:type="pct"/>
            <w:tcBorders>
              <w:top w:val="nil"/>
              <w:left w:val="nil"/>
              <w:bottom w:val="nil"/>
              <w:right w:val="nil"/>
            </w:tcBorders>
            <w:shd w:val="clear" w:color="auto" w:fill="auto"/>
            <w:noWrap/>
            <w:vAlign w:val="bottom"/>
            <w:hideMark/>
          </w:tcPr>
          <w:p w14:paraId="457F5144"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405D791E"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0.039</w:t>
            </w:r>
          </w:p>
        </w:tc>
        <w:tc>
          <w:tcPr>
            <w:tcW w:w="632" w:type="pct"/>
            <w:tcBorders>
              <w:top w:val="nil"/>
              <w:left w:val="nil"/>
              <w:bottom w:val="nil"/>
              <w:right w:val="nil"/>
            </w:tcBorders>
            <w:shd w:val="clear" w:color="auto" w:fill="auto"/>
            <w:noWrap/>
            <w:vAlign w:val="bottom"/>
            <w:hideMark/>
          </w:tcPr>
          <w:p w14:paraId="5CFC3E7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0.068</w:t>
            </w:r>
          </w:p>
        </w:tc>
        <w:tc>
          <w:tcPr>
            <w:tcW w:w="632" w:type="pct"/>
            <w:tcBorders>
              <w:top w:val="nil"/>
              <w:left w:val="nil"/>
              <w:bottom w:val="nil"/>
              <w:right w:val="nil"/>
            </w:tcBorders>
            <w:shd w:val="clear" w:color="auto" w:fill="auto"/>
            <w:noWrap/>
            <w:vAlign w:val="bottom"/>
            <w:hideMark/>
          </w:tcPr>
          <w:p w14:paraId="53F4B7B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0.058</w:t>
            </w:r>
          </w:p>
        </w:tc>
        <w:tc>
          <w:tcPr>
            <w:tcW w:w="632" w:type="pct"/>
            <w:tcBorders>
              <w:top w:val="nil"/>
              <w:left w:val="nil"/>
              <w:bottom w:val="nil"/>
              <w:right w:val="nil"/>
            </w:tcBorders>
            <w:shd w:val="clear" w:color="auto" w:fill="auto"/>
            <w:noWrap/>
            <w:vAlign w:val="bottom"/>
            <w:hideMark/>
          </w:tcPr>
          <w:p w14:paraId="6E38BD9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0.062</w:t>
            </w:r>
          </w:p>
        </w:tc>
        <w:tc>
          <w:tcPr>
            <w:tcW w:w="632" w:type="pct"/>
            <w:tcBorders>
              <w:top w:val="nil"/>
              <w:left w:val="nil"/>
              <w:bottom w:val="nil"/>
              <w:right w:val="nil"/>
            </w:tcBorders>
            <w:shd w:val="clear" w:color="auto" w:fill="auto"/>
            <w:noWrap/>
            <w:vAlign w:val="bottom"/>
            <w:hideMark/>
          </w:tcPr>
          <w:p w14:paraId="11CD7EEE"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0.072</w:t>
            </w:r>
          </w:p>
        </w:tc>
        <w:tc>
          <w:tcPr>
            <w:tcW w:w="632" w:type="pct"/>
            <w:tcBorders>
              <w:top w:val="nil"/>
              <w:left w:val="nil"/>
              <w:bottom w:val="nil"/>
              <w:right w:val="nil"/>
            </w:tcBorders>
            <w:shd w:val="clear" w:color="auto" w:fill="auto"/>
            <w:noWrap/>
            <w:vAlign w:val="bottom"/>
            <w:hideMark/>
          </w:tcPr>
          <w:p w14:paraId="138B31BA"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0.103</w:t>
            </w:r>
          </w:p>
        </w:tc>
      </w:tr>
      <w:tr w:rsidR="00073E55" w:rsidRPr="00646F36" w14:paraId="0BB05858" w14:textId="77777777" w:rsidTr="00267BC6">
        <w:trPr>
          <w:trHeight w:val="20"/>
        </w:trPr>
        <w:tc>
          <w:tcPr>
            <w:tcW w:w="1211" w:type="pct"/>
            <w:tcBorders>
              <w:top w:val="nil"/>
              <w:left w:val="nil"/>
              <w:bottom w:val="nil"/>
              <w:right w:val="nil"/>
            </w:tcBorders>
            <w:shd w:val="clear" w:color="auto" w:fill="auto"/>
            <w:hideMark/>
          </w:tcPr>
          <w:p w14:paraId="2A481032"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(45-64)</w:t>
            </w:r>
          </w:p>
        </w:tc>
        <w:tc>
          <w:tcPr>
            <w:tcW w:w="632" w:type="pct"/>
            <w:tcBorders>
              <w:top w:val="nil"/>
              <w:left w:val="nil"/>
              <w:bottom w:val="nil"/>
              <w:right w:val="nil"/>
            </w:tcBorders>
            <w:shd w:val="clear" w:color="auto" w:fill="auto"/>
            <w:noWrap/>
            <w:vAlign w:val="bottom"/>
            <w:hideMark/>
          </w:tcPr>
          <w:p w14:paraId="29A2149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0.581***</w:t>
            </w:r>
          </w:p>
        </w:tc>
        <w:tc>
          <w:tcPr>
            <w:tcW w:w="632" w:type="pct"/>
            <w:tcBorders>
              <w:top w:val="nil"/>
              <w:left w:val="nil"/>
              <w:bottom w:val="nil"/>
              <w:right w:val="nil"/>
            </w:tcBorders>
            <w:shd w:val="clear" w:color="auto" w:fill="auto"/>
            <w:noWrap/>
            <w:vAlign w:val="bottom"/>
            <w:hideMark/>
          </w:tcPr>
          <w:p w14:paraId="49FD018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0.571***</w:t>
            </w:r>
          </w:p>
        </w:tc>
        <w:tc>
          <w:tcPr>
            <w:tcW w:w="632" w:type="pct"/>
            <w:tcBorders>
              <w:top w:val="nil"/>
              <w:left w:val="nil"/>
              <w:bottom w:val="nil"/>
              <w:right w:val="nil"/>
            </w:tcBorders>
            <w:shd w:val="clear" w:color="auto" w:fill="auto"/>
            <w:noWrap/>
            <w:vAlign w:val="bottom"/>
            <w:hideMark/>
          </w:tcPr>
          <w:p w14:paraId="0A3090FB"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0.584***</w:t>
            </w:r>
          </w:p>
        </w:tc>
        <w:tc>
          <w:tcPr>
            <w:tcW w:w="632" w:type="pct"/>
            <w:tcBorders>
              <w:top w:val="nil"/>
              <w:left w:val="nil"/>
              <w:bottom w:val="nil"/>
              <w:right w:val="nil"/>
            </w:tcBorders>
            <w:shd w:val="clear" w:color="auto" w:fill="auto"/>
            <w:noWrap/>
            <w:vAlign w:val="bottom"/>
            <w:hideMark/>
          </w:tcPr>
          <w:p w14:paraId="0436A71B"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0.552***</w:t>
            </w:r>
          </w:p>
        </w:tc>
        <w:tc>
          <w:tcPr>
            <w:tcW w:w="632" w:type="pct"/>
            <w:tcBorders>
              <w:top w:val="nil"/>
              <w:left w:val="nil"/>
              <w:bottom w:val="nil"/>
              <w:right w:val="nil"/>
            </w:tcBorders>
            <w:shd w:val="clear" w:color="auto" w:fill="auto"/>
            <w:noWrap/>
            <w:vAlign w:val="bottom"/>
            <w:hideMark/>
          </w:tcPr>
          <w:p w14:paraId="3FB579F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0.488***</w:t>
            </w:r>
          </w:p>
        </w:tc>
        <w:tc>
          <w:tcPr>
            <w:tcW w:w="632" w:type="pct"/>
            <w:tcBorders>
              <w:top w:val="nil"/>
              <w:left w:val="nil"/>
              <w:bottom w:val="nil"/>
              <w:right w:val="nil"/>
            </w:tcBorders>
            <w:shd w:val="clear" w:color="auto" w:fill="auto"/>
            <w:noWrap/>
            <w:vAlign w:val="bottom"/>
            <w:hideMark/>
          </w:tcPr>
          <w:p w14:paraId="3014092A"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0.482***</w:t>
            </w:r>
          </w:p>
        </w:tc>
      </w:tr>
      <w:tr w:rsidR="00073E55" w:rsidRPr="00646F36" w14:paraId="03CB7879" w14:textId="77777777" w:rsidTr="00267BC6">
        <w:trPr>
          <w:trHeight w:val="20"/>
        </w:trPr>
        <w:tc>
          <w:tcPr>
            <w:tcW w:w="1211" w:type="pct"/>
            <w:tcBorders>
              <w:top w:val="nil"/>
              <w:left w:val="nil"/>
              <w:bottom w:val="nil"/>
              <w:right w:val="nil"/>
            </w:tcBorders>
            <w:shd w:val="clear" w:color="auto" w:fill="auto"/>
            <w:noWrap/>
            <w:vAlign w:val="bottom"/>
            <w:hideMark/>
          </w:tcPr>
          <w:p w14:paraId="0739D168"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5023476A"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0.039</w:t>
            </w:r>
          </w:p>
        </w:tc>
        <w:tc>
          <w:tcPr>
            <w:tcW w:w="632" w:type="pct"/>
            <w:tcBorders>
              <w:top w:val="nil"/>
              <w:left w:val="nil"/>
              <w:bottom w:val="nil"/>
              <w:right w:val="nil"/>
            </w:tcBorders>
            <w:shd w:val="clear" w:color="auto" w:fill="auto"/>
            <w:noWrap/>
            <w:vAlign w:val="bottom"/>
            <w:hideMark/>
          </w:tcPr>
          <w:p w14:paraId="74779608"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0.067</w:t>
            </w:r>
          </w:p>
        </w:tc>
        <w:tc>
          <w:tcPr>
            <w:tcW w:w="632" w:type="pct"/>
            <w:tcBorders>
              <w:top w:val="nil"/>
              <w:left w:val="nil"/>
              <w:bottom w:val="nil"/>
              <w:right w:val="nil"/>
            </w:tcBorders>
            <w:shd w:val="clear" w:color="auto" w:fill="auto"/>
            <w:noWrap/>
            <w:vAlign w:val="bottom"/>
            <w:hideMark/>
          </w:tcPr>
          <w:p w14:paraId="2AC399A8"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0.056</w:t>
            </w:r>
          </w:p>
        </w:tc>
        <w:tc>
          <w:tcPr>
            <w:tcW w:w="632" w:type="pct"/>
            <w:tcBorders>
              <w:top w:val="nil"/>
              <w:left w:val="nil"/>
              <w:bottom w:val="nil"/>
              <w:right w:val="nil"/>
            </w:tcBorders>
            <w:shd w:val="clear" w:color="auto" w:fill="auto"/>
            <w:noWrap/>
            <w:vAlign w:val="bottom"/>
            <w:hideMark/>
          </w:tcPr>
          <w:p w14:paraId="2CEA9979"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0.061</w:t>
            </w:r>
          </w:p>
        </w:tc>
        <w:tc>
          <w:tcPr>
            <w:tcW w:w="632" w:type="pct"/>
            <w:tcBorders>
              <w:top w:val="nil"/>
              <w:left w:val="nil"/>
              <w:bottom w:val="nil"/>
              <w:right w:val="nil"/>
            </w:tcBorders>
            <w:shd w:val="clear" w:color="auto" w:fill="auto"/>
            <w:noWrap/>
            <w:vAlign w:val="bottom"/>
            <w:hideMark/>
          </w:tcPr>
          <w:p w14:paraId="3F0E8FD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0.073</w:t>
            </w:r>
          </w:p>
        </w:tc>
        <w:tc>
          <w:tcPr>
            <w:tcW w:w="632" w:type="pct"/>
            <w:tcBorders>
              <w:top w:val="nil"/>
              <w:left w:val="nil"/>
              <w:bottom w:val="nil"/>
              <w:right w:val="nil"/>
            </w:tcBorders>
            <w:shd w:val="clear" w:color="auto" w:fill="auto"/>
            <w:noWrap/>
            <w:vAlign w:val="bottom"/>
            <w:hideMark/>
          </w:tcPr>
          <w:p w14:paraId="2CB0557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0.106</w:t>
            </w:r>
          </w:p>
        </w:tc>
      </w:tr>
      <w:tr w:rsidR="00073E55" w:rsidRPr="00646F36" w14:paraId="5C92CD6D" w14:textId="77777777" w:rsidTr="00267BC6">
        <w:trPr>
          <w:trHeight w:val="20"/>
        </w:trPr>
        <w:tc>
          <w:tcPr>
            <w:tcW w:w="1211" w:type="pct"/>
            <w:tcBorders>
              <w:top w:val="nil"/>
              <w:left w:val="nil"/>
              <w:bottom w:val="nil"/>
              <w:right w:val="nil"/>
            </w:tcBorders>
            <w:shd w:val="clear" w:color="auto" w:fill="auto"/>
            <w:hideMark/>
          </w:tcPr>
          <w:p w14:paraId="2FD95CF3"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(65-74)</w:t>
            </w:r>
          </w:p>
        </w:tc>
        <w:tc>
          <w:tcPr>
            <w:tcW w:w="632" w:type="pct"/>
            <w:tcBorders>
              <w:top w:val="nil"/>
              <w:left w:val="nil"/>
              <w:bottom w:val="nil"/>
              <w:right w:val="nil"/>
            </w:tcBorders>
            <w:shd w:val="clear" w:color="auto" w:fill="auto"/>
            <w:noWrap/>
            <w:vAlign w:val="bottom"/>
            <w:hideMark/>
          </w:tcPr>
          <w:p w14:paraId="40CFA973"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0.798***</w:t>
            </w:r>
          </w:p>
        </w:tc>
        <w:tc>
          <w:tcPr>
            <w:tcW w:w="632" w:type="pct"/>
            <w:tcBorders>
              <w:top w:val="nil"/>
              <w:left w:val="nil"/>
              <w:bottom w:val="nil"/>
              <w:right w:val="nil"/>
            </w:tcBorders>
            <w:shd w:val="clear" w:color="auto" w:fill="auto"/>
            <w:noWrap/>
            <w:vAlign w:val="bottom"/>
            <w:hideMark/>
          </w:tcPr>
          <w:p w14:paraId="79A46C1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0.701***</w:t>
            </w:r>
          </w:p>
        </w:tc>
        <w:tc>
          <w:tcPr>
            <w:tcW w:w="632" w:type="pct"/>
            <w:tcBorders>
              <w:top w:val="nil"/>
              <w:left w:val="nil"/>
              <w:bottom w:val="nil"/>
              <w:right w:val="nil"/>
            </w:tcBorders>
            <w:shd w:val="clear" w:color="auto" w:fill="auto"/>
            <w:noWrap/>
            <w:vAlign w:val="bottom"/>
            <w:hideMark/>
          </w:tcPr>
          <w:p w14:paraId="33D32A2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0.784***</w:t>
            </w:r>
          </w:p>
        </w:tc>
        <w:tc>
          <w:tcPr>
            <w:tcW w:w="632" w:type="pct"/>
            <w:tcBorders>
              <w:top w:val="nil"/>
              <w:left w:val="nil"/>
              <w:bottom w:val="nil"/>
              <w:right w:val="nil"/>
            </w:tcBorders>
            <w:shd w:val="clear" w:color="auto" w:fill="auto"/>
            <w:noWrap/>
            <w:vAlign w:val="bottom"/>
            <w:hideMark/>
          </w:tcPr>
          <w:p w14:paraId="47053A2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0.852***</w:t>
            </w:r>
          </w:p>
        </w:tc>
        <w:tc>
          <w:tcPr>
            <w:tcW w:w="632" w:type="pct"/>
            <w:tcBorders>
              <w:top w:val="nil"/>
              <w:left w:val="nil"/>
              <w:bottom w:val="nil"/>
              <w:right w:val="nil"/>
            </w:tcBorders>
            <w:shd w:val="clear" w:color="auto" w:fill="auto"/>
            <w:noWrap/>
            <w:vAlign w:val="bottom"/>
            <w:hideMark/>
          </w:tcPr>
          <w:p w14:paraId="2E94495A"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0.772***</w:t>
            </w:r>
          </w:p>
        </w:tc>
        <w:tc>
          <w:tcPr>
            <w:tcW w:w="632" w:type="pct"/>
            <w:tcBorders>
              <w:top w:val="nil"/>
              <w:left w:val="nil"/>
              <w:bottom w:val="nil"/>
              <w:right w:val="nil"/>
            </w:tcBorders>
            <w:shd w:val="clear" w:color="auto" w:fill="auto"/>
            <w:noWrap/>
            <w:vAlign w:val="bottom"/>
            <w:hideMark/>
          </w:tcPr>
          <w:p w14:paraId="09CEC61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0.861***</w:t>
            </w:r>
          </w:p>
        </w:tc>
      </w:tr>
      <w:tr w:rsidR="00073E55" w:rsidRPr="00646F36" w14:paraId="10014AE9" w14:textId="77777777" w:rsidTr="00267BC6">
        <w:trPr>
          <w:trHeight w:val="20"/>
        </w:trPr>
        <w:tc>
          <w:tcPr>
            <w:tcW w:w="1211" w:type="pct"/>
            <w:tcBorders>
              <w:top w:val="nil"/>
              <w:left w:val="nil"/>
              <w:bottom w:val="nil"/>
              <w:right w:val="nil"/>
            </w:tcBorders>
            <w:shd w:val="clear" w:color="auto" w:fill="auto"/>
            <w:noWrap/>
            <w:vAlign w:val="bottom"/>
            <w:hideMark/>
          </w:tcPr>
          <w:p w14:paraId="06DFC3B7"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5163F349"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0.044</w:t>
            </w:r>
          </w:p>
        </w:tc>
        <w:tc>
          <w:tcPr>
            <w:tcW w:w="632" w:type="pct"/>
            <w:tcBorders>
              <w:top w:val="nil"/>
              <w:left w:val="nil"/>
              <w:bottom w:val="nil"/>
              <w:right w:val="nil"/>
            </w:tcBorders>
            <w:shd w:val="clear" w:color="auto" w:fill="auto"/>
            <w:noWrap/>
            <w:vAlign w:val="bottom"/>
            <w:hideMark/>
          </w:tcPr>
          <w:p w14:paraId="02790D0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0.067</w:t>
            </w:r>
          </w:p>
        </w:tc>
        <w:tc>
          <w:tcPr>
            <w:tcW w:w="632" w:type="pct"/>
            <w:tcBorders>
              <w:top w:val="nil"/>
              <w:left w:val="nil"/>
              <w:bottom w:val="nil"/>
              <w:right w:val="nil"/>
            </w:tcBorders>
            <w:shd w:val="clear" w:color="auto" w:fill="auto"/>
            <w:noWrap/>
            <w:vAlign w:val="bottom"/>
            <w:hideMark/>
          </w:tcPr>
          <w:p w14:paraId="78F50F9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0.061</w:t>
            </w:r>
          </w:p>
        </w:tc>
        <w:tc>
          <w:tcPr>
            <w:tcW w:w="632" w:type="pct"/>
            <w:tcBorders>
              <w:top w:val="nil"/>
              <w:left w:val="nil"/>
              <w:bottom w:val="nil"/>
              <w:right w:val="nil"/>
            </w:tcBorders>
            <w:shd w:val="clear" w:color="auto" w:fill="auto"/>
            <w:noWrap/>
            <w:vAlign w:val="bottom"/>
            <w:hideMark/>
          </w:tcPr>
          <w:p w14:paraId="6C641C7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0.073</w:t>
            </w:r>
          </w:p>
        </w:tc>
        <w:tc>
          <w:tcPr>
            <w:tcW w:w="632" w:type="pct"/>
            <w:tcBorders>
              <w:top w:val="nil"/>
              <w:left w:val="nil"/>
              <w:bottom w:val="nil"/>
              <w:right w:val="nil"/>
            </w:tcBorders>
            <w:shd w:val="clear" w:color="auto" w:fill="auto"/>
            <w:noWrap/>
            <w:vAlign w:val="bottom"/>
            <w:hideMark/>
          </w:tcPr>
          <w:p w14:paraId="57A45DA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0.095</w:t>
            </w:r>
          </w:p>
        </w:tc>
        <w:tc>
          <w:tcPr>
            <w:tcW w:w="632" w:type="pct"/>
            <w:tcBorders>
              <w:top w:val="nil"/>
              <w:left w:val="nil"/>
              <w:bottom w:val="nil"/>
              <w:right w:val="nil"/>
            </w:tcBorders>
            <w:shd w:val="clear" w:color="auto" w:fill="auto"/>
            <w:noWrap/>
            <w:vAlign w:val="bottom"/>
            <w:hideMark/>
          </w:tcPr>
          <w:p w14:paraId="57A92BC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0.150</w:t>
            </w:r>
          </w:p>
        </w:tc>
      </w:tr>
      <w:tr w:rsidR="00073E55" w:rsidRPr="00646F36" w14:paraId="0A00C33C" w14:textId="77777777" w:rsidTr="00267BC6">
        <w:trPr>
          <w:trHeight w:val="20"/>
        </w:trPr>
        <w:tc>
          <w:tcPr>
            <w:tcW w:w="1211" w:type="pct"/>
            <w:tcBorders>
              <w:top w:val="nil"/>
              <w:left w:val="nil"/>
              <w:bottom w:val="nil"/>
              <w:right w:val="nil"/>
            </w:tcBorders>
            <w:shd w:val="clear" w:color="auto" w:fill="auto"/>
            <w:hideMark/>
          </w:tcPr>
          <w:p w14:paraId="1CA3896A"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(75+)</w:t>
            </w:r>
          </w:p>
        </w:tc>
        <w:tc>
          <w:tcPr>
            <w:tcW w:w="632" w:type="pct"/>
            <w:tcBorders>
              <w:top w:val="nil"/>
              <w:left w:val="nil"/>
              <w:bottom w:val="nil"/>
              <w:right w:val="nil"/>
            </w:tcBorders>
            <w:shd w:val="clear" w:color="auto" w:fill="auto"/>
            <w:noWrap/>
            <w:vAlign w:val="bottom"/>
            <w:hideMark/>
          </w:tcPr>
          <w:p w14:paraId="48DB66E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0.880***</w:t>
            </w:r>
          </w:p>
        </w:tc>
        <w:tc>
          <w:tcPr>
            <w:tcW w:w="632" w:type="pct"/>
            <w:tcBorders>
              <w:top w:val="nil"/>
              <w:left w:val="nil"/>
              <w:bottom w:val="nil"/>
              <w:right w:val="nil"/>
            </w:tcBorders>
            <w:shd w:val="clear" w:color="auto" w:fill="auto"/>
            <w:noWrap/>
            <w:vAlign w:val="bottom"/>
            <w:hideMark/>
          </w:tcPr>
          <w:p w14:paraId="240752A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0.689***</w:t>
            </w:r>
          </w:p>
        </w:tc>
        <w:tc>
          <w:tcPr>
            <w:tcW w:w="632" w:type="pct"/>
            <w:tcBorders>
              <w:top w:val="nil"/>
              <w:left w:val="nil"/>
              <w:bottom w:val="nil"/>
              <w:right w:val="nil"/>
            </w:tcBorders>
            <w:shd w:val="clear" w:color="auto" w:fill="auto"/>
            <w:noWrap/>
            <w:vAlign w:val="bottom"/>
            <w:hideMark/>
          </w:tcPr>
          <w:p w14:paraId="47FACD5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0.882***</w:t>
            </w:r>
          </w:p>
        </w:tc>
        <w:tc>
          <w:tcPr>
            <w:tcW w:w="632" w:type="pct"/>
            <w:tcBorders>
              <w:top w:val="nil"/>
              <w:left w:val="nil"/>
              <w:bottom w:val="nil"/>
              <w:right w:val="nil"/>
            </w:tcBorders>
            <w:shd w:val="clear" w:color="auto" w:fill="auto"/>
            <w:noWrap/>
            <w:vAlign w:val="bottom"/>
            <w:hideMark/>
          </w:tcPr>
          <w:p w14:paraId="7BA4B2C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1.026***</w:t>
            </w:r>
          </w:p>
        </w:tc>
        <w:tc>
          <w:tcPr>
            <w:tcW w:w="632" w:type="pct"/>
            <w:tcBorders>
              <w:top w:val="nil"/>
              <w:left w:val="nil"/>
              <w:bottom w:val="nil"/>
              <w:right w:val="nil"/>
            </w:tcBorders>
            <w:shd w:val="clear" w:color="auto" w:fill="auto"/>
            <w:noWrap/>
            <w:vAlign w:val="bottom"/>
            <w:hideMark/>
          </w:tcPr>
          <w:p w14:paraId="786ABE1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0.944***</w:t>
            </w:r>
          </w:p>
        </w:tc>
        <w:tc>
          <w:tcPr>
            <w:tcW w:w="632" w:type="pct"/>
            <w:tcBorders>
              <w:top w:val="nil"/>
              <w:left w:val="nil"/>
              <w:bottom w:val="nil"/>
              <w:right w:val="nil"/>
            </w:tcBorders>
            <w:shd w:val="clear" w:color="auto" w:fill="auto"/>
            <w:noWrap/>
            <w:vAlign w:val="bottom"/>
            <w:hideMark/>
          </w:tcPr>
          <w:p w14:paraId="320BCE9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1.120***</w:t>
            </w:r>
          </w:p>
        </w:tc>
      </w:tr>
      <w:tr w:rsidR="00073E55" w:rsidRPr="00646F36" w14:paraId="43B7F212" w14:textId="77777777" w:rsidTr="00267BC6">
        <w:trPr>
          <w:trHeight w:val="20"/>
        </w:trPr>
        <w:tc>
          <w:tcPr>
            <w:tcW w:w="1211" w:type="pct"/>
            <w:tcBorders>
              <w:top w:val="nil"/>
              <w:left w:val="nil"/>
              <w:bottom w:val="nil"/>
              <w:right w:val="nil"/>
            </w:tcBorders>
            <w:shd w:val="clear" w:color="auto" w:fill="auto"/>
            <w:noWrap/>
            <w:vAlign w:val="bottom"/>
            <w:hideMark/>
          </w:tcPr>
          <w:p w14:paraId="5A4E8280"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10F1611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0.046</w:t>
            </w:r>
          </w:p>
        </w:tc>
        <w:tc>
          <w:tcPr>
            <w:tcW w:w="632" w:type="pct"/>
            <w:tcBorders>
              <w:top w:val="nil"/>
              <w:left w:val="nil"/>
              <w:bottom w:val="nil"/>
              <w:right w:val="nil"/>
            </w:tcBorders>
            <w:shd w:val="clear" w:color="auto" w:fill="auto"/>
            <w:noWrap/>
            <w:vAlign w:val="bottom"/>
            <w:hideMark/>
          </w:tcPr>
          <w:p w14:paraId="1725604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0.068</w:t>
            </w:r>
          </w:p>
        </w:tc>
        <w:tc>
          <w:tcPr>
            <w:tcW w:w="632" w:type="pct"/>
            <w:tcBorders>
              <w:top w:val="nil"/>
              <w:left w:val="nil"/>
              <w:bottom w:val="nil"/>
              <w:right w:val="nil"/>
            </w:tcBorders>
            <w:shd w:val="clear" w:color="auto" w:fill="auto"/>
            <w:noWrap/>
            <w:vAlign w:val="bottom"/>
            <w:hideMark/>
          </w:tcPr>
          <w:p w14:paraId="0FEA755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0.062</w:t>
            </w:r>
          </w:p>
        </w:tc>
        <w:tc>
          <w:tcPr>
            <w:tcW w:w="632" w:type="pct"/>
            <w:tcBorders>
              <w:top w:val="nil"/>
              <w:left w:val="nil"/>
              <w:bottom w:val="nil"/>
              <w:right w:val="nil"/>
            </w:tcBorders>
            <w:shd w:val="clear" w:color="auto" w:fill="auto"/>
            <w:noWrap/>
            <w:vAlign w:val="bottom"/>
            <w:hideMark/>
          </w:tcPr>
          <w:p w14:paraId="30A4F26F"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0.082</w:t>
            </w:r>
          </w:p>
        </w:tc>
        <w:tc>
          <w:tcPr>
            <w:tcW w:w="632" w:type="pct"/>
            <w:tcBorders>
              <w:top w:val="nil"/>
              <w:left w:val="nil"/>
              <w:bottom w:val="nil"/>
              <w:right w:val="nil"/>
            </w:tcBorders>
            <w:shd w:val="clear" w:color="auto" w:fill="auto"/>
            <w:noWrap/>
            <w:vAlign w:val="bottom"/>
            <w:hideMark/>
          </w:tcPr>
          <w:p w14:paraId="42F5660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0.113</w:t>
            </w:r>
          </w:p>
        </w:tc>
        <w:tc>
          <w:tcPr>
            <w:tcW w:w="632" w:type="pct"/>
            <w:tcBorders>
              <w:top w:val="nil"/>
              <w:left w:val="nil"/>
              <w:bottom w:val="nil"/>
              <w:right w:val="nil"/>
            </w:tcBorders>
            <w:shd w:val="clear" w:color="auto" w:fill="auto"/>
            <w:noWrap/>
            <w:vAlign w:val="bottom"/>
            <w:hideMark/>
          </w:tcPr>
          <w:p w14:paraId="5B576B3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0.178</w:t>
            </w:r>
          </w:p>
        </w:tc>
      </w:tr>
      <w:tr w:rsidR="00073E55" w:rsidRPr="00646F36" w14:paraId="16AFA456" w14:textId="77777777" w:rsidTr="00267BC6">
        <w:trPr>
          <w:trHeight w:val="20"/>
        </w:trPr>
        <w:tc>
          <w:tcPr>
            <w:tcW w:w="1211" w:type="pct"/>
            <w:tcBorders>
              <w:top w:val="nil"/>
              <w:left w:val="nil"/>
              <w:bottom w:val="nil"/>
              <w:right w:val="nil"/>
            </w:tcBorders>
            <w:shd w:val="clear" w:color="auto" w:fill="auto"/>
            <w:hideMark/>
          </w:tcPr>
          <w:p w14:paraId="02CE6A05"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Degree- NVQ 4,5</w:t>
            </w:r>
          </w:p>
        </w:tc>
        <w:tc>
          <w:tcPr>
            <w:tcW w:w="632" w:type="pct"/>
            <w:tcBorders>
              <w:top w:val="nil"/>
              <w:left w:val="nil"/>
              <w:bottom w:val="nil"/>
              <w:right w:val="nil"/>
            </w:tcBorders>
            <w:shd w:val="clear" w:color="auto" w:fill="auto"/>
            <w:noWrap/>
            <w:vAlign w:val="bottom"/>
            <w:hideMark/>
          </w:tcPr>
          <w:p w14:paraId="43C5EE4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-0.193***</w:t>
            </w:r>
          </w:p>
        </w:tc>
        <w:tc>
          <w:tcPr>
            <w:tcW w:w="632" w:type="pct"/>
            <w:tcBorders>
              <w:top w:val="nil"/>
              <w:left w:val="nil"/>
              <w:bottom w:val="nil"/>
              <w:right w:val="nil"/>
            </w:tcBorders>
            <w:shd w:val="clear" w:color="auto" w:fill="auto"/>
            <w:noWrap/>
            <w:vAlign w:val="bottom"/>
            <w:hideMark/>
          </w:tcPr>
          <w:p w14:paraId="1B51DC1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-0.157***</w:t>
            </w:r>
          </w:p>
        </w:tc>
        <w:tc>
          <w:tcPr>
            <w:tcW w:w="632" w:type="pct"/>
            <w:tcBorders>
              <w:top w:val="nil"/>
              <w:left w:val="nil"/>
              <w:bottom w:val="nil"/>
              <w:right w:val="nil"/>
            </w:tcBorders>
            <w:shd w:val="clear" w:color="auto" w:fill="auto"/>
            <w:noWrap/>
            <w:vAlign w:val="bottom"/>
            <w:hideMark/>
          </w:tcPr>
          <w:p w14:paraId="2E74B90B"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-0.193***</w:t>
            </w:r>
          </w:p>
        </w:tc>
        <w:tc>
          <w:tcPr>
            <w:tcW w:w="632" w:type="pct"/>
            <w:tcBorders>
              <w:top w:val="nil"/>
              <w:left w:val="nil"/>
              <w:bottom w:val="nil"/>
              <w:right w:val="nil"/>
            </w:tcBorders>
            <w:shd w:val="clear" w:color="auto" w:fill="auto"/>
            <w:noWrap/>
            <w:vAlign w:val="bottom"/>
            <w:hideMark/>
          </w:tcPr>
          <w:p w14:paraId="4EEBA34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-0.262***</w:t>
            </w:r>
          </w:p>
        </w:tc>
        <w:tc>
          <w:tcPr>
            <w:tcW w:w="632" w:type="pct"/>
            <w:tcBorders>
              <w:top w:val="nil"/>
              <w:left w:val="nil"/>
              <w:bottom w:val="nil"/>
              <w:right w:val="nil"/>
            </w:tcBorders>
            <w:shd w:val="clear" w:color="auto" w:fill="auto"/>
            <w:noWrap/>
            <w:vAlign w:val="bottom"/>
            <w:hideMark/>
          </w:tcPr>
          <w:p w14:paraId="40E4A5A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-0.279***</w:t>
            </w:r>
          </w:p>
        </w:tc>
        <w:tc>
          <w:tcPr>
            <w:tcW w:w="632" w:type="pct"/>
            <w:tcBorders>
              <w:top w:val="nil"/>
              <w:left w:val="nil"/>
              <w:bottom w:val="nil"/>
              <w:right w:val="nil"/>
            </w:tcBorders>
            <w:shd w:val="clear" w:color="auto" w:fill="auto"/>
            <w:noWrap/>
            <w:vAlign w:val="bottom"/>
            <w:hideMark/>
          </w:tcPr>
          <w:p w14:paraId="1EB4BC7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-0.222***</w:t>
            </w:r>
          </w:p>
        </w:tc>
      </w:tr>
      <w:tr w:rsidR="00073E55" w:rsidRPr="00646F36" w14:paraId="48EFA41D" w14:textId="77777777" w:rsidTr="00267BC6">
        <w:trPr>
          <w:trHeight w:val="20"/>
        </w:trPr>
        <w:tc>
          <w:tcPr>
            <w:tcW w:w="1211" w:type="pct"/>
            <w:tcBorders>
              <w:top w:val="nil"/>
              <w:left w:val="nil"/>
              <w:bottom w:val="nil"/>
              <w:right w:val="nil"/>
            </w:tcBorders>
            <w:shd w:val="clear" w:color="auto" w:fill="auto"/>
            <w:noWrap/>
            <w:vAlign w:val="bottom"/>
            <w:hideMark/>
          </w:tcPr>
          <w:p w14:paraId="6B402F10"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185A5F0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0.020</w:t>
            </w:r>
          </w:p>
        </w:tc>
        <w:tc>
          <w:tcPr>
            <w:tcW w:w="632" w:type="pct"/>
            <w:tcBorders>
              <w:top w:val="nil"/>
              <w:left w:val="nil"/>
              <w:bottom w:val="nil"/>
              <w:right w:val="nil"/>
            </w:tcBorders>
            <w:shd w:val="clear" w:color="auto" w:fill="auto"/>
            <w:noWrap/>
            <w:vAlign w:val="bottom"/>
            <w:hideMark/>
          </w:tcPr>
          <w:p w14:paraId="5DFBED0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0.024</w:t>
            </w:r>
          </w:p>
        </w:tc>
        <w:tc>
          <w:tcPr>
            <w:tcW w:w="632" w:type="pct"/>
            <w:tcBorders>
              <w:top w:val="nil"/>
              <w:left w:val="nil"/>
              <w:bottom w:val="nil"/>
              <w:right w:val="nil"/>
            </w:tcBorders>
            <w:shd w:val="clear" w:color="auto" w:fill="auto"/>
            <w:noWrap/>
            <w:vAlign w:val="bottom"/>
            <w:hideMark/>
          </w:tcPr>
          <w:p w14:paraId="24BFFCF5"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0.026</w:t>
            </w:r>
          </w:p>
        </w:tc>
        <w:tc>
          <w:tcPr>
            <w:tcW w:w="632" w:type="pct"/>
            <w:tcBorders>
              <w:top w:val="nil"/>
              <w:left w:val="nil"/>
              <w:bottom w:val="nil"/>
              <w:right w:val="nil"/>
            </w:tcBorders>
            <w:shd w:val="clear" w:color="auto" w:fill="auto"/>
            <w:noWrap/>
            <w:vAlign w:val="bottom"/>
            <w:hideMark/>
          </w:tcPr>
          <w:p w14:paraId="7458025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0.035</w:t>
            </w:r>
          </w:p>
        </w:tc>
        <w:tc>
          <w:tcPr>
            <w:tcW w:w="632" w:type="pct"/>
            <w:tcBorders>
              <w:top w:val="nil"/>
              <w:left w:val="nil"/>
              <w:bottom w:val="nil"/>
              <w:right w:val="nil"/>
            </w:tcBorders>
            <w:shd w:val="clear" w:color="auto" w:fill="auto"/>
            <w:noWrap/>
            <w:vAlign w:val="bottom"/>
            <w:hideMark/>
          </w:tcPr>
          <w:p w14:paraId="6F5DC9E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0.042</w:t>
            </w:r>
          </w:p>
        </w:tc>
        <w:tc>
          <w:tcPr>
            <w:tcW w:w="632" w:type="pct"/>
            <w:tcBorders>
              <w:top w:val="nil"/>
              <w:left w:val="nil"/>
              <w:bottom w:val="nil"/>
              <w:right w:val="nil"/>
            </w:tcBorders>
            <w:shd w:val="clear" w:color="auto" w:fill="auto"/>
            <w:noWrap/>
            <w:vAlign w:val="bottom"/>
            <w:hideMark/>
          </w:tcPr>
          <w:p w14:paraId="7C183D2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0.067</w:t>
            </w:r>
          </w:p>
        </w:tc>
      </w:tr>
      <w:tr w:rsidR="00073E55" w:rsidRPr="00646F36" w14:paraId="6FC7270D" w14:textId="77777777" w:rsidTr="00267BC6">
        <w:trPr>
          <w:trHeight w:val="20"/>
        </w:trPr>
        <w:tc>
          <w:tcPr>
            <w:tcW w:w="1211" w:type="pct"/>
            <w:tcBorders>
              <w:top w:val="nil"/>
              <w:left w:val="nil"/>
              <w:bottom w:val="nil"/>
              <w:right w:val="nil"/>
            </w:tcBorders>
            <w:shd w:val="clear" w:color="auto" w:fill="auto"/>
            <w:hideMark/>
          </w:tcPr>
          <w:p w14:paraId="2C77D25D"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Higher Education</w:t>
            </w:r>
          </w:p>
        </w:tc>
        <w:tc>
          <w:tcPr>
            <w:tcW w:w="632" w:type="pct"/>
            <w:tcBorders>
              <w:top w:val="nil"/>
              <w:left w:val="nil"/>
              <w:bottom w:val="nil"/>
              <w:right w:val="nil"/>
            </w:tcBorders>
            <w:shd w:val="clear" w:color="auto" w:fill="auto"/>
            <w:noWrap/>
            <w:vAlign w:val="bottom"/>
            <w:hideMark/>
          </w:tcPr>
          <w:p w14:paraId="0BCE0DD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-0.127***</w:t>
            </w:r>
          </w:p>
        </w:tc>
        <w:tc>
          <w:tcPr>
            <w:tcW w:w="632" w:type="pct"/>
            <w:tcBorders>
              <w:top w:val="nil"/>
              <w:left w:val="nil"/>
              <w:bottom w:val="nil"/>
              <w:right w:val="nil"/>
            </w:tcBorders>
            <w:shd w:val="clear" w:color="auto" w:fill="auto"/>
            <w:noWrap/>
            <w:vAlign w:val="bottom"/>
            <w:hideMark/>
          </w:tcPr>
          <w:p w14:paraId="7AF65CC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-0.082***</w:t>
            </w:r>
          </w:p>
        </w:tc>
        <w:tc>
          <w:tcPr>
            <w:tcW w:w="632" w:type="pct"/>
            <w:tcBorders>
              <w:top w:val="nil"/>
              <w:left w:val="nil"/>
              <w:bottom w:val="nil"/>
              <w:right w:val="nil"/>
            </w:tcBorders>
            <w:shd w:val="clear" w:color="auto" w:fill="auto"/>
            <w:noWrap/>
            <w:vAlign w:val="bottom"/>
            <w:hideMark/>
          </w:tcPr>
          <w:p w14:paraId="58513BEB"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-0.119***</w:t>
            </w:r>
          </w:p>
        </w:tc>
        <w:tc>
          <w:tcPr>
            <w:tcW w:w="632" w:type="pct"/>
            <w:tcBorders>
              <w:top w:val="nil"/>
              <w:left w:val="nil"/>
              <w:bottom w:val="nil"/>
              <w:right w:val="nil"/>
            </w:tcBorders>
            <w:shd w:val="clear" w:color="auto" w:fill="auto"/>
            <w:noWrap/>
            <w:vAlign w:val="bottom"/>
            <w:hideMark/>
          </w:tcPr>
          <w:p w14:paraId="3F747E1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-0.178***</w:t>
            </w:r>
          </w:p>
        </w:tc>
        <w:tc>
          <w:tcPr>
            <w:tcW w:w="632" w:type="pct"/>
            <w:tcBorders>
              <w:top w:val="nil"/>
              <w:left w:val="nil"/>
              <w:bottom w:val="nil"/>
              <w:right w:val="nil"/>
            </w:tcBorders>
            <w:shd w:val="clear" w:color="auto" w:fill="auto"/>
            <w:noWrap/>
            <w:vAlign w:val="bottom"/>
            <w:hideMark/>
          </w:tcPr>
          <w:p w14:paraId="7316ECE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-0.223***</w:t>
            </w:r>
          </w:p>
        </w:tc>
        <w:tc>
          <w:tcPr>
            <w:tcW w:w="632" w:type="pct"/>
            <w:tcBorders>
              <w:top w:val="nil"/>
              <w:left w:val="nil"/>
              <w:bottom w:val="nil"/>
              <w:right w:val="nil"/>
            </w:tcBorders>
            <w:shd w:val="clear" w:color="auto" w:fill="auto"/>
            <w:noWrap/>
            <w:vAlign w:val="bottom"/>
            <w:hideMark/>
          </w:tcPr>
          <w:p w14:paraId="518B805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-0.194**</w:t>
            </w:r>
          </w:p>
        </w:tc>
      </w:tr>
      <w:tr w:rsidR="00073E55" w:rsidRPr="00646F36" w14:paraId="227EFE12" w14:textId="77777777" w:rsidTr="00267BC6">
        <w:trPr>
          <w:trHeight w:val="20"/>
        </w:trPr>
        <w:tc>
          <w:tcPr>
            <w:tcW w:w="1211" w:type="pct"/>
            <w:tcBorders>
              <w:top w:val="nil"/>
              <w:left w:val="nil"/>
              <w:bottom w:val="nil"/>
              <w:right w:val="nil"/>
            </w:tcBorders>
            <w:shd w:val="clear" w:color="auto" w:fill="auto"/>
            <w:noWrap/>
            <w:vAlign w:val="bottom"/>
            <w:hideMark/>
          </w:tcPr>
          <w:p w14:paraId="46320653"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0829678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0.021</w:t>
            </w:r>
          </w:p>
        </w:tc>
        <w:tc>
          <w:tcPr>
            <w:tcW w:w="632" w:type="pct"/>
            <w:tcBorders>
              <w:top w:val="nil"/>
              <w:left w:val="nil"/>
              <w:bottom w:val="nil"/>
              <w:right w:val="nil"/>
            </w:tcBorders>
            <w:shd w:val="clear" w:color="auto" w:fill="auto"/>
            <w:noWrap/>
            <w:vAlign w:val="bottom"/>
            <w:hideMark/>
          </w:tcPr>
          <w:p w14:paraId="3774B96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0.025</w:t>
            </w:r>
          </w:p>
        </w:tc>
        <w:tc>
          <w:tcPr>
            <w:tcW w:w="632" w:type="pct"/>
            <w:tcBorders>
              <w:top w:val="nil"/>
              <w:left w:val="nil"/>
              <w:bottom w:val="nil"/>
              <w:right w:val="nil"/>
            </w:tcBorders>
            <w:shd w:val="clear" w:color="auto" w:fill="auto"/>
            <w:noWrap/>
            <w:vAlign w:val="bottom"/>
            <w:hideMark/>
          </w:tcPr>
          <w:p w14:paraId="13F9495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0.029</w:t>
            </w:r>
          </w:p>
        </w:tc>
        <w:tc>
          <w:tcPr>
            <w:tcW w:w="632" w:type="pct"/>
            <w:tcBorders>
              <w:top w:val="nil"/>
              <w:left w:val="nil"/>
              <w:bottom w:val="nil"/>
              <w:right w:val="nil"/>
            </w:tcBorders>
            <w:shd w:val="clear" w:color="auto" w:fill="auto"/>
            <w:noWrap/>
            <w:vAlign w:val="bottom"/>
            <w:hideMark/>
          </w:tcPr>
          <w:p w14:paraId="5D8016F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0.039</w:t>
            </w:r>
          </w:p>
        </w:tc>
        <w:tc>
          <w:tcPr>
            <w:tcW w:w="632" w:type="pct"/>
            <w:tcBorders>
              <w:top w:val="nil"/>
              <w:left w:val="nil"/>
              <w:bottom w:val="nil"/>
              <w:right w:val="nil"/>
            </w:tcBorders>
            <w:shd w:val="clear" w:color="auto" w:fill="auto"/>
            <w:noWrap/>
            <w:vAlign w:val="bottom"/>
            <w:hideMark/>
          </w:tcPr>
          <w:p w14:paraId="15FD61E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0.048</w:t>
            </w:r>
          </w:p>
        </w:tc>
        <w:tc>
          <w:tcPr>
            <w:tcW w:w="632" w:type="pct"/>
            <w:tcBorders>
              <w:top w:val="nil"/>
              <w:left w:val="nil"/>
              <w:bottom w:val="nil"/>
              <w:right w:val="nil"/>
            </w:tcBorders>
            <w:shd w:val="clear" w:color="auto" w:fill="auto"/>
            <w:noWrap/>
            <w:vAlign w:val="bottom"/>
            <w:hideMark/>
          </w:tcPr>
          <w:p w14:paraId="34A113B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0.077</w:t>
            </w:r>
          </w:p>
        </w:tc>
      </w:tr>
      <w:tr w:rsidR="00073E55" w:rsidRPr="00646F36" w14:paraId="308790BA" w14:textId="77777777" w:rsidTr="00267BC6">
        <w:trPr>
          <w:trHeight w:val="20"/>
        </w:trPr>
        <w:tc>
          <w:tcPr>
            <w:tcW w:w="1211" w:type="pct"/>
            <w:tcBorders>
              <w:top w:val="nil"/>
              <w:left w:val="nil"/>
              <w:bottom w:val="nil"/>
              <w:right w:val="nil"/>
            </w:tcBorders>
            <w:shd w:val="clear" w:color="auto" w:fill="auto"/>
            <w:noWrap/>
            <w:vAlign w:val="bottom"/>
            <w:hideMark/>
          </w:tcPr>
          <w:p w14:paraId="7CE5CC28"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NVQ 3- GCE A</w:t>
            </w:r>
          </w:p>
        </w:tc>
        <w:tc>
          <w:tcPr>
            <w:tcW w:w="632" w:type="pct"/>
            <w:tcBorders>
              <w:top w:val="nil"/>
              <w:left w:val="nil"/>
              <w:bottom w:val="nil"/>
              <w:right w:val="nil"/>
            </w:tcBorders>
            <w:shd w:val="clear" w:color="auto" w:fill="auto"/>
            <w:noWrap/>
            <w:vAlign w:val="bottom"/>
            <w:hideMark/>
          </w:tcPr>
          <w:p w14:paraId="16D60FA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-0.127***</w:t>
            </w:r>
          </w:p>
        </w:tc>
        <w:tc>
          <w:tcPr>
            <w:tcW w:w="632" w:type="pct"/>
            <w:tcBorders>
              <w:top w:val="nil"/>
              <w:left w:val="nil"/>
              <w:bottom w:val="nil"/>
              <w:right w:val="nil"/>
            </w:tcBorders>
            <w:shd w:val="clear" w:color="auto" w:fill="auto"/>
            <w:noWrap/>
            <w:vAlign w:val="bottom"/>
            <w:hideMark/>
          </w:tcPr>
          <w:p w14:paraId="2D23032F"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-0.088***</w:t>
            </w:r>
          </w:p>
        </w:tc>
        <w:tc>
          <w:tcPr>
            <w:tcW w:w="632" w:type="pct"/>
            <w:tcBorders>
              <w:top w:val="nil"/>
              <w:left w:val="nil"/>
              <w:bottom w:val="nil"/>
              <w:right w:val="nil"/>
            </w:tcBorders>
            <w:shd w:val="clear" w:color="auto" w:fill="auto"/>
            <w:noWrap/>
            <w:vAlign w:val="bottom"/>
            <w:hideMark/>
          </w:tcPr>
          <w:p w14:paraId="333DFE8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-0.128***</w:t>
            </w:r>
          </w:p>
        </w:tc>
        <w:tc>
          <w:tcPr>
            <w:tcW w:w="632" w:type="pct"/>
            <w:tcBorders>
              <w:top w:val="nil"/>
              <w:left w:val="nil"/>
              <w:bottom w:val="nil"/>
              <w:right w:val="nil"/>
            </w:tcBorders>
            <w:shd w:val="clear" w:color="auto" w:fill="auto"/>
            <w:noWrap/>
            <w:vAlign w:val="bottom"/>
            <w:hideMark/>
          </w:tcPr>
          <w:p w14:paraId="6C5AAD27"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-0.187***</w:t>
            </w:r>
          </w:p>
        </w:tc>
        <w:tc>
          <w:tcPr>
            <w:tcW w:w="632" w:type="pct"/>
            <w:tcBorders>
              <w:top w:val="nil"/>
              <w:left w:val="nil"/>
              <w:bottom w:val="nil"/>
              <w:right w:val="nil"/>
            </w:tcBorders>
            <w:shd w:val="clear" w:color="auto" w:fill="auto"/>
            <w:noWrap/>
            <w:vAlign w:val="bottom"/>
            <w:hideMark/>
          </w:tcPr>
          <w:p w14:paraId="6DB193C5"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-0.239***</w:t>
            </w:r>
          </w:p>
        </w:tc>
        <w:tc>
          <w:tcPr>
            <w:tcW w:w="632" w:type="pct"/>
            <w:tcBorders>
              <w:top w:val="nil"/>
              <w:left w:val="nil"/>
              <w:bottom w:val="nil"/>
              <w:right w:val="nil"/>
            </w:tcBorders>
            <w:shd w:val="clear" w:color="auto" w:fill="auto"/>
            <w:noWrap/>
            <w:vAlign w:val="bottom"/>
            <w:hideMark/>
          </w:tcPr>
          <w:p w14:paraId="507EEE4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-0.215***</w:t>
            </w:r>
          </w:p>
        </w:tc>
      </w:tr>
      <w:tr w:rsidR="00073E55" w:rsidRPr="00646F36" w14:paraId="5B6CC82C" w14:textId="77777777" w:rsidTr="00267BC6">
        <w:trPr>
          <w:trHeight w:val="20"/>
        </w:trPr>
        <w:tc>
          <w:tcPr>
            <w:tcW w:w="1211" w:type="pct"/>
            <w:tcBorders>
              <w:top w:val="nil"/>
              <w:left w:val="nil"/>
              <w:bottom w:val="nil"/>
              <w:right w:val="nil"/>
            </w:tcBorders>
            <w:shd w:val="clear" w:color="auto" w:fill="auto"/>
            <w:noWrap/>
            <w:vAlign w:val="bottom"/>
            <w:hideMark/>
          </w:tcPr>
          <w:p w14:paraId="5BC80A3B"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243D7165"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0.021</w:t>
            </w:r>
          </w:p>
        </w:tc>
        <w:tc>
          <w:tcPr>
            <w:tcW w:w="632" w:type="pct"/>
            <w:tcBorders>
              <w:top w:val="nil"/>
              <w:left w:val="nil"/>
              <w:bottom w:val="nil"/>
              <w:right w:val="nil"/>
            </w:tcBorders>
            <w:shd w:val="clear" w:color="auto" w:fill="auto"/>
            <w:noWrap/>
            <w:vAlign w:val="bottom"/>
            <w:hideMark/>
          </w:tcPr>
          <w:p w14:paraId="6434021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0.026</w:t>
            </w:r>
          </w:p>
        </w:tc>
        <w:tc>
          <w:tcPr>
            <w:tcW w:w="632" w:type="pct"/>
            <w:tcBorders>
              <w:top w:val="nil"/>
              <w:left w:val="nil"/>
              <w:bottom w:val="nil"/>
              <w:right w:val="nil"/>
            </w:tcBorders>
            <w:shd w:val="clear" w:color="auto" w:fill="auto"/>
            <w:noWrap/>
            <w:vAlign w:val="bottom"/>
            <w:hideMark/>
          </w:tcPr>
          <w:p w14:paraId="3A41E4E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0.029</w:t>
            </w:r>
          </w:p>
        </w:tc>
        <w:tc>
          <w:tcPr>
            <w:tcW w:w="632" w:type="pct"/>
            <w:tcBorders>
              <w:top w:val="nil"/>
              <w:left w:val="nil"/>
              <w:bottom w:val="nil"/>
              <w:right w:val="nil"/>
            </w:tcBorders>
            <w:shd w:val="clear" w:color="auto" w:fill="auto"/>
            <w:noWrap/>
            <w:vAlign w:val="bottom"/>
            <w:hideMark/>
          </w:tcPr>
          <w:p w14:paraId="0CF67D7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0.038</w:t>
            </w:r>
          </w:p>
        </w:tc>
        <w:tc>
          <w:tcPr>
            <w:tcW w:w="632" w:type="pct"/>
            <w:tcBorders>
              <w:top w:val="nil"/>
              <w:left w:val="nil"/>
              <w:bottom w:val="nil"/>
              <w:right w:val="nil"/>
            </w:tcBorders>
            <w:shd w:val="clear" w:color="auto" w:fill="auto"/>
            <w:noWrap/>
            <w:vAlign w:val="bottom"/>
            <w:hideMark/>
          </w:tcPr>
          <w:p w14:paraId="6738A72E"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0.044</w:t>
            </w:r>
          </w:p>
        </w:tc>
        <w:tc>
          <w:tcPr>
            <w:tcW w:w="632" w:type="pct"/>
            <w:tcBorders>
              <w:top w:val="nil"/>
              <w:left w:val="nil"/>
              <w:bottom w:val="nil"/>
              <w:right w:val="nil"/>
            </w:tcBorders>
            <w:shd w:val="clear" w:color="auto" w:fill="auto"/>
            <w:noWrap/>
            <w:vAlign w:val="bottom"/>
            <w:hideMark/>
          </w:tcPr>
          <w:p w14:paraId="0372853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0.067</w:t>
            </w:r>
          </w:p>
        </w:tc>
      </w:tr>
      <w:tr w:rsidR="00073E55" w:rsidRPr="00646F36" w14:paraId="49F50A3F" w14:textId="77777777" w:rsidTr="00267BC6">
        <w:trPr>
          <w:trHeight w:val="20"/>
        </w:trPr>
        <w:tc>
          <w:tcPr>
            <w:tcW w:w="1211" w:type="pct"/>
            <w:tcBorders>
              <w:top w:val="nil"/>
              <w:left w:val="nil"/>
              <w:bottom w:val="nil"/>
              <w:right w:val="nil"/>
            </w:tcBorders>
            <w:shd w:val="clear" w:color="auto" w:fill="auto"/>
            <w:hideMark/>
          </w:tcPr>
          <w:p w14:paraId="7748273C"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NVQ 2 – GCE 0</w:t>
            </w:r>
          </w:p>
        </w:tc>
        <w:tc>
          <w:tcPr>
            <w:tcW w:w="632" w:type="pct"/>
            <w:tcBorders>
              <w:top w:val="nil"/>
              <w:left w:val="nil"/>
              <w:bottom w:val="nil"/>
              <w:right w:val="nil"/>
            </w:tcBorders>
            <w:shd w:val="clear" w:color="auto" w:fill="auto"/>
            <w:noWrap/>
            <w:vAlign w:val="bottom"/>
            <w:hideMark/>
          </w:tcPr>
          <w:p w14:paraId="26160E2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-0.096***</w:t>
            </w:r>
          </w:p>
        </w:tc>
        <w:tc>
          <w:tcPr>
            <w:tcW w:w="632" w:type="pct"/>
            <w:tcBorders>
              <w:top w:val="nil"/>
              <w:left w:val="nil"/>
              <w:bottom w:val="nil"/>
              <w:right w:val="nil"/>
            </w:tcBorders>
            <w:shd w:val="clear" w:color="auto" w:fill="auto"/>
            <w:noWrap/>
            <w:vAlign w:val="bottom"/>
            <w:hideMark/>
          </w:tcPr>
          <w:p w14:paraId="372AA50C"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-0.076***</w:t>
            </w:r>
          </w:p>
        </w:tc>
        <w:tc>
          <w:tcPr>
            <w:tcW w:w="632" w:type="pct"/>
            <w:tcBorders>
              <w:top w:val="nil"/>
              <w:left w:val="nil"/>
              <w:bottom w:val="nil"/>
              <w:right w:val="nil"/>
            </w:tcBorders>
            <w:shd w:val="clear" w:color="auto" w:fill="auto"/>
            <w:noWrap/>
            <w:vAlign w:val="bottom"/>
            <w:hideMark/>
          </w:tcPr>
          <w:p w14:paraId="7A0A88E2"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-0.112***</w:t>
            </w:r>
          </w:p>
        </w:tc>
        <w:tc>
          <w:tcPr>
            <w:tcW w:w="632" w:type="pct"/>
            <w:tcBorders>
              <w:top w:val="nil"/>
              <w:left w:val="nil"/>
              <w:bottom w:val="nil"/>
              <w:right w:val="nil"/>
            </w:tcBorders>
            <w:shd w:val="clear" w:color="auto" w:fill="auto"/>
            <w:noWrap/>
            <w:vAlign w:val="bottom"/>
            <w:hideMark/>
          </w:tcPr>
          <w:p w14:paraId="013249E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-0.148***</w:t>
            </w:r>
          </w:p>
        </w:tc>
        <w:tc>
          <w:tcPr>
            <w:tcW w:w="632" w:type="pct"/>
            <w:tcBorders>
              <w:top w:val="nil"/>
              <w:left w:val="nil"/>
              <w:bottom w:val="nil"/>
              <w:right w:val="nil"/>
            </w:tcBorders>
            <w:shd w:val="clear" w:color="auto" w:fill="auto"/>
            <w:noWrap/>
            <w:vAlign w:val="bottom"/>
            <w:hideMark/>
          </w:tcPr>
          <w:p w14:paraId="0149E9E1"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-0.162***</w:t>
            </w:r>
          </w:p>
        </w:tc>
        <w:tc>
          <w:tcPr>
            <w:tcW w:w="632" w:type="pct"/>
            <w:tcBorders>
              <w:top w:val="nil"/>
              <w:left w:val="nil"/>
              <w:bottom w:val="nil"/>
              <w:right w:val="nil"/>
            </w:tcBorders>
            <w:shd w:val="clear" w:color="auto" w:fill="auto"/>
            <w:noWrap/>
            <w:vAlign w:val="bottom"/>
            <w:hideMark/>
          </w:tcPr>
          <w:p w14:paraId="0B9E10BE"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-0.146**</w:t>
            </w:r>
          </w:p>
        </w:tc>
      </w:tr>
      <w:tr w:rsidR="00073E55" w:rsidRPr="00646F36" w14:paraId="68001ACF" w14:textId="77777777" w:rsidTr="00267BC6">
        <w:trPr>
          <w:trHeight w:val="20"/>
        </w:trPr>
        <w:tc>
          <w:tcPr>
            <w:tcW w:w="1211" w:type="pct"/>
            <w:tcBorders>
              <w:top w:val="nil"/>
              <w:left w:val="nil"/>
              <w:bottom w:val="nil"/>
              <w:right w:val="nil"/>
            </w:tcBorders>
            <w:shd w:val="clear" w:color="auto" w:fill="auto"/>
            <w:noWrap/>
            <w:vAlign w:val="bottom"/>
            <w:hideMark/>
          </w:tcPr>
          <w:p w14:paraId="5896ED72"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312017F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0.018</w:t>
            </w:r>
          </w:p>
        </w:tc>
        <w:tc>
          <w:tcPr>
            <w:tcW w:w="632" w:type="pct"/>
            <w:tcBorders>
              <w:top w:val="nil"/>
              <w:left w:val="nil"/>
              <w:bottom w:val="nil"/>
              <w:right w:val="nil"/>
            </w:tcBorders>
            <w:shd w:val="clear" w:color="auto" w:fill="auto"/>
            <w:noWrap/>
            <w:vAlign w:val="bottom"/>
            <w:hideMark/>
          </w:tcPr>
          <w:p w14:paraId="37451C2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0.021</w:t>
            </w:r>
          </w:p>
        </w:tc>
        <w:tc>
          <w:tcPr>
            <w:tcW w:w="632" w:type="pct"/>
            <w:tcBorders>
              <w:top w:val="nil"/>
              <w:left w:val="nil"/>
              <w:bottom w:val="nil"/>
              <w:right w:val="nil"/>
            </w:tcBorders>
            <w:shd w:val="clear" w:color="auto" w:fill="auto"/>
            <w:noWrap/>
            <w:vAlign w:val="bottom"/>
            <w:hideMark/>
          </w:tcPr>
          <w:p w14:paraId="7154E1F2"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0.024</w:t>
            </w:r>
          </w:p>
        </w:tc>
        <w:tc>
          <w:tcPr>
            <w:tcW w:w="632" w:type="pct"/>
            <w:tcBorders>
              <w:top w:val="nil"/>
              <w:left w:val="nil"/>
              <w:bottom w:val="nil"/>
              <w:right w:val="nil"/>
            </w:tcBorders>
            <w:shd w:val="clear" w:color="auto" w:fill="auto"/>
            <w:noWrap/>
            <w:vAlign w:val="bottom"/>
            <w:hideMark/>
          </w:tcPr>
          <w:p w14:paraId="606CF77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0.034</w:t>
            </w:r>
          </w:p>
        </w:tc>
        <w:tc>
          <w:tcPr>
            <w:tcW w:w="632" w:type="pct"/>
            <w:tcBorders>
              <w:top w:val="nil"/>
              <w:left w:val="nil"/>
              <w:bottom w:val="nil"/>
              <w:right w:val="nil"/>
            </w:tcBorders>
            <w:shd w:val="clear" w:color="auto" w:fill="auto"/>
            <w:noWrap/>
            <w:vAlign w:val="bottom"/>
            <w:hideMark/>
          </w:tcPr>
          <w:p w14:paraId="4F5DDE6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0.043</w:t>
            </w:r>
          </w:p>
        </w:tc>
        <w:tc>
          <w:tcPr>
            <w:tcW w:w="632" w:type="pct"/>
            <w:tcBorders>
              <w:top w:val="nil"/>
              <w:left w:val="nil"/>
              <w:bottom w:val="nil"/>
              <w:right w:val="nil"/>
            </w:tcBorders>
            <w:shd w:val="clear" w:color="auto" w:fill="auto"/>
            <w:noWrap/>
            <w:vAlign w:val="bottom"/>
            <w:hideMark/>
          </w:tcPr>
          <w:p w14:paraId="5F29F74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0.066</w:t>
            </w:r>
          </w:p>
        </w:tc>
      </w:tr>
      <w:tr w:rsidR="00073E55" w:rsidRPr="00646F36" w14:paraId="73DBCEC5" w14:textId="77777777" w:rsidTr="00267BC6">
        <w:trPr>
          <w:trHeight w:val="20"/>
        </w:trPr>
        <w:tc>
          <w:tcPr>
            <w:tcW w:w="1211" w:type="pct"/>
            <w:tcBorders>
              <w:top w:val="nil"/>
              <w:left w:val="nil"/>
              <w:bottom w:val="nil"/>
              <w:right w:val="nil"/>
            </w:tcBorders>
            <w:shd w:val="clear" w:color="auto" w:fill="auto"/>
            <w:hideMark/>
          </w:tcPr>
          <w:p w14:paraId="671163FE"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NVQ1 – CSE</w:t>
            </w:r>
          </w:p>
        </w:tc>
        <w:tc>
          <w:tcPr>
            <w:tcW w:w="632" w:type="pct"/>
            <w:tcBorders>
              <w:top w:val="nil"/>
              <w:left w:val="nil"/>
              <w:bottom w:val="nil"/>
              <w:right w:val="nil"/>
            </w:tcBorders>
            <w:shd w:val="clear" w:color="auto" w:fill="auto"/>
            <w:noWrap/>
            <w:vAlign w:val="bottom"/>
            <w:hideMark/>
          </w:tcPr>
          <w:p w14:paraId="2135FD9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-0.032</w:t>
            </w:r>
          </w:p>
        </w:tc>
        <w:tc>
          <w:tcPr>
            <w:tcW w:w="632" w:type="pct"/>
            <w:tcBorders>
              <w:top w:val="nil"/>
              <w:left w:val="nil"/>
              <w:bottom w:val="nil"/>
              <w:right w:val="nil"/>
            </w:tcBorders>
            <w:shd w:val="clear" w:color="auto" w:fill="auto"/>
            <w:noWrap/>
            <w:vAlign w:val="bottom"/>
            <w:hideMark/>
          </w:tcPr>
          <w:p w14:paraId="2F4E3611"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-0.039</w:t>
            </w:r>
          </w:p>
        </w:tc>
        <w:tc>
          <w:tcPr>
            <w:tcW w:w="632" w:type="pct"/>
            <w:tcBorders>
              <w:top w:val="nil"/>
              <w:left w:val="nil"/>
              <w:bottom w:val="nil"/>
              <w:right w:val="nil"/>
            </w:tcBorders>
            <w:shd w:val="clear" w:color="auto" w:fill="auto"/>
            <w:noWrap/>
            <w:vAlign w:val="bottom"/>
            <w:hideMark/>
          </w:tcPr>
          <w:p w14:paraId="667CE41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-0.032</w:t>
            </w:r>
          </w:p>
        </w:tc>
        <w:tc>
          <w:tcPr>
            <w:tcW w:w="632" w:type="pct"/>
            <w:tcBorders>
              <w:top w:val="nil"/>
              <w:left w:val="nil"/>
              <w:bottom w:val="nil"/>
              <w:right w:val="nil"/>
            </w:tcBorders>
            <w:shd w:val="clear" w:color="auto" w:fill="auto"/>
            <w:noWrap/>
            <w:vAlign w:val="bottom"/>
            <w:hideMark/>
          </w:tcPr>
          <w:p w14:paraId="60475637"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-0.038</w:t>
            </w:r>
          </w:p>
        </w:tc>
        <w:tc>
          <w:tcPr>
            <w:tcW w:w="632" w:type="pct"/>
            <w:tcBorders>
              <w:top w:val="nil"/>
              <w:left w:val="nil"/>
              <w:bottom w:val="nil"/>
              <w:right w:val="nil"/>
            </w:tcBorders>
            <w:shd w:val="clear" w:color="auto" w:fill="auto"/>
            <w:noWrap/>
            <w:vAlign w:val="bottom"/>
            <w:hideMark/>
          </w:tcPr>
          <w:p w14:paraId="2BC37298"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-0.103</w:t>
            </w:r>
          </w:p>
        </w:tc>
        <w:tc>
          <w:tcPr>
            <w:tcW w:w="632" w:type="pct"/>
            <w:tcBorders>
              <w:top w:val="nil"/>
              <w:left w:val="nil"/>
              <w:bottom w:val="nil"/>
              <w:right w:val="nil"/>
            </w:tcBorders>
            <w:shd w:val="clear" w:color="auto" w:fill="auto"/>
            <w:noWrap/>
            <w:vAlign w:val="bottom"/>
            <w:hideMark/>
          </w:tcPr>
          <w:p w14:paraId="040FF94E"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-0.056</w:t>
            </w:r>
          </w:p>
        </w:tc>
      </w:tr>
      <w:tr w:rsidR="00073E55" w:rsidRPr="00646F36" w14:paraId="19ED5655" w14:textId="77777777" w:rsidTr="00267BC6">
        <w:trPr>
          <w:trHeight w:val="20"/>
        </w:trPr>
        <w:tc>
          <w:tcPr>
            <w:tcW w:w="1211" w:type="pct"/>
            <w:tcBorders>
              <w:top w:val="nil"/>
              <w:left w:val="nil"/>
              <w:bottom w:val="nil"/>
              <w:right w:val="nil"/>
            </w:tcBorders>
            <w:shd w:val="clear" w:color="auto" w:fill="auto"/>
            <w:noWrap/>
            <w:vAlign w:val="bottom"/>
            <w:hideMark/>
          </w:tcPr>
          <w:p w14:paraId="52984690"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36D7EAD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0.028</w:t>
            </w:r>
          </w:p>
        </w:tc>
        <w:tc>
          <w:tcPr>
            <w:tcW w:w="632" w:type="pct"/>
            <w:tcBorders>
              <w:top w:val="nil"/>
              <w:left w:val="nil"/>
              <w:bottom w:val="nil"/>
              <w:right w:val="nil"/>
            </w:tcBorders>
            <w:shd w:val="clear" w:color="auto" w:fill="auto"/>
            <w:noWrap/>
            <w:vAlign w:val="bottom"/>
            <w:hideMark/>
          </w:tcPr>
          <w:p w14:paraId="1458FC7F"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0.033</w:t>
            </w:r>
          </w:p>
        </w:tc>
        <w:tc>
          <w:tcPr>
            <w:tcW w:w="632" w:type="pct"/>
            <w:tcBorders>
              <w:top w:val="nil"/>
              <w:left w:val="nil"/>
              <w:bottom w:val="nil"/>
              <w:right w:val="nil"/>
            </w:tcBorders>
            <w:shd w:val="clear" w:color="auto" w:fill="auto"/>
            <w:noWrap/>
            <w:vAlign w:val="bottom"/>
            <w:hideMark/>
          </w:tcPr>
          <w:p w14:paraId="34DB451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0.037</w:t>
            </w:r>
          </w:p>
        </w:tc>
        <w:tc>
          <w:tcPr>
            <w:tcW w:w="632" w:type="pct"/>
            <w:tcBorders>
              <w:top w:val="nil"/>
              <w:left w:val="nil"/>
              <w:bottom w:val="nil"/>
              <w:right w:val="nil"/>
            </w:tcBorders>
            <w:shd w:val="clear" w:color="auto" w:fill="auto"/>
            <w:noWrap/>
            <w:vAlign w:val="bottom"/>
            <w:hideMark/>
          </w:tcPr>
          <w:p w14:paraId="5AF5681A"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0.051</w:t>
            </w:r>
          </w:p>
        </w:tc>
        <w:tc>
          <w:tcPr>
            <w:tcW w:w="632" w:type="pct"/>
            <w:tcBorders>
              <w:top w:val="nil"/>
              <w:left w:val="nil"/>
              <w:bottom w:val="nil"/>
              <w:right w:val="nil"/>
            </w:tcBorders>
            <w:shd w:val="clear" w:color="auto" w:fill="auto"/>
            <w:noWrap/>
            <w:vAlign w:val="bottom"/>
            <w:hideMark/>
          </w:tcPr>
          <w:p w14:paraId="13A79FD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0.065</w:t>
            </w:r>
          </w:p>
        </w:tc>
        <w:tc>
          <w:tcPr>
            <w:tcW w:w="632" w:type="pct"/>
            <w:tcBorders>
              <w:top w:val="nil"/>
              <w:left w:val="nil"/>
              <w:bottom w:val="nil"/>
              <w:right w:val="nil"/>
            </w:tcBorders>
            <w:shd w:val="clear" w:color="auto" w:fill="auto"/>
            <w:noWrap/>
            <w:vAlign w:val="bottom"/>
            <w:hideMark/>
          </w:tcPr>
          <w:p w14:paraId="20ACA2C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0.104</w:t>
            </w:r>
          </w:p>
        </w:tc>
      </w:tr>
      <w:tr w:rsidR="00073E55" w:rsidRPr="00646F36" w14:paraId="3B27CB88" w14:textId="77777777" w:rsidTr="00267BC6">
        <w:trPr>
          <w:trHeight w:val="20"/>
        </w:trPr>
        <w:tc>
          <w:tcPr>
            <w:tcW w:w="1211" w:type="pct"/>
            <w:tcBorders>
              <w:top w:val="nil"/>
              <w:left w:val="nil"/>
              <w:bottom w:val="nil"/>
              <w:right w:val="nil"/>
            </w:tcBorders>
            <w:shd w:val="clear" w:color="auto" w:fill="auto"/>
            <w:hideMark/>
          </w:tcPr>
          <w:p w14:paraId="4115AA89" w14:textId="77777777" w:rsidR="00073E55" w:rsidRPr="00BC22E8" w:rsidRDefault="00570A20" w:rsidP="00646F36">
            <w:pPr>
              <w:spacing w:after="0" w:line="240" w:lineRule="auto"/>
              <w:rPr>
                <w:rFonts w:ascii="Garamond" w:eastAsia="Times New Roman" w:hAnsi="Garamond" w:cs="Times New Roman"/>
                <w:color w:val="000000"/>
                <w:sz w:val="20"/>
                <w:szCs w:val="20"/>
                <w:lang w:eastAsia="it-IT"/>
              </w:rPr>
            </w:pPr>
            <w:r w:rsidRPr="00BC22E8">
              <w:rPr>
                <w:rFonts w:ascii="Garamond" w:eastAsia="Times New Roman" w:hAnsi="Garamond" w:cs="Times New Roman"/>
                <w:color w:val="000000"/>
                <w:sz w:val="20"/>
                <w:szCs w:val="20"/>
                <w:lang w:eastAsia="it-IT"/>
              </w:rPr>
              <w:t xml:space="preserve">Other  </w:t>
            </w:r>
            <w:r w:rsidR="00073E55" w:rsidRPr="00BC22E8">
              <w:rPr>
                <w:rFonts w:ascii="Garamond" w:eastAsia="Times New Roman" w:hAnsi="Garamond" w:cs="Times New Roman"/>
                <w:color w:val="000000"/>
                <w:sz w:val="20"/>
                <w:szCs w:val="20"/>
                <w:lang w:eastAsia="it-IT"/>
              </w:rPr>
              <w:t>Qualifications</w:t>
            </w:r>
          </w:p>
        </w:tc>
        <w:tc>
          <w:tcPr>
            <w:tcW w:w="632" w:type="pct"/>
            <w:tcBorders>
              <w:top w:val="nil"/>
              <w:left w:val="nil"/>
              <w:bottom w:val="nil"/>
              <w:right w:val="nil"/>
            </w:tcBorders>
            <w:shd w:val="clear" w:color="auto" w:fill="auto"/>
            <w:noWrap/>
            <w:vAlign w:val="bottom"/>
            <w:hideMark/>
          </w:tcPr>
          <w:p w14:paraId="773C1153"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-0.118***</w:t>
            </w:r>
          </w:p>
        </w:tc>
        <w:tc>
          <w:tcPr>
            <w:tcW w:w="632" w:type="pct"/>
            <w:tcBorders>
              <w:top w:val="nil"/>
              <w:left w:val="nil"/>
              <w:bottom w:val="nil"/>
              <w:right w:val="nil"/>
            </w:tcBorders>
            <w:shd w:val="clear" w:color="auto" w:fill="auto"/>
            <w:noWrap/>
            <w:vAlign w:val="bottom"/>
            <w:hideMark/>
          </w:tcPr>
          <w:p w14:paraId="567188E6"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-0.042</w:t>
            </w:r>
          </w:p>
        </w:tc>
        <w:tc>
          <w:tcPr>
            <w:tcW w:w="632" w:type="pct"/>
            <w:tcBorders>
              <w:top w:val="nil"/>
              <w:left w:val="nil"/>
              <w:bottom w:val="nil"/>
              <w:right w:val="nil"/>
            </w:tcBorders>
            <w:shd w:val="clear" w:color="auto" w:fill="auto"/>
            <w:noWrap/>
            <w:vAlign w:val="bottom"/>
            <w:hideMark/>
          </w:tcPr>
          <w:p w14:paraId="5C9DC12F"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-0.098**</w:t>
            </w:r>
          </w:p>
        </w:tc>
        <w:tc>
          <w:tcPr>
            <w:tcW w:w="632" w:type="pct"/>
            <w:tcBorders>
              <w:top w:val="nil"/>
              <w:left w:val="nil"/>
              <w:bottom w:val="nil"/>
              <w:right w:val="nil"/>
            </w:tcBorders>
            <w:shd w:val="clear" w:color="auto" w:fill="auto"/>
            <w:noWrap/>
            <w:vAlign w:val="bottom"/>
            <w:hideMark/>
          </w:tcPr>
          <w:p w14:paraId="2B091BEA"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-0.194***</w:t>
            </w:r>
          </w:p>
        </w:tc>
        <w:tc>
          <w:tcPr>
            <w:tcW w:w="632" w:type="pct"/>
            <w:tcBorders>
              <w:top w:val="nil"/>
              <w:left w:val="nil"/>
              <w:bottom w:val="nil"/>
              <w:right w:val="nil"/>
            </w:tcBorders>
            <w:shd w:val="clear" w:color="auto" w:fill="auto"/>
            <w:noWrap/>
            <w:vAlign w:val="bottom"/>
            <w:hideMark/>
          </w:tcPr>
          <w:p w14:paraId="1780B2CE"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-0.195**</w:t>
            </w:r>
          </w:p>
        </w:tc>
        <w:tc>
          <w:tcPr>
            <w:tcW w:w="632" w:type="pct"/>
            <w:tcBorders>
              <w:top w:val="nil"/>
              <w:left w:val="nil"/>
              <w:bottom w:val="nil"/>
              <w:right w:val="nil"/>
            </w:tcBorders>
            <w:shd w:val="clear" w:color="auto" w:fill="auto"/>
            <w:noWrap/>
            <w:vAlign w:val="bottom"/>
            <w:hideMark/>
          </w:tcPr>
          <w:p w14:paraId="3F5857A9"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-0.203</w:t>
            </w:r>
          </w:p>
        </w:tc>
      </w:tr>
      <w:tr w:rsidR="00073E55" w:rsidRPr="00646F36" w14:paraId="02396CB6" w14:textId="77777777" w:rsidTr="00267BC6">
        <w:trPr>
          <w:trHeight w:val="20"/>
        </w:trPr>
        <w:tc>
          <w:tcPr>
            <w:tcW w:w="1211" w:type="pct"/>
            <w:tcBorders>
              <w:top w:val="nil"/>
              <w:left w:val="nil"/>
              <w:bottom w:val="nil"/>
              <w:right w:val="nil"/>
            </w:tcBorders>
            <w:shd w:val="clear" w:color="auto" w:fill="auto"/>
            <w:noWrap/>
            <w:vAlign w:val="bottom"/>
            <w:hideMark/>
          </w:tcPr>
          <w:p w14:paraId="00B7F1C8"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nil"/>
              <w:right w:val="nil"/>
            </w:tcBorders>
            <w:shd w:val="clear" w:color="auto" w:fill="auto"/>
            <w:noWrap/>
            <w:vAlign w:val="bottom"/>
            <w:hideMark/>
          </w:tcPr>
          <w:p w14:paraId="2BC3432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0.039</w:t>
            </w:r>
          </w:p>
        </w:tc>
        <w:tc>
          <w:tcPr>
            <w:tcW w:w="632" w:type="pct"/>
            <w:tcBorders>
              <w:top w:val="nil"/>
              <w:left w:val="nil"/>
              <w:bottom w:val="nil"/>
              <w:right w:val="nil"/>
            </w:tcBorders>
            <w:shd w:val="clear" w:color="auto" w:fill="auto"/>
            <w:noWrap/>
            <w:vAlign w:val="bottom"/>
            <w:hideMark/>
          </w:tcPr>
          <w:p w14:paraId="7CF4CDB1"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0.036</w:t>
            </w:r>
          </w:p>
        </w:tc>
        <w:tc>
          <w:tcPr>
            <w:tcW w:w="632" w:type="pct"/>
            <w:tcBorders>
              <w:top w:val="nil"/>
              <w:left w:val="nil"/>
              <w:bottom w:val="nil"/>
              <w:right w:val="nil"/>
            </w:tcBorders>
            <w:shd w:val="clear" w:color="auto" w:fill="auto"/>
            <w:noWrap/>
            <w:vAlign w:val="bottom"/>
            <w:hideMark/>
          </w:tcPr>
          <w:p w14:paraId="5683FB6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0.050</w:t>
            </w:r>
          </w:p>
        </w:tc>
        <w:tc>
          <w:tcPr>
            <w:tcW w:w="632" w:type="pct"/>
            <w:tcBorders>
              <w:top w:val="nil"/>
              <w:left w:val="nil"/>
              <w:bottom w:val="nil"/>
              <w:right w:val="nil"/>
            </w:tcBorders>
            <w:shd w:val="clear" w:color="auto" w:fill="auto"/>
            <w:noWrap/>
            <w:vAlign w:val="bottom"/>
            <w:hideMark/>
          </w:tcPr>
          <w:p w14:paraId="205120B3"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0.070</w:t>
            </w:r>
          </w:p>
        </w:tc>
        <w:tc>
          <w:tcPr>
            <w:tcW w:w="632" w:type="pct"/>
            <w:tcBorders>
              <w:top w:val="nil"/>
              <w:left w:val="nil"/>
              <w:bottom w:val="nil"/>
              <w:right w:val="nil"/>
            </w:tcBorders>
            <w:shd w:val="clear" w:color="auto" w:fill="auto"/>
            <w:noWrap/>
            <w:vAlign w:val="bottom"/>
            <w:hideMark/>
          </w:tcPr>
          <w:p w14:paraId="63602AEC"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0.092</w:t>
            </w:r>
          </w:p>
        </w:tc>
        <w:tc>
          <w:tcPr>
            <w:tcW w:w="632" w:type="pct"/>
            <w:tcBorders>
              <w:top w:val="nil"/>
              <w:left w:val="nil"/>
              <w:bottom w:val="nil"/>
              <w:right w:val="nil"/>
            </w:tcBorders>
            <w:shd w:val="clear" w:color="auto" w:fill="auto"/>
            <w:noWrap/>
            <w:vAlign w:val="bottom"/>
            <w:hideMark/>
          </w:tcPr>
          <w:p w14:paraId="7B5B8CE7"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0.143</w:t>
            </w:r>
          </w:p>
        </w:tc>
      </w:tr>
      <w:tr w:rsidR="00073E55" w:rsidRPr="00646F36" w14:paraId="1B158B4C" w14:textId="77777777" w:rsidTr="00267BC6">
        <w:trPr>
          <w:trHeight w:val="20"/>
        </w:trPr>
        <w:tc>
          <w:tcPr>
            <w:tcW w:w="1211" w:type="pct"/>
            <w:tcBorders>
              <w:top w:val="nil"/>
              <w:left w:val="nil"/>
              <w:bottom w:val="nil"/>
              <w:right w:val="nil"/>
            </w:tcBorders>
            <w:shd w:val="clear" w:color="auto" w:fill="auto"/>
            <w:noWrap/>
            <w:vAlign w:val="bottom"/>
            <w:hideMark/>
          </w:tcPr>
          <w:p w14:paraId="700C4015"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Constant</w:t>
            </w:r>
          </w:p>
        </w:tc>
        <w:tc>
          <w:tcPr>
            <w:tcW w:w="632" w:type="pct"/>
            <w:tcBorders>
              <w:top w:val="nil"/>
              <w:left w:val="nil"/>
              <w:bottom w:val="nil"/>
              <w:right w:val="nil"/>
            </w:tcBorders>
            <w:shd w:val="clear" w:color="auto" w:fill="auto"/>
            <w:noWrap/>
            <w:vAlign w:val="bottom"/>
            <w:hideMark/>
          </w:tcPr>
          <w:p w14:paraId="210347CA"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3.135***</w:t>
            </w:r>
          </w:p>
        </w:tc>
        <w:tc>
          <w:tcPr>
            <w:tcW w:w="632" w:type="pct"/>
            <w:tcBorders>
              <w:top w:val="nil"/>
              <w:left w:val="nil"/>
              <w:bottom w:val="nil"/>
              <w:right w:val="nil"/>
            </w:tcBorders>
            <w:shd w:val="clear" w:color="auto" w:fill="auto"/>
            <w:noWrap/>
            <w:vAlign w:val="bottom"/>
            <w:hideMark/>
          </w:tcPr>
          <w:p w14:paraId="15E5D8FE"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2.640***</w:t>
            </w:r>
          </w:p>
        </w:tc>
        <w:tc>
          <w:tcPr>
            <w:tcW w:w="632" w:type="pct"/>
            <w:tcBorders>
              <w:top w:val="nil"/>
              <w:left w:val="nil"/>
              <w:bottom w:val="nil"/>
              <w:right w:val="nil"/>
            </w:tcBorders>
            <w:shd w:val="clear" w:color="auto" w:fill="auto"/>
            <w:noWrap/>
            <w:vAlign w:val="bottom"/>
            <w:hideMark/>
          </w:tcPr>
          <w:p w14:paraId="2DC23C20"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3.190***</w:t>
            </w:r>
          </w:p>
        </w:tc>
        <w:tc>
          <w:tcPr>
            <w:tcW w:w="632" w:type="pct"/>
            <w:tcBorders>
              <w:top w:val="nil"/>
              <w:left w:val="nil"/>
              <w:bottom w:val="nil"/>
              <w:right w:val="nil"/>
            </w:tcBorders>
            <w:shd w:val="clear" w:color="auto" w:fill="auto"/>
            <w:noWrap/>
            <w:vAlign w:val="bottom"/>
            <w:hideMark/>
          </w:tcPr>
          <w:p w14:paraId="0F8965C7"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3.738***</w:t>
            </w:r>
          </w:p>
        </w:tc>
        <w:tc>
          <w:tcPr>
            <w:tcW w:w="632" w:type="pct"/>
            <w:tcBorders>
              <w:top w:val="nil"/>
              <w:left w:val="nil"/>
              <w:bottom w:val="nil"/>
              <w:right w:val="nil"/>
            </w:tcBorders>
            <w:shd w:val="clear" w:color="auto" w:fill="auto"/>
            <w:noWrap/>
            <w:vAlign w:val="bottom"/>
            <w:hideMark/>
          </w:tcPr>
          <w:p w14:paraId="25124814"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3.954***</w:t>
            </w:r>
          </w:p>
        </w:tc>
        <w:tc>
          <w:tcPr>
            <w:tcW w:w="632" w:type="pct"/>
            <w:tcBorders>
              <w:top w:val="nil"/>
              <w:left w:val="nil"/>
              <w:bottom w:val="nil"/>
              <w:right w:val="nil"/>
            </w:tcBorders>
            <w:shd w:val="clear" w:color="auto" w:fill="auto"/>
            <w:noWrap/>
            <w:vAlign w:val="bottom"/>
            <w:hideMark/>
          </w:tcPr>
          <w:p w14:paraId="4963F75D" w14:textId="77777777" w:rsidR="00073E55" w:rsidRPr="00646F36" w:rsidRDefault="00073E55" w:rsidP="00BC22E8">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4.448***</w:t>
            </w:r>
          </w:p>
        </w:tc>
      </w:tr>
      <w:tr w:rsidR="00073E55" w:rsidRPr="00646F36" w14:paraId="12661122" w14:textId="77777777" w:rsidTr="00267BC6">
        <w:trPr>
          <w:trHeight w:val="20"/>
        </w:trPr>
        <w:tc>
          <w:tcPr>
            <w:tcW w:w="1211" w:type="pct"/>
            <w:tcBorders>
              <w:top w:val="nil"/>
              <w:left w:val="nil"/>
              <w:bottom w:val="single" w:sz="4" w:space="0" w:color="auto"/>
              <w:right w:val="nil"/>
            </w:tcBorders>
            <w:shd w:val="clear" w:color="auto" w:fill="auto"/>
            <w:noWrap/>
            <w:vAlign w:val="bottom"/>
            <w:hideMark/>
          </w:tcPr>
          <w:p w14:paraId="248D944A" w14:textId="77777777" w:rsidR="00073E55" w:rsidRPr="00646F36" w:rsidRDefault="00073E55" w:rsidP="00073E55">
            <w:pPr>
              <w:spacing w:after="0" w:line="240" w:lineRule="auto"/>
              <w:rPr>
                <w:rFonts w:ascii="Garamond" w:eastAsia="Times New Roman" w:hAnsi="Garamond" w:cs="Times New Roman"/>
                <w:i/>
                <w:color w:val="000000"/>
                <w:lang w:eastAsia="it-IT"/>
              </w:rPr>
            </w:pPr>
          </w:p>
        </w:tc>
        <w:tc>
          <w:tcPr>
            <w:tcW w:w="632" w:type="pct"/>
            <w:tcBorders>
              <w:top w:val="nil"/>
              <w:left w:val="nil"/>
              <w:bottom w:val="single" w:sz="4" w:space="0" w:color="auto"/>
              <w:right w:val="nil"/>
            </w:tcBorders>
            <w:shd w:val="clear" w:color="auto" w:fill="auto"/>
            <w:noWrap/>
            <w:vAlign w:val="bottom"/>
            <w:hideMark/>
          </w:tcPr>
          <w:p w14:paraId="667E9EC4"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0.083</w:t>
            </w:r>
          </w:p>
        </w:tc>
        <w:tc>
          <w:tcPr>
            <w:tcW w:w="632" w:type="pct"/>
            <w:tcBorders>
              <w:top w:val="nil"/>
              <w:left w:val="nil"/>
              <w:bottom w:val="single" w:sz="4" w:space="0" w:color="auto"/>
              <w:right w:val="nil"/>
            </w:tcBorders>
            <w:shd w:val="clear" w:color="auto" w:fill="auto"/>
            <w:noWrap/>
            <w:vAlign w:val="bottom"/>
            <w:hideMark/>
          </w:tcPr>
          <w:p w14:paraId="229DB4C6"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0.118</w:t>
            </w:r>
          </w:p>
        </w:tc>
        <w:tc>
          <w:tcPr>
            <w:tcW w:w="632" w:type="pct"/>
            <w:tcBorders>
              <w:top w:val="nil"/>
              <w:left w:val="nil"/>
              <w:bottom w:val="single" w:sz="4" w:space="0" w:color="auto"/>
              <w:right w:val="nil"/>
            </w:tcBorders>
            <w:shd w:val="clear" w:color="auto" w:fill="auto"/>
            <w:noWrap/>
            <w:vAlign w:val="bottom"/>
            <w:hideMark/>
          </w:tcPr>
          <w:p w14:paraId="172CD52B"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0.119</w:t>
            </w:r>
          </w:p>
        </w:tc>
        <w:tc>
          <w:tcPr>
            <w:tcW w:w="632" w:type="pct"/>
            <w:tcBorders>
              <w:top w:val="nil"/>
              <w:left w:val="nil"/>
              <w:bottom w:val="single" w:sz="4" w:space="0" w:color="auto"/>
              <w:right w:val="nil"/>
            </w:tcBorders>
            <w:shd w:val="clear" w:color="auto" w:fill="auto"/>
            <w:noWrap/>
            <w:vAlign w:val="bottom"/>
            <w:hideMark/>
          </w:tcPr>
          <w:p w14:paraId="2DFA7FCE"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0.149</w:t>
            </w:r>
          </w:p>
        </w:tc>
        <w:tc>
          <w:tcPr>
            <w:tcW w:w="632" w:type="pct"/>
            <w:tcBorders>
              <w:top w:val="nil"/>
              <w:left w:val="nil"/>
              <w:bottom w:val="single" w:sz="4" w:space="0" w:color="auto"/>
              <w:right w:val="nil"/>
            </w:tcBorders>
            <w:shd w:val="clear" w:color="auto" w:fill="auto"/>
            <w:noWrap/>
            <w:vAlign w:val="bottom"/>
            <w:hideMark/>
          </w:tcPr>
          <w:p w14:paraId="7E05C99D"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0.169</w:t>
            </w:r>
          </w:p>
        </w:tc>
        <w:tc>
          <w:tcPr>
            <w:tcW w:w="632" w:type="pct"/>
            <w:tcBorders>
              <w:top w:val="nil"/>
              <w:left w:val="nil"/>
              <w:bottom w:val="single" w:sz="4" w:space="0" w:color="auto"/>
              <w:right w:val="nil"/>
            </w:tcBorders>
            <w:shd w:val="clear" w:color="auto" w:fill="auto"/>
            <w:noWrap/>
            <w:vAlign w:val="bottom"/>
            <w:hideMark/>
          </w:tcPr>
          <w:p w14:paraId="3F148CB0" w14:textId="77777777" w:rsidR="00073E55" w:rsidRPr="00646F36" w:rsidRDefault="00073E55" w:rsidP="00BC22E8">
            <w:pPr>
              <w:spacing w:after="0" w:line="240" w:lineRule="auto"/>
              <w:jc w:val="both"/>
              <w:rPr>
                <w:rFonts w:ascii="Garamond" w:eastAsia="Times New Roman" w:hAnsi="Garamond" w:cs="Times New Roman"/>
                <w:i/>
                <w:color w:val="000000"/>
                <w:lang w:eastAsia="it-IT"/>
              </w:rPr>
            </w:pPr>
            <w:r w:rsidRPr="00646F36">
              <w:rPr>
                <w:rFonts w:ascii="Garamond" w:eastAsia="Times New Roman" w:hAnsi="Garamond" w:cs="Times New Roman"/>
                <w:i/>
                <w:color w:val="000000"/>
                <w:lang w:eastAsia="it-IT"/>
              </w:rPr>
              <w:t>0.259</w:t>
            </w:r>
          </w:p>
        </w:tc>
      </w:tr>
      <w:tr w:rsidR="00073E55" w:rsidRPr="00646F36" w14:paraId="364C9A6D" w14:textId="77777777" w:rsidTr="00267BC6">
        <w:trPr>
          <w:trHeight w:val="20"/>
        </w:trPr>
        <w:tc>
          <w:tcPr>
            <w:tcW w:w="1211" w:type="pct"/>
            <w:tcBorders>
              <w:top w:val="single" w:sz="4" w:space="0" w:color="auto"/>
              <w:left w:val="nil"/>
              <w:bottom w:val="single" w:sz="4" w:space="0" w:color="auto"/>
              <w:right w:val="nil"/>
            </w:tcBorders>
            <w:shd w:val="clear" w:color="auto" w:fill="auto"/>
            <w:noWrap/>
            <w:vAlign w:val="bottom"/>
            <w:hideMark/>
          </w:tcPr>
          <w:p w14:paraId="70AC0CFB"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Years Fixed Effects</w:t>
            </w:r>
          </w:p>
        </w:tc>
        <w:tc>
          <w:tcPr>
            <w:tcW w:w="632" w:type="pct"/>
            <w:tcBorders>
              <w:top w:val="single" w:sz="4" w:space="0" w:color="auto"/>
              <w:left w:val="nil"/>
              <w:bottom w:val="single" w:sz="4" w:space="0" w:color="auto"/>
              <w:right w:val="nil"/>
            </w:tcBorders>
            <w:shd w:val="clear" w:color="auto" w:fill="auto"/>
            <w:noWrap/>
            <w:vAlign w:val="bottom"/>
            <w:hideMark/>
          </w:tcPr>
          <w:p w14:paraId="137AEBE7" w14:textId="77777777" w:rsidR="00073E55" w:rsidRPr="00646F36" w:rsidRDefault="00570A20"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32" w:type="pct"/>
            <w:tcBorders>
              <w:top w:val="single" w:sz="4" w:space="0" w:color="auto"/>
              <w:left w:val="nil"/>
              <w:bottom w:val="single" w:sz="4" w:space="0" w:color="auto"/>
              <w:right w:val="nil"/>
            </w:tcBorders>
            <w:shd w:val="clear" w:color="auto" w:fill="auto"/>
            <w:noWrap/>
            <w:vAlign w:val="bottom"/>
            <w:hideMark/>
          </w:tcPr>
          <w:p w14:paraId="6DB8B3FD" w14:textId="77777777" w:rsidR="00073E55" w:rsidRPr="00646F36" w:rsidRDefault="00570A20"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32" w:type="pct"/>
            <w:tcBorders>
              <w:top w:val="single" w:sz="4" w:space="0" w:color="auto"/>
              <w:left w:val="nil"/>
              <w:bottom w:val="single" w:sz="4" w:space="0" w:color="auto"/>
              <w:right w:val="nil"/>
            </w:tcBorders>
            <w:shd w:val="clear" w:color="auto" w:fill="auto"/>
            <w:noWrap/>
            <w:vAlign w:val="bottom"/>
            <w:hideMark/>
          </w:tcPr>
          <w:p w14:paraId="61DDDE27" w14:textId="77777777" w:rsidR="00073E55" w:rsidRPr="00646F36" w:rsidRDefault="00570A20"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32" w:type="pct"/>
            <w:tcBorders>
              <w:top w:val="single" w:sz="4" w:space="0" w:color="auto"/>
              <w:left w:val="nil"/>
              <w:bottom w:val="single" w:sz="4" w:space="0" w:color="auto"/>
              <w:right w:val="nil"/>
            </w:tcBorders>
            <w:shd w:val="clear" w:color="auto" w:fill="auto"/>
            <w:noWrap/>
            <w:vAlign w:val="bottom"/>
            <w:hideMark/>
          </w:tcPr>
          <w:p w14:paraId="17A07814" w14:textId="77777777" w:rsidR="00073E55" w:rsidRPr="00646F36" w:rsidRDefault="00570A20"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32" w:type="pct"/>
            <w:tcBorders>
              <w:top w:val="single" w:sz="4" w:space="0" w:color="auto"/>
              <w:left w:val="nil"/>
              <w:bottom w:val="single" w:sz="4" w:space="0" w:color="auto"/>
              <w:right w:val="nil"/>
            </w:tcBorders>
            <w:shd w:val="clear" w:color="auto" w:fill="auto"/>
            <w:noWrap/>
            <w:vAlign w:val="bottom"/>
            <w:hideMark/>
          </w:tcPr>
          <w:p w14:paraId="022B5F0D" w14:textId="77777777" w:rsidR="00073E55" w:rsidRPr="00646F36" w:rsidRDefault="00570A20"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32" w:type="pct"/>
            <w:tcBorders>
              <w:top w:val="single" w:sz="4" w:space="0" w:color="auto"/>
              <w:left w:val="nil"/>
              <w:bottom w:val="single" w:sz="4" w:space="0" w:color="auto"/>
              <w:right w:val="nil"/>
            </w:tcBorders>
            <w:shd w:val="clear" w:color="auto" w:fill="auto"/>
            <w:noWrap/>
            <w:vAlign w:val="bottom"/>
            <w:hideMark/>
          </w:tcPr>
          <w:p w14:paraId="54EA29A6" w14:textId="77777777" w:rsidR="00073E55" w:rsidRPr="00646F36" w:rsidRDefault="00570A20"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r>
      <w:tr w:rsidR="00073E55" w:rsidRPr="00646F36" w14:paraId="0E4EE4D4" w14:textId="77777777" w:rsidTr="00267BC6">
        <w:trPr>
          <w:trHeight w:val="20"/>
        </w:trPr>
        <w:tc>
          <w:tcPr>
            <w:tcW w:w="1211" w:type="pct"/>
            <w:tcBorders>
              <w:top w:val="single" w:sz="4" w:space="0" w:color="auto"/>
              <w:left w:val="nil"/>
              <w:bottom w:val="single" w:sz="4" w:space="0" w:color="auto"/>
              <w:right w:val="nil"/>
            </w:tcBorders>
            <w:shd w:val="clear" w:color="auto" w:fill="auto"/>
            <w:noWrap/>
            <w:vAlign w:val="bottom"/>
            <w:hideMark/>
          </w:tcPr>
          <w:p w14:paraId="33CD1F44" w14:textId="77777777" w:rsidR="00073E55" w:rsidRPr="00646F36" w:rsidRDefault="00073E55" w:rsidP="00073E55">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Observations</w:t>
            </w:r>
          </w:p>
        </w:tc>
        <w:tc>
          <w:tcPr>
            <w:tcW w:w="632" w:type="pct"/>
            <w:tcBorders>
              <w:top w:val="single" w:sz="4" w:space="0" w:color="auto"/>
              <w:left w:val="nil"/>
              <w:bottom w:val="single" w:sz="4" w:space="0" w:color="auto"/>
              <w:right w:val="nil"/>
            </w:tcBorders>
            <w:shd w:val="clear" w:color="auto" w:fill="auto"/>
            <w:noWrap/>
            <w:vAlign w:val="bottom"/>
            <w:hideMark/>
          </w:tcPr>
          <w:p w14:paraId="5F353B1C"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15530</w:t>
            </w:r>
          </w:p>
        </w:tc>
        <w:tc>
          <w:tcPr>
            <w:tcW w:w="632" w:type="pct"/>
            <w:tcBorders>
              <w:top w:val="single" w:sz="4" w:space="0" w:color="auto"/>
              <w:left w:val="nil"/>
              <w:bottom w:val="single" w:sz="4" w:space="0" w:color="auto"/>
              <w:right w:val="nil"/>
            </w:tcBorders>
            <w:shd w:val="clear" w:color="auto" w:fill="auto"/>
            <w:noWrap/>
            <w:vAlign w:val="bottom"/>
            <w:hideMark/>
          </w:tcPr>
          <w:p w14:paraId="18297EFC"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15530</w:t>
            </w:r>
          </w:p>
        </w:tc>
        <w:tc>
          <w:tcPr>
            <w:tcW w:w="632" w:type="pct"/>
            <w:tcBorders>
              <w:top w:val="single" w:sz="4" w:space="0" w:color="auto"/>
              <w:left w:val="nil"/>
              <w:bottom w:val="single" w:sz="4" w:space="0" w:color="auto"/>
              <w:right w:val="nil"/>
            </w:tcBorders>
            <w:shd w:val="clear" w:color="auto" w:fill="auto"/>
            <w:noWrap/>
            <w:vAlign w:val="bottom"/>
            <w:hideMark/>
          </w:tcPr>
          <w:p w14:paraId="0AF94CE9"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15530</w:t>
            </w:r>
          </w:p>
        </w:tc>
        <w:tc>
          <w:tcPr>
            <w:tcW w:w="632" w:type="pct"/>
            <w:tcBorders>
              <w:top w:val="single" w:sz="4" w:space="0" w:color="auto"/>
              <w:left w:val="nil"/>
              <w:bottom w:val="single" w:sz="4" w:space="0" w:color="auto"/>
              <w:right w:val="nil"/>
            </w:tcBorders>
            <w:shd w:val="clear" w:color="auto" w:fill="auto"/>
            <w:noWrap/>
            <w:vAlign w:val="bottom"/>
            <w:hideMark/>
          </w:tcPr>
          <w:p w14:paraId="19084570"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15530</w:t>
            </w:r>
          </w:p>
        </w:tc>
        <w:tc>
          <w:tcPr>
            <w:tcW w:w="632" w:type="pct"/>
            <w:tcBorders>
              <w:top w:val="single" w:sz="4" w:space="0" w:color="auto"/>
              <w:left w:val="nil"/>
              <w:bottom w:val="single" w:sz="4" w:space="0" w:color="auto"/>
              <w:right w:val="nil"/>
            </w:tcBorders>
            <w:shd w:val="clear" w:color="auto" w:fill="auto"/>
            <w:noWrap/>
            <w:vAlign w:val="bottom"/>
            <w:hideMark/>
          </w:tcPr>
          <w:p w14:paraId="6D5C9567"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15530</w:t>
            </w:r>
          </w:p>
        </w:tc>
        <w:tc>
          <w:tcPr>
            <w:tcW w:w="632" w:type="pct"/>
            <w:tcBorders>
              <w:top w:val="single" w:sz="4" w:space="0" w:color="auto"/>
              <w:left w:val="nil"/>
              <w:bottom w:val="single" w:sz="4" w:space="0" w:color="auto"/>
              <w:right w:val="nil"/>
            </w:tcBorders>
            <w:shd w:val="clear" w:color="auto" w:fill="auto"/>
            <w:noWrap/>
            <w:vAlign w:val="bottom"/>
            <w:hideMark/>
          </w:tcPr>
          <w:p w14:paraId="13DC87B5" w14:textId="77777777" w:rsidR="00073E55" w:rsidRPr="00646F36" w:rsidRDefault="00073E55" w:rsidP="00646F36">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15530</w:t>
            </w:r>
          </w:p>
        </w:tc>
      </w:tr>
    </w:tbl>
    <w:p w14:paraId="03AD43BB" w14:textId="77777777" w:rsidR="00570A20" w:rsidRDefault="00570A20" w:rsidP="00570A20">
      <w:pPr>
        <w:jc w:val="both"/>
        <w:rPr>
          <w:rFonts w:ascii="Garamond" w:hAnsi="Garamond"/>
          <w:sz w:val="16"/>
          <w:szCs w:val="16"/>
        </w:rPr>
      </w:pPr>
      <w:r w:rsidRPr="005568B0">
        <w:rPr>
          <w:rFonts w:ascii="Garamond" w:hAnsi="Garamond"/>
          <w:i/>
          <w:sz w:val="16"/>
          <w:szCs w:val="16"/>
        </w:rPr>
        <w:t>Standard Errors in Italics</w:t>
      </w:r>
      <w:r w:rsidRPr="005568B0">
        <w:rPr>
          <w:rFonts w:ascii="Garamond" w:hAnsi="Garamond"/>
          <w:sz w:val="16"/>
          <w:szCs w:val="16"/>
        </w:rPr>
        <w:t>; ***, **, * indicate significance at 1%, 5% and 10%, respectively</w:t>
      </w:r>
      <w:r>
        <w:rPr>
          <w:rFonts w:ascii="Garamond" w:hAnsi="Garamond"/>
          <w:sz w:val="16"/>
          <w:szCs w:val="16"/>
        </w:rPr>
        <w:t>. Sample weights applied.</w:t>
      </w:r>
    </w:p>
    <w:p w14:paraId="290BFE94" w14:textId="77777777" w:rsidR="00267BC6" w:rsidRDefault="00267BC6" w:rsidP="00267BC6">
      <w:pPr>
        <w:rPr>
          <w:rFonts w:ascii="Garamond" w:hAnsi="Garamond"/>
          <w:sz w:val="16"/>
          <w:szCs w:val="16"/>
        </w:rPr>
      </w:pPr>
      <w:r>
        <w:rPr>
          <w:rFonts w:ascii="Garamond" w:hAnsi="Garamond"/>
          <w:sz w:val="16"/>
          <w:szCs w:val="16"/>
        </w:rPr>
        <w:br w:type="page"/>
      </w:r>
    </w:p>
    <w:p w14:paraId="4C323C98" w14:textId="77777777" w:rsidR="00C46CE8" w:rsidRDefault="00D5220A" w:rsidP="00D231EA">
      <w:pPr>
        <w:jc w:val="both"/>
        <w:rPr>
          <w:rFonts w:ascii="Garamond" w:hAnsi="Garamond"/>
          <w:b/>
        </w:rPr>
      </w:pPr>
      <w:r w:rsidRPr="0008683F">
        <w:rPr>
          <w:rFonts w:ascii="Garamond" w:hAnsi="Garamond"/>
          <w:b/>
        </w:rPr>
        <w:lastRenderedPageBreak/>
        <w:t>Table 6. Ferritin Results</w:t>
      </w:r>
      <w:r w:rsidR="00A444A3" w:rsidRPr="0008683F">
        <w:rPr>
          <w:rFonts w:ascii="Garamond" w:hAnsi="Garamond"/>
          <w:b/>
        </w:rPr>
        <w:t>- OLS and RIF regression</w:t>
      </w:r>
      <w:r w:rsidR="00832EC5" w:rsidRPr="0008683F">
        <w:rPr>
          <w:rFonts w:ascii="Garamond" w:hAnsi="Garamond"/>
          <w:b/>
        </w:rPr>
        <w:t>s</w:t>
      </w:r>
    </w:p>
    <w:tbl>
      <w:tblPr>
        <w:tblW w:w="5000" w:type="pct"/>
        <w:tblCellMar>
          <w:left w:w="70" w:type="dxa"/>
          <w:right w:w="70" w:type="dxa"/>
        </w:tblCellMar>
        <w:tblLook w:val="04A0" w:firstRow="1" w:lastRow="0" w:firstColumn="1" w:lastColumn="0" w:noHBand="0" w:noVBand="1"/>
      </w:tblPr>
      <w:tblGrid>
        <w:gridCol w:w="1851"/>
        <w:gridCol w:w="1089"/>
        <w:gridCol w:w="985"/>
        <w:gridCol w:w="985"/>
        <w:gridCol w:w="985"/>
        <w:gridCol w:w="1089"/>
        <w:gridCol w:w="1092"/>
      </w:tblGrid>
      <w:tr w:rsidR="00646F36" w:rsidRPr="00646F36" w14:paraId="3AE00E8E" w14:textId="77777777" w:rsidTr="00BC22E8">
        <w:trPr>
          <w:trHeight w:val="20"/>
        </w:trPr>
        <w:tc>
          <w:tcPr>
            <w:tcW w:w="1146" w:type="pct"/>
            <w:tcBorders>
              <w:top w:val="single" w:sz="4" w:space="0" w:color="auto"/>
              <w:left w:val="nil"/>
              <w:bottom w:val="single" w:sz="4" w:space="0" w:color="auto"/>
              <w:right w:val="nil"/>
            </w:tcBorders>
            <w:shd w:val="clear" w:color="auto" w:fill="auto"/>
            <w:noWrap/>
            <w:vAlign w:val="bottom"/>
            <w:hideMark/>
          </w:tcPr>
          <w:p w14:paraId="3E4B8256" w14:textId="77777777" w:rsidR="00646F36" w:rsidRPr="00A444A3" w:rsidRDefault="00646F36" w:rsidP="00415BCE">
            <w:pPr>
              <w:spacing w:after="0" w:line="240" w:lineRule="auto"/>
              <w:rPr>
                <w:rFonts w:ascii="Garamond" w:eastAsia="Times New Roman" w:hAnsi="Garamond" w:cs="Times New Roman"/>
                <w:color w:val="000000"/>
                <w:lang w:eastAsia="it-IT"/>
              </w:rPr>
            </w:pPr>
          </w:p>
        </w:tc>
        <w:tc>
          <w:tcPr>
            <w:tcW w:w="674" w:type="pct"/>
            <w:tcBorders>
              <w:top w:val="single" w:sz="4" w:space="0" w:color="auto"/>
              <w:left w:val="nil"/>
              <w:bottom w:val="single" w:sz="4" w:space="0" w:color="auto"/>
              <w:right w:val="nil"/>
            </w:tcBorders>
            <w:shd w:val="clear" w:color="auto" w:fill="auto"/>
            <w:noWrap/>
            <w:vAlign w:val="bottom"/>
            <w:hideMark/>
          </w:tcPr>
          <w:p w14:paraId="71D40564" w14:textId="77777777" w:rsidR="00646F36" w:rsidRPr="00BC22E8" w:rsidRDefault="00646F36" w:rsidP="00BC22E8">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OLS</w:t>
            </w:r>
          </w:p>
        </w:tc>
        <w:tc>
          <w:tcPr>
            <w:tcW w:w="3180" w:type="pct"/>
            <w:gridSpan w:val="5"/>
            <w:tcBorders>
              <w:top w:val="single" w:sz="4" w:space="0" w:color="auto"/>
              <w:left w:val="nil"/>
              <w:bottom w:val="single" w:sz="4" w:space="0" w:color="auto"/>
              <w:right w:val="nil"/>
            </w:tcBorders>
            <w:shd w:val="clear" w:color="auto" w:fill="auto"/>
            <w:noWrap/>
            <w:vAlign w:val="bottom"/>
            <w:hideMark/>
          </w:tcPr>
          <w:p w14:paraId="6DDFB999" w14:textId="77777777" w:rsidR="00646F36" w:rsidRPr="00BC22E8" w:rsidRDefault="00646F36" w:rsidP="00BC22E8">
            <w:pPr>
              <w:spacing w:after="0" w:line="240" w:lineRule="auto"/>
              <w:jc w:val="center"/>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RIF Regressions</w:t>
            </w:r>
          </w:p>
        </w:tc>
      </w:tr>
      <w:tr w:rsidR="00646F36" w:rsidRPr="00646F36" w14:paraId="0896F63D" w14:textId="77777777" w:rsidTr="000735E3">
        <w:trPr>
          <w:trHeight w:val="20"/>
        </w:trPr>
        <w:tc>
          <w:tcPr>
            <w:tcW w:w="1146" w:type="pct"/>
            <w:tcBorders>
              <w:top w:val="single" w:sz="4" w:space="0" w:color="auto"/>
              <w:left w:val="nil"/>
              <w:bottom w:val="single" w:sz="4" w:space="0" w:color="auto"/>
              <w:right w:val="nil"/>
            </w:tcBorders>
            <w:shd w:val="clear" w:color="auto" w:fill="auto"/>
            <w:noWrap/>
            <w:vAlign w:val="bottom"/>
            <w:hideMark/>
          </w:tcPr>
          <w:p w14:paraId="409B2DAF" w14:textId="77777777" w:rsidR="00646F36" w:rsidRPr="00646F36" w:rsidRDefault="00646F36"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Variables</w:t>
            </w:r>
          </w:p>
        </w:tc>
        <w:tc>
          <w:tcPr>
            <w:tcW w:w="674" w:type="pct"/>
            <w:tcBorders>
              <w:top w:val="single" w:sz="4" w:space="0" w:color="auto"/>
              <w:left w:val="nil"/>
              <w:bottom w:val="single" w:sz="4" w:space="0" w:color="auto"/>
              <w:right w:val="nil"/>
            </w:tcBorders>
            <w:shd w:val="clear" w:color="auto" w:fill="auto"/>
            <w:noWrap/>
            <w:vAlign w:val="bottom"/>
            <w:hideMark/>
          </w:tcPr>
          <w:p w14:paraId="1C347316" w14:textId="77777777" w:rsidR="00646F36" w:rsidRPr="00BC22E8" w:rsidRDefault="00646F36" w:rsidP="00415BCE">
            <w:pPr>
              <w:spacing w:after="0" w:line="240" w:lineRule="auto"/>
              <w:rPr>
                <w:rFonts w:ascii="Garamond" w:eastAsia="Times New Roman" w:hAnsi="Garamond" w:cs="Times New Roman"/>
                <w:b/>
                <w:color w:val="000000"/>
                <w:lang w:eastAsia="it-IT"/>
              </w:rPr>
            </w:pPr>
          </w:p>
        </w:tc>
        <w:tc>
          <w:tcPr>
            <w:tcW w:w="610" w:type="pct"/>
            <w:tcBorders>
              <w:top w:val="single" w:sz="4" w:space="0" w:color="auto"/>
              <w:left w:val="nil"/>
              <w:bottom w:val="single" w:sz="4" w:space="0" w:color="auto"/>
              <w:right w:val="nil"/>
            </w:tcBorders>
            <w:shd w:val="clear" w:color="auto" w:fill="auto"/>
            <w:noWrap/>
            <w:vAlign w:val="bottom"/>
            <w:hideMark/>
          </w:tcPr>
          <w:p w14:paraId="232FC4AC" w14:textId="77777777" w:rsidR="00646F36" w:rsidRPr="00BC22E8" w:rsidRDefault="00646F36" w:rsidP="00415BCE">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Q25</w:t>
            </w:r>
          </w:p>
        </w:tc>
        <w:tc>
          <w:tcPr>
            <w:tcW w:w="610" w:type="pct"/>
            <w:tcBorders>
              <w:top w:val="single" w:sz="4" w:space="0" w:color="auto"/>
              <w:left w:val="nil"/>
              <w:bottom w:val="single" w:sz="4" w:space="0" w:color="auto"/>
              <w:right w:val="nil"/>
            </w:tcBorders>
            <w:shd w:val="clear" w:color="auto" w:fill="auto"/>
            <w:noWrap/>
            <w:vAlign w:val="bottom"/>
            <w:hideMark/>
          </w:tcPr>
          <w:p w14:paraId="7A98BE5E" w14:textId="77777777" w:rsidR="00646F36" w:rsidRPr="00BC22E8" w:rsidRDefault="00646F36" w:rsidP="00415BCE">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Q50</w:t>
            </w:r>
          </w:p>
        </w:tc>
        <w:tc>
          <w:tcPr>
            <w:tcW w:w="610" w:type="pct"/>
            <w:tcBorders>
              <w:top w:val="single" w:sz="4" w:space="0" w:color="auto"/>
              <w:left w:val="nil"/>
              <w:bottom w:val="single" w:sz="4" w:space="0" w:color="auto"/>
              <w:right w:val="nil"/>
            </w:tcBorders>
            <w:shd w:val="clear" w:color="auto" w:fill="auto"/>
            <w:noWrap/>
            <w:vAlign w:val="bottom"/>
            <w:hideMark/>
          </w:tcPr>
          <w:p w14:paraId="50CC0BB7" w14:textId="77777777" w:rsidR="00646F36" w:rsidRPr="00BC22E8" w:rsidRDefault="00646F36" w:rsidP="00415BCE">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Q75</w:t>
            </w:r>
          </w:p>
        </w:tc>
        <w:tc>
          <w:tcPr>
            <w:tcW w:w="674" w:type="pct"/>
            <w:tcBorders>
              <w:top w:val="single" w:sz="4" w:space="0" w:color="auto"/>
              <w:left w:val="nil"/>
              <w:bottom w:val="single" w:sz="4" w:space="0" w:color="auto"/>
              <w:right w:val="nil"/>
            </w:tcBorders>
            <w:shd w:val="clear" w:color="auto" w:fill="auto"/>
            <w:noWrap/>
            <w:vAlign w:val="bottom"/>
            <w:hideMark/>
          </w:tcPr>
          <w:p w14:paraId="3EEA5727" w14:textId="77777777" w:rsidR="00646F36" w:rsidRPr="00BC22E8" w:rsidRDefault="00646F36" w:rsidP="00415BCE">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Q90</w:t>
            </w:r>
          </w:p>
        </w:tc>
        <w:tc>
          <w:tcPr>
            <w:tcW w:w="676" w:type="pct"/>
            <w:tcBorders>
              <w:top w:val="single" w:sz="4" w:space="0" w:color="auto"/>
              <w:left w:val="nil"/>
              <w:bottom w:val="single" w:sz="4" w:space="0" w:color="auto"/>
              <w:right w:val="nil"/>
            </w:tcBorders>
            <w:shd w:val="clear" w:color="auto" w:fill="auto"/>
            <w:noWrap/>
            <w:vAlign w:val="bottom"/>
            <w:hideMark/>
          </w:tcPr>
          <w:p w14:paraId="3F1E4DAF" w14:textId="77777777" w:rsidR="00646F36" w:rsidRPr="00BC22E8" w:rsidRDefault="00646F36" w:rsidP="00415BCE">
            <w:pPr>
              <w:spacing w:after="0" w:line="240" w:lineRule="auto"/>
              <w:rPr>
                <w:rFonts w:ascii="Garamond" w:eastAsia="Times New Roman" w:hAnsi="Garamond" w:cs="Times New Roman"/>
                <w:b/>
                <w:color w:val="000000"/>
                <w:lang w:eastAsia="it-IT"/>
              </w:rPr>
            </w:pPr>
            <w:r w:rsidRPr="00BC22E8">
              <w:rPr>
                <w:rFonts w:ascii="Garamond" w:eastAsia="Times New Roman" w:hAnsi="Garamond" w:cs="Times New Roman"/>
                <w:b/>
                <w:color w:val="000000"/>
                <w:lang w:eastAsia="it-IT"/>
              </w:rPr>
              <w:t>Q95</w:t>
            </w:r>
          </w:p>
        </w:tc>
      </w:tr>
      <w:tr w:rsidR="000735E3" w:rsidRPr="00646F36" w14:paraId="1F8022B7" w14:textId="77777777" w:rsidTr="000735E3">
        <w:trPr>
          <w:trHeight w:val="20"/>
        </w:trPr>
        <w:tc>
          <w:tcPr>
            <w:tcW w:w="1146" w:type="pct"/>
            <w:tcBorders>
              <w:top w:val="single" w:sz="4" w:space="0" w:color="auto"/>
              <w:left w:val="nil"/>
              <w:bottom w:val="nil"/>
              <w:right w:val="nil"/>
            </w:tcBorders>
            <w:shd w:val="clear" w:color="auto" w:fill="auto"/>
            <w:hideMark/>
          </w:tcPr>
          <w:p w14:paraId="22713676"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Log Income</w:t>
            </w:r>
          </w:p>
        </w:tc>
        <w:tc>
          <w:tcPr>
            <w:tcW w:w="674" w:type="pct"/>
            <w:tcBorders>
              <w:top w:val="single" w:sz="4" w:space="0" w:color="auto"/>
              <w:left w:val="nil"/>
              <w:bottom w:val="nil"/>
              <w:right w:val="nil"/>
            </w:tcBorders>
            <w:shd w:val="clear" w:color="auto" w:fill="auto"/>
            <w:noWrap/>
            <w:vAlign w:val="bottom"/>
          </w:tcPr>
          <w:p w14:paraId="6C431E76" w14:textId="636012C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0.028***</w:t>
            </w:r>
          </w:p>
        </w:tc>
        <w:tc>
          <w:tcPr>
            <w:tcW w:w="610" w:type="pct"/>
            <w:tcBorders>
              <w:top w:val="single" w:sz="4" w:space="0" w:color="auto"/>
              <w:left w:val="nil"/>
              <w:bottom w:val="nil"/>
              <w:right w:val="nil"/>
            </w:tcBorders>
            <w:shd w:val="clear" w:color="auto" w:fill="auto"/>
            <w:noWrap/>
            <w:vAlign w:val="bottom"/>
          </w:tcPr>
          <w:p w14:paraId="65F48DA6" w14:textId="77BE64B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0.028***</w:t>
            </w:r>
          </w:p>
        </w:tc>
        <w:tc>
          <w:tcPr>
            <w:tcW w:w="610" w:type="pct"/>
            <w:tcBorders>
              <w:top w:val="single" w:sz="4" w:space="0" w:color="auto"/>
              <w:left w:val="nil"/>
              <w:bottom w:val="nil"/>
              <w:right w:val="nil"/>
            </w:tcBorders>
            <w:shd w:val="clear" w:color="auto" w:fill="auto"/>
            <w:noWrap/>
            <w:vAlign w:val="bottom"/>
          </w:tcPr>
          <w:p w14:paraId="71EB1203" w14:textId="5E29BDC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0.045***</w:t>
            </w:r>
          </w:p>
        </w:tc>
        <w:tc>
          <w:tcPr>
            <w:tcW w:w="610" w:type="pct"/>
            <w:tcBorders>
              <w:top w:val="single" w:sz="4" w:space="0" w:color="auto"/>
              <w:left w:val="nil"/>
              <w:bottom w:val="nil"/>
              <w:right w:val="nil"/>
            </w:tcBorders>
            <w:shd w:val="clear" w:color="auto" w:fill="auto"/>
            <w:noWrap/>
            <w:vAlign w:val="bottom"/>
          </w:tcPr>
          <w:p w14:paraId="621EEED4" w14:textId="02636A1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0.071***</w:t>
            </w:r>
          </w:p>
        </w:tc>
        <w:tc>
          <w:tcPr>
            <w:tcW w:w="674" w:type="pct"/>
            <w:tcBorders>
              <w:top w:val="single" w:sz="4" w:space="0" w:color="auto"/>
              <w:left w:val="nil"/>
              <w:bottom w:val="nil"/>
              <w:right w:val="nil"/>
            </w:tcBorders>
            <w:shd w:val="clear" w:color="auto" w:fill="auto"/>
            <w:noWrap/>
            <w:vAlign w:val="bottom"/>
          </w:tcPr>
          <w:p w14:paraId="57BD3107" w14:textId="3AE8ED09"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0.097**</w:t>
            </w:r>
          </w:p>
        </w:tc>
        <w:tc>
          <w:tcPr>
            <w:tcW w:w="676" w:type="pct"/>
            <w:tcBorders>
              <w:top w:val="single" w:sz="4" w:space="0" w:color="auto"/>
              <w:left w:val="nil"/>
              <w:bottom w:val="nil"/>
              <w:right w:val="nil"/>
            </w:tcBorders>
            <w:shd w:val="clear" w:color="auto" w:fill="auto"/>
            <w:noWrap/>
            <w:vAlign w:val="bottom"/>
          </w:tcPr>
          <w:p w14:paraId="100EB69B" w14:textId="14DA4A77"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 xml:space="preserve">0.129** </w:t>
            </w:r>
          </w:p>
        </w:tc>
      </w:tr>
      <w:tr w:rsidR="000735E3" w:rsidRPr="000735E3" w14:paraId="566F73F8" w14:textId="77777777" w:rsidTr="000735E3">
        <w:trPr>
          <w:trHeight w:val="20"/>
        </w:trPr>
        <w:tc>
          <w:tcPr>
            <w:tcW w:w="1146" w:type="pct"/>
            <w:tcBorders>
              <w:top w:val="nil"/>
              <w:left w:val="nil"/>
              <w:bottom w:val="nil"/>
              <w:right w:val="nil"/>
            </w:tcBorders>
            <w:shd w:val="clear" w:color="auto" w:fill="auto"/>
            <w:noWrap/>
            <w:vAlign w:val="bottom"/>
            <w:hideMark/>
          </w:tcPr>
          <w:p w14:paraId="11C0881F"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2232C53C" w14:textId="156779B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0.011</w:t>
            </w:r>
          </w:p>
        </w:tc>
        <w:tc>
          <w:tcPr>
            <w:tcW w:w="610" w:type="pct"/>
            <w:tcBorders>
              <w:top w:val="nil"/>
              <w:left w:val="nil"/>
              <w:bottom w:val="nil"/>
              <w:right w:val="nil"/>
            </w:tcBorders>
            <w:shd w:val="clear" w:color="auto" w:fill="auto"/>
            <w:noWrap/>
            <w:vAlign w:val="bottom"/>
          </w:tcPr>
          <w:p w14:paraId="10C55C93" w14:textId="3DB4599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0.006</w:t>
            </w:r>
          </w:p>
        </w:tc>
        <w:tc>
          <w:tcPr>
            <w:tcW w:w="610" w:type="pct"/>
            <w:tcBorders>
              <w:top w:val="nil"/>
              <w:left w:val="nil"/>
              <w:bottom w:val="nil"/>
              <w:right w:val="nil"/>
            </w:tcBorders>
            <w:shd w:val="clear" w:color="auto" w:fill="auto"/>
            <w:noWrap/>
            <w:vAlign w:val="bottom"/>
          </w:tcPr>
          <w:p w14:paraId="7E7D3BB4" w14:textId="4ADCB01F"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0.009</w:t>
            </w:r>
          </w:p>
        </w:tc>
        <w:tc>
          <w:tcPr>
            <w:tcW w:w="610" w:type="pct"/>
            <w:tcBorders>
              <w:top w:val="nil"/>
              <w:left w:val="nil"/>
              <w:bottom w:val="nil"/>
              <w:right w:val="nil"/>
            </w:tcBorders>
            <w:shd w:val="clear" w:color="auto" w:fill="auto"/>
            <w:noWrap/>
            <w:vAlign w:val="bottom"/>
          </w:tcPr>
          <w:p w14:paraId="25687376" w14:textId="0F5D61B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0.017</w:t>
            </w:r>
          </w:p>
        </w:tc>
        <w:tc>
          <w:tcPr>
            <w:tcW w:w="674" w:type="pct"/>
            <w:tcBorders>
              <w:top w:val="nil"/>
              <w:left w:val="nil"/>
              <w:bottom w:val="nil"/>
              <w:right w:val="nil"/>
            </w:tcBorders>
            <w:shd w:val="clear" w:color="auto" w:fill="auto"/>
            <w:noWrap/>
            <w:vAlign w:val="bottom"/>
          </w:tcPr>
          <w:p w14:paraId="33222E24" w14:textId="0C79814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0.039</w:t>
            </w:r>
          </w:p>
        </w:tc>
        <w:tc>
          <w:tcPr>
            <w:tcW w:w="676" w:type="pct"/>
            <w:tcBorders>
              <w:top w:val="nil"/>
              <w:left w:val="nil"/>
              <w:bottom w:val="nil"/>
              <w:right w:val="nil"/>
            </w:tcBorders>
            <w:shd w:val="clear" w:color="auto" w:fill="auto"/>
            <w:noWrap/>
            <w:vAlign w:val="bottom"/>
          </w:tcPr>
          <w:p w14:paraId="4150DE5D" w14:textId="2C60EFD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0.061</w:t>
            </w:r>
          </w:p>
        </w:tc>
      </w:tr>
      <w:tr w:rsidR="000735E3" w:rsidRPr="00646F36" w14:paraId="03FB0854" w14:textId="77777777" w:rsidTr="000735E3">
        <w:trPr>
          <w:trHeight w:val="20"/>
        </w:trPr>
        <w:tc>
          <w:tcPr>
            <w:tcW w:w="1146" w:type="pct"/>
            <w:tcBorders>
              <w:top w:val="nil"/>
              <w:left w:val="nil"/>
              <w:bottom w:val="nil"/>
              <w:right w:val="nil"/>
            </w:tcBorders>
            <w:shd w:val="clear" w:color="auto" w:fill="auto"/>
            <w:noWrap/>
            <w:vAlign w:val="bottom"/>
            <w:hideMark/>
          </w:tcPr>
          <w:p w14:paraId="0CC0D74D"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(18-34)</w:t>
            </w:r>
          </w:p>
        </w:tc>
        <w:tc>
          <w:tcPr>
            <w:tcW w:w="674" w:type="pct"/>
            <w:tcBorders>
              <w:top w:val="nil"/>
              <w:left w:val="nil"/>
              <w:bottom w:val="nil"/>
              <w:right w:val="nil"/>
            </w:tcBorders>
            <w:shd w:val="clear" w:color="auto" w:fill="auto"/>
            <w:noWrap/>
            <w:vAlign w:val="bottom"/>
          </w:tcPr>
          <w:p w14:paraId="5D104F28" w14:textId="1DDEA2D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0.678***</w:t>
            </w:r>
          </w:p>
        </w:tc>
        <w:tc>
          <w:tcPr>
            <w:tcW w:w="610" w:type="pct"/>
            <w:tcBorders>
              <w:top w:val="nil"/>
              <w:left w:val="nil"/>
              <w:bottom w:val="nil"/>
              <w:right w:val="nil"/>
            </w:tcBorders>
            <w:shd w:val="clear" w:color="auto" w:fill="auto"/>
            <w:noWrap/>
            <w:vAlign w:val="bottom"/>
          </w:tcPr>
          <w:p w14:paraId="55B9957C" w14:textId="0118E1E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0.315***</w:t>
            </w:r>
          </w:p>
        </w:tc>
        <w:tc>
          <w:tcPr>
            <w:tcW w:w="610" w:type="pct"/>
            <w:tcBorders>
              <w:top w:val="nil"/>
              <w:left w:val="nil"/>
              <w:bottom w:val="nil"/>
              <w:right w:val="nil"/>
            </w:tcBorders>
            <w:shd w:val="clear" w:color="auto" w:fill="auto"/>
            <w:noWrap/>
            <w:vAlign w:val="bottom"/>
          </w:tcPr>
          <w:p w14:paraId="4BA89BB9" w14:textId="329E1FD3"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0.884***</w:t>
            </w:r>
          </w:p>
        </w:tc>
        <w:tc>
          <w:tcPr>
            <w:tcW w:w="610" w:type="pct"/>
            <w:tcBorders>
              <w:top w:val="nil"/>
              <w:left w:val="nil"/>
              <w:bottom w:val="nil"/>
              <w:right w:val="nil"/>
            </w:tcBorders>
            <w:shd w:val="clear" w:color="auto" w:fill="auto"/>
            <w:noWrap/>
            <w:vAlign w:val="bottom"/>
          </w:tcPr>
          <w:p w14:paraId="1E6AF4B5" w14:textId="7737A623"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1.050***</w:t>
            </w:r>
          </w:p>
        </w:tc>
        <w:tc>
          <w:tcPr>
            <w:tcW w:w="674" w:type="pct"/>
            <w:tcBorders>
              <w:top w:val="nil"/>
              <w:left w:val="nil"/>
              <w:bottom w:val="nil"/>
              <w:right w:val="nil"/>
            </w:tcBorders>
            <w:shd w:val="clear" w:color="auto" w:fill="auto"/>
            <w:noWrap/>
            <w:vAlign w:val="bottom"/>
          </w:tcPr>
          <w:p w14:paraId="083A77D5" w14:textId="2CED72C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0.971***</w:t>
            </w:r>
          </w:p>
        </w:tc>
        <w:tc>
          <w:tcPr>
            <w:tcW w:w="676" w:type="pct"/>
            <w:tcBorders>
              <w:top w:val="nil"/>
              <w:left w:val="nil"/>
              <w:bottom w:val="nil"/>
              <w:right w:val="nil"/>
            </w:tcBorders>
            <w:shd w:val="clear" w:color="auto" w:fill="auto"/>
            <w:noWrap/>
            <w:vAlign w:val="bottom"/>
          </w:tcPr>
          <w:p w14:paraId="4613E312" w14:textId="2C5A223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0.860***</w:t>
            </w:r>
          </w:p>
        </w:tc>
      </w:tr>
      <w:tr w:rsidR="000735E3" w:rsidRPr="000735E3" w14:paraId="6D70DAF4" w14:textId="77777777" w:rsidTr="000735E3">
        <w:trPr>
          <w:trHeight w:val="20"/>
        </w:trPr>
        <w:tc>
          <w:tcPr>
            <w:tcW w:w="1146" w:type="pct"/>
            <w:tcBorders>
              <w:top w:val="nil"/>
              <w:left w:val="nil"/>
              <w:bottom w:val="nil"/>
              <w:right w:val="nil"/>
            </w:tcBorders>
            <w:shd w:val="clear" w:color="auto" w:fill="auto"/>
            <w:noWrap/>
            <w:vAlign w:val="bottom"/>
            <w:hideMark/>
          </w:tcPr>
          <w:p w14:paraId="507B2960"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1FEF1DD2" w14:textId="18DFD94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0.041</w:t>
            </w:r>
          </w:p>
        </w:tc>
        <w:tc>
          <w:tcPr>
            <w:tcW w:w="610" w:type="pct"/>
            <w:tcBorders>
              <w:top w:val="nil"/>
              <w:left w:val="nil"/>
              <w:bottom w:val="nil"/>
              <w:right w:val="nil"/>
            </w:tcBorders>
            <w:shd w:val="clear" w:color="auto" w:fill="auto"/>
            <w:noWrap/>
            <w:vAlign w:val="bottom"/>
          </w:tcPr>
          <w:p w14:paraId="3357C1E1" w14:textId="5EA0045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0.024</w:t>
            </w:r>
          </w:p>
        </w:tc>
        <w:tc>
          <w:tcPr>
            <w:tcW w:w="610" w:type="pct"/>
            <w:tcBorders>
              <w:top w:val="nil"/>
              <w:left w:val="nil"/>
              <w:bottom w:val="nil"/>
              <w:right w:val="nil"/>
            </w:tcBorders>
            <w:shd w:val="clear" w:color="auto" w:fill="auto"/>
            <w:noWrap/>
            <w:vAlign w:val="bottom"/>
          </w:tcPr>
          <w:p w14:paraId="48B59E3E" w14:textId="3BD42FC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0.038</w:t>
            </w:r>
          </w:p>
        </w:tc>
        <w:tc>
          <w:tcPr>
            <w:tcW w:w="610" w:type="pct"/>
            <w:tcBorders>
              <w:top w:val="nil"/>
              <w:left w:val="nil"/>
              <w:bottom w:val="nil"/>
              <w:right w:val="nil"/>
            </w:tcBorders>
            <w:shd w:val="clear" w:color="auto" w:fill="auto"/>
            <w:noWrap/>
            <w:vAlign w:val="bottom"/>
          </w:tcPr>
          <w:p w14:paraId="7A8491A1" w14:textId="56392CB9"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0.061</w:t>
            </w:r>
          </w:p>
        </w:tc>
        <w:tc>
          <w:tcPr>
            <w:tcW w:w="674" w:type="pct"/>
            <w:tcBorders>
              <w:top w:val="nil"/>
              <w:left w:val="nil"/>
              <w:bottom w:val="nil"/>
              <w:right w:val="nil"/>
            </w:tcBorders>
            <w:shd w:val="clear" w:color="auto" w:fill="auto"/>
            <w:noWrap/>
            <w:vAlign w:val="bottom"/>
          </w:tcPr>
          <w:p w14:paraId="4AD3B6E9" w14:textId="6A7589B9"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0.109</w:t>
            </w:r>
          </w:p>
        </w:tc>
        <w:tc>
          <w:tcPr>
            <w:tcW w:w="676" w:type="pct"/>
            <w:tcBorders>
              <w:top w:val="nil"/>
              <w:left w:val="nil"/>
              <w:bottom w:val="nil"/>
              <w:right w:val="nil"/>
            </w:tcBorders>
            <w:shd w:val="clear" w:color="auto" w:fill="auto"/>
            <w:noWrap/>
            <w:vAlign w:val="bottom"/>
          </w:tcPr>
          <w:p w14:paraId="371CF85D" w14:textId="3A317A37"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0.155</w:t>
            </w:r>
          </w:p>
        </w:tc>
      </w:tr>
      <w:tr w:rsidR="000735E3" w:rsidRPr="00646F36" w14:paraId="571CD666" w14:textId="77777777" w:rsidTr="000735E3">
        <w:trPr>
          <w:trHeight w:val="20"/>
        </w:trPr>
        <w:tc>
          <w:tcPr>
            <w:tcW w:w="1146" w:type="pct"/>
            <w:tcBorders>
              <w:top w:val="nil"/>
              <w:left w:val="nil"/>
              <w:bottom w:val="nil"/>
              <w:right w:val="nil"/>
            </w:tcBorders>
            <w:shd w:val="clear" w:color="auto" w:fill="auto"/>
            <w:noWrap/>
            <w:vAlign w:val="bottom"/>
            <w:hideMark/>
          </w:tcPr>
          <w:p w14:paraId="1D8CB44F"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(35-44)</w:t>
            </w:r>
          </w:p>
        </w:tc>
        <w:tc>
          <w:tcPr>
            <w:tcW w:w="674" w:type="pct"/>
            <w:tcBorders>
              <w:top w:val="nil"/>
              <w:left w:val="nil"/>
              <w:bottom w:val="nil"/>
              <w:right w:val="nil"/>
            </w:tcBorders>
            <w:shd w:val="clear" w:color="auto" w:fill="auto"/>
            <w:noWrap/>
            <w:vAlign w:val="bottom"/>
          </w:tcPr>
          <w:p w14:paraId="39EE034E" w14:textId="172A5B1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0.956***</w:t>
            </w:r>
          </w:p>
        </w:tc>
        <w:tc>
          <w:tcPr>
            <w:tcW w:w="610" w:type="pct"/>
            <w:tcBorders>
              <w:top w:val="nil"/>
              <w:left w:val="nil"/>
              <w:bottom w:val="nil"/>
              <w:right w:val="nil"/>
            </w:tcBorders>
            <w:shd w:val="clear" w:color="auto" w:fill="auto"/>
            <w:noWrap/>
            <w:vAlign w:val="bottom"/>
          </w:tcPr>
          <w:p w14:paraId="7B01A18C" w14:textId="4EF4287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0.300***</w:t>
            </w:r>
          </w:p>
        </w:tc>
        <w:tc>
          <w:tcPr>
            <w:tcW w:w="610" w:type="pct"/>
            <w:tcBorders>
              <w:top w:val="nil"/>
              <w:left w:val="nil"/>
              <w:bottom w:val="nil"/>
              <w:right w:val="nil"/>
            </w:tcBorders>
            <w:shd w:val="clear" w:color="auto" w:fill="auto"/>
            <w:noWrap/>
            <w:vAlign w:val="bottom"/>
          </w:tcPr>
          <w:p w14:paraId="089F6C60" w14:textId="07C0304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0.933***</w:t>
            </w:r>
          </w:p>
        </w:tc>
        <w:tc>
          <w:tcPr>
            <w:tcW w:w="610" w:type="pct"/>
            <w:tcBorders>
              <w:top w:val="nil"/>
              <w:left w:val="nil"/>
              <w:bottom w:val="nil"/>
              <w:right w:val="nil"/>
            </w:tcBorders>
            <w:shd w:val="clear" w:color="auto" w:fill="auto"/>
            <w:noWrap/>
            <w:vAlign w:val="bottom"/>
          </w:tcPr>
          <w:p w14:paraId="670D63BB" w14:textId="7309A4C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1.334***</w:t>
            </w:r>
          </w:p>
        </w:tc>
        <w:tc>
          <w:tcPr>
            <w:tcW w:w="674" w:type="pct"/>
            <w:tcBorders>
              <w:top w:val="nil"/>
              <w:left w:val="nil"/>
              <w:bottom w:val="nil"/>
              <w:right w:val="nil"/>
            </w:tcBorders>
            <w:shd w:val="clear" w:color="auto" w:fill="auto"/>
            <w:noWrap/>
            <w:vAlign w:val="bottom"/>
          </w:tcPr>
          <w:p w14:paraId="07B7FA5E" w14:textId="54027573"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1.956***</w:t>
            </w:r>
          </w:p>
        </w:tc>
        <w:tc>
          <w:tcPr>
            <w:tcW w:w="676" w:type="pct"/>
            <w:tcBorders>
              <w:top w:val="nil"/>
              <w:left w:val="nil"/>
              <w:bottom w:val="nil"/>
              <w:right w:val="nil"/>
            </w:tcBorders>
            <w:shd w:val="clear" w:color="auto" w:fill="auto"/>
            <w:noWrap/>
            <w:vAlign w:val="bottom"/>
          </w:tcPr>
          <w:p w14:paraId="380C9E2C" w14:textId="7D60A7F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2.374***</w:t>
            </w:r>
          </w:p>
        </w:tc>
      </w:tr>
      <w:tr w:rsidR="000735E3" w:rsidRPr="000735E3" w14:paraId="5A5F5155" w14:textId="77777777" w:rsidTr="000735E3">
        <w:trPr>
          <w:trHeight w:val="20"/>
        </w:trPr>
        <w:tc>
          <w:tcPr>
            <w:tcW w:w="1146" w:type="pct"/>
            <w:tcBorders>
              <w:top w:val="nil"/>
              <w:left w:val="nil"/>
              <w:bottom w:val="nil"/>
              <w:right w:val="nil"/>
            </w:tcBorders>
            <w:shd w:val="clear" w:color="auto" w:fill="auto"/>
            <w:noWrap/>
            <w:vAlign w:val="bottom"/>
            <w:hideMark/>
          </w:tcPr>
          <w:p w14:paraId="0859EDC9"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7D03EC9E" w14:textId="0019DF1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0.047</w:t>
            </w:r>
          </w:p>
        </w:tc>
        <w:tc>
          <w:tcPr>
            <w:tcW w:w="610" w:type="pct"/>
            <w:tcBorders>
              <w:top w:val="nil"/>
              <w:left w:val="nil"/>
              <w:bottom w:val="nil"/>
              <w:right w:val="nil"/>
            </w:tcBorders>
            <w:shd w:val="clear" w:color="auto" w:fill="auto"/>
            <w:noWrap/>
            <w:vAlign w:val="bottom"/>
          </w:tcPr>
          <w:p w14:paraId="1A9956DF" w14:textId="7B8F6BB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0.026</w:t>
            </w:r>
          </w:p>
        </w:tc>
        <w:tc>
          <w:tcPr>
            <w:tcW w:w="610" w:type="pct"/>
            <w:tcBorders>
              <w:top w:val="nil"/>
              <w:left w:val="nil"/>
              <w:bottom w:val="nil"/>
              <w:right w:val="nil"/>
            </w:tcBorders>
            <w:shd w:val="clear" w:color="auto" w:fill="auto"/>
            <w:noWrap/>
            <w:vAlign w:val="bottom"/>
          </w:tcPr>
          <w:p w14:paraId="07A66B07" w14:textId="48240B7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0.042</w:t>
            </w:r>
          </w:p>
        </w:tc>
        <w:tc>
          <w:tcPr>
            <w:tcW w:w="610" w:type="pct"/>
            <w:tcBorders>
              <w:top w:val="nil"/>
              <w:left w:val="nil"/>
              <w:bottom w:val="nil"/>
              <w:right w:val="nil"/>
            </w:tcBorders>
            <w:shd w:val="clear" w:color="auto" w:fill="auto"/>
            <w:noWrap/>
            <w:vAlign w:val="bottom"/>
          </w:tcPr>
          <w:p w14:paraId="16649FFF" w14:textId="29D8E6D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0.074</w:t>
            </w:r>
          </w:p>
        </w:tc>
        <w:tc>
          <w:tcPr>
            <w:tcW w:w="674" w:type="pct"/>
            <w:tcBorders>
              <w:top w:val="nil"/>
              <w:left w:val="nil"/>
              <w:bottom w:val="nil"/>
              <w:right w:val="nil"/>
            </w:tcBorders>
            <w:shd w:val="clear" w:color="auto" w:fill="auto"/>
            <w:noWrap/>
            <w:vAlign w:val="bottom"/>
          </w:tcPr>
          <w:p w14:paraId="2D5AB2CF" w14:textId="011D983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0.166</w:t>
            </w:r>
          </w:p>
        </w:tc>
        <w:tc>
          <w:tcPr>
            <w:tcW w:w="676" w:type="pct"/>
            <w:tcBorders>
              <w:top w:val="nil"/>
              <w:left w:val="nil"/>
              <w:bottom w:val="nil"/>
              <w:right w:val="nil"/>
            </w:tcBorders>
            <w:shd w:val="clear" w:color="auto" w:fill="auto"/>
            <w:noWrap/>
            <w:vAlign w:val="bottom"/>
          </w:tcPr>
          <w:p w14:paraId="0B8A7962" w14:textId="67640C2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0.272</w:t>
            </w:r>
          </w:p>
        </w:tc>
      </w:tr>
      <w:tr w:rsidR="000735E3" w:rsidRPr="00646F36" w14:paraId="33E98F67" w14:textId="77777777" w:rsidTr="000735E3">
        <w:trPr>
          <w:trHeight w:val="20"/>
        </w:trPr>
        <w:tc>
          <w:tcPr>
            <w:tcW w:w="1146" w:type="pct"/>
            <w:tcBorders>
              <w:top w:val="nil"/>
              <w:left w:val="nil"/>
              <w:bottom w:val="nil"/>
              <w:right w:val="nil"/>
            </w:tcBorders>
            <w:shd w:val="clear" w:color="auto" w:fill="auto"/>
            <w:hideMark/>
          </w:tcPr>
          <w:p w14:paraId="15C01494"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(45-64)</w:t>
            </w:r>
          </w:p>
        </w:tc>
        <w:tc>
          <w:tcPr>
            <w:tcW w:w="674" w:type="pct"/>
            <w:tcBorders>
              <w:top w:val="nil"/>
              <w:left w:val="nil"/>
              <w:bottom w:val="nil"/>
              <w:right w:val="nil"/>
            </w:tcBorders>
            <w:shd w:val="clear" w:color="auto" w:fill="auto"/>
            <w:noWrap/>
            <w:vAlign w:val="bottom"/>
          </w:tcPr>
          <w:p w14:paraId="04E23E6C" w14:textId="04322BA7"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1.015***</w:t>
            </w:r>
          </w:p>
        </w:tc>
        <w:tc>
          <w:tcPr>
            <w:tcW w:w="610" w:type="pct"/>
            <w:tcBorders>
              <w:top w:val="nil"/>
              <w:left w:val="nil"/>
              <w:bottom w:val="nil"/>
              <w:right w:val="nil"/>
            </w:tcBorders>
            <w:shd w:val="clear" w:color="auto" w:fill="auto"/>
            <w:noWrap/>
            <w:vAlign w:val="bottom"/>
          </w:tcPr>
          <w:p w14:paraId="768161BD" w14:textId="13C1668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0.284***</w:t>
            </w:r>
          </w:p>
        </w:tc>
        <w:tc>
          <w:tcPr>
            <w:tcW w:w="610" w:type="pct"/>
            <w:tcBorders>
              <w:top w:val="nil"/>
              <w:left w:val="nil"/>
              <w:bottom w:val="nil"/>
              <w:right w:val="nil"/>
            </w:tcBorders>
            <w:shd w:val="clear" w:color="auto" w:fill="auto"/>
            <w:noWrap/>
            <w:vAlign w:val="bottom"/>
          </w:tcPr>
          <w:p w14:paraId="5C8F8BD1" w14:textId="7D883AF6"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0.887***</w:t>
            </w:r>
          </w:p>
        </w:tc>
        <w:tc>
          <w:tcPr>
            <w:tcW w:w="610" w:type="pct"/>
            <w:tcBorders>
              <w:top w:val="nil"/>
              <w:left w:val="nil"/>
              <w:bottom w:val="nil"/>
              <w:right w:val="nil"/>
            </w:tcBorders>
            <w:shd w:val="clear" w:color="auto" w:fill="auto"/>
            <w:noWrap/>
            <w:vAlign w:val="bottom"/>
          </w:tcPr>
          <w:p w14:paraId="09F3AA05" w14:textId="6E4AE65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1.345***</w:t>
            </w:r>
          </w:p>
        </w:tc>
        <w:tc>
          <w:tcPr>
            <w:tcW w:w="674" w:type="pct"/>
            <w:tcBorders>
              <w:top w:val="nil"/>
              <w:left w:val="nil"/>
              <w:bottom w:val="nil"/>
              <w:right w:val="nil"/>
            </w:tcBorders>
            <w:shd w:val="clear" w:color="auto" w:fill="auto"/>
            <w:noWrap/>
            <w:vAlign w:val="bottom"/>
          </w:tcPr>
          <w:p w14:paraId="63CE342B" w14:textId="4A73F59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2.193***</w:t>
            </w:r>
          </w:p>
        </w:tc>
        <w:tc>
          <w:tcPr>
            <w:tcW w:w="676" w:type="pct"/>
            <w:tcBorders>
              <w:top w:val="nil"/>
              <w:left w:val="nil"/>
              <w:bottom w:val="nil"/>
              <w:right w:val="nil"/>
            </w:tcBorders>
            <w:shd w:val="clear" w:color="auto" w:fill="auto"/>
            <w:noWrap/>
            <w:vAlign w:val="bottom"/>
          </w:tcPr>
          <w:p w14:paraId="78B431DB" w14:textId="5DA29007"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2.453***</w:t>
            </w:r>
          </w:p>
        </w:tc>
      </w:tr>
      <w:tr w:rsidR="000735E3" w:rsidRPr="000735E3" w14:paraId="14783A2C" w14:textId="77777777" w:rsidTr="000735E3">
        <w:trPr>
          <w:trHeight w:val="20"/>
        </w:trPr>
        <w:tc>
          <w:tcPr>
            <w:tcW w:w="1146" w:type="pct"/>
            <w:tcBorders>
              <w:top w:val="nil"/>
              <w:left w:val="nil"/>
              <w:bottom w:val="nil"/>
              <w:right w:val="nil"/>
            </w:tcBorders>
            <w:shd w:val="clear" w:color="auto" w:fill="auto"/>
            <w:noWrap/>
            <w:vAlign w:val="bottom"/>
            <w:hideMark/>
          </w:tcPr>
          <w:p w14:paraId="222F2B2D"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06981F23" w14:textId="407C506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0.043</w:t>
            </w:r>
          </w:p>
        </w:tc>
        <w:tc>
          <w:tcPr>
            <w:tcW w:w="610" w:type="pct"/>
            <w:tcBorders>
              <w:top w:val="nil"/>
              <w:left w:val="nil"/>
              <w:bottom w:val="nil"/>
              <w:right w:val="nil"/>
            </w:tcBorders>
            <w:shd w:val="clear" w:color="auto" w:fill="auto"/>
            <w:noWrap/>
            <w:vAlign w:val="bottom"/>
          </w:tcPr>
          <w:p w14:paraId="14EF47A0" w14:textId="7C24926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0.027</w:t>
            </w:r>
          </w:p>
        </w:tc>
        <w:tc>
          <w:tcPr>
            <w:tcW w:w="610" w:type="pct"/>
            <w:tcBorders>
              <w:top w:val="nil"/>
              <w:left w:val="nil"/>
              <w:bottom w:val="nil"/>
              <w:right w:val="nil"/>
            </w:tcBorders>
            <w:shd w:val="clear" w:color="auto" w:fill="auto"/>
            <w:noWrap/>
            <w:vAlign w:val="bottom"/>
          </w:tcPr>
          <w:p w14:paraId="3A9B8AA9" w14:textId="221121E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0.041</w:t>
            </w:r>
          </w:p>
        </w:tc>
        <w:tc>
          <w:tcPr>
            <w:tcW w:w="610" w:type="pct"/>
            <w:tcBorders>
              <w:top w:val="nil"/>
              <w:left w:val="nil"/>
              <w:bottom w:val="nil"/>
              <w:right w:val="nil"/>
            </w:tcBorders>
            <w:shd w:val="clear" w:color="auto" w:fill="auto"/>
            <w:noWrap/>
            <w:vAlign w:val="bottom"/>
          </w:tcPr>
          <w:p w14:paraId="7C233E72" w14:textId="064D91E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0.064</w:t>
            </w:r>
          </w:p>
        </w:tc>
        <w:tc>
          <w:tcPr>
            <w:tcW w:w="674" w:type="pct"/>
            <w:tcBorders>
              <w:top w:val="nil"/>
              <w:left w:val="nil"/>
              <w:bottom w:val="nil"/>
              <w:right w:val="nil"/>
            </w:tcBorders>
            <w:shd w:val="clear" w:color="auto" w:fill="auto"/>
            <w:noWrap/>
            <w:vAlign w:val="bottom"/>
          </w:tcPr>
          <w:p w14:paraId="6F1F9F6F" w14:textId="68E20FBF"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0.135</w:t>
            </w:r>
          </w:p>
        </w:tc>
        <w:tc>
          <w:tcPr>
            <w:tcW w:w="676" w:type="pct"/>
            <w:tcBorders>
              <w:top w:val="nil"/>
              <w:left w:val="nil"/>
              <w:bottom w:val="nil"/>
              <w:right w:val="nil"/>
            </w:tcBorders>
            <w:shd w:val="clear" w:color="auto" w:fill="auto"/>
            <w:noWrap/>
            <w:vAlign w:val="bottom"/>
          </w:tcPr>
          <w:p w14:paraId="2B3467A0" w14:textId="1E18F719"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0.2</w:t>
            </w:r>
            <w:r>
              <w:rPr>
                <w:rFonts w:ascii="Garamond" w:hAnsi="Garamond"/>
                <w:i/>
                <w:color w:val="000000"/>
              </w:rPr>
              <w:t>00</w:t>
            </w:r>
          </w:p>
        </w:tc>
      </w:tr>
      <w:tr w:rsidR="000735E3" w:rsidRPr="00646F36" w14:paraId="787052B3" w14:textId="77777777" w:rsidTr="000735E3">
        <w:trPr>
          <w:trHeight w:val="20"/>
        </w:trPr>
        <w:tc>
          <w:tcPr>
            <w:tcW w:w="1146" w:type="pct"/>
            <w:tcBorders>
              <w:top w:val="nil"/>
              <w:left w:val="nil"/>
              <w:bottom w:val="nil"/>
              <w:right w:val="nil"/>
            </w:tcBorders>
            <w:shd w:val="clear" w:color="auto" w:fill="auto"/>
            <w:hideMark/>
          </w:tcPr>
          <w:p w14:paraId="635C63AD"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(65-74)</w:t>
            </w:r>
          </w:p>
        </w:tc>
        <w:tc>
          <w:tcPr>
            <w:tcW w:w="674" w:type="pct"/>
            <w:tcBorders>
              <w:top w:val="nil"/>
              <w:left w:val="nil"/>
              <w:bottom w:val="nil"/>
              <w:right w:val="nil"/>
            </w:tcBorders>
            <w:shd w:val="clear" w:color="auto" w:fill="auto"/>
            <w:noWrap/>
            <w:vAlign w:val="bottom"/>
          </w:tcPr>
          <w:p w14:paraId="6A68DECD" w14:textId="122E6D6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1.041***</w:t>
            </w:r>
          </w:p>
        </w:tc>
        <w:tc>
          <w:tcPr>
            <w:tcW w:w="610" w:type="pct"/>
            <w:tcBorders>
              <w:top w:val="nil"/>
              <w:left w:val="nil"/>
              <w:bottom w:val="nil"/>
              <w:right w:val="nil"/>
            </w:tcBorders>
            <w:shd w:val="clear" w:color="auto" w:fill="auto"/>
            <w:noWrap/>
            <w:vAlign w:val="bottom"/>
          </w:tcPr>
          <w:p w14:paraId="54386172" w14:textId="1A2845C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0.286***</w:t>
            </w:r>
          </w:p>
        </w:tc>
        <w:tc>
          <w:tcPr>
            <w:tcW w:w="610" w:type="pct"/>
            <w:tcBorders>
              <w:top w:val="nil"/>
              <w:left w:val="nil"/>
              <w:bottom w:val="nil"/>
              <w:right w:val="nil"/>
            </w:tcBorders>
            <w:shd w:val="clear" w:color="auto" w:fill="auto"/>
            <w:noWrap/>
            <w:vAlign w:val="bottom"/>
          </w:tcPr>
          <w:p w14:paraId="11FF3FBD" w14:textId="160923E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0.923***</w:t>
            </w:r>
          </w:p>
        </w:tc>
        <w:tc>
          <w:tcPr>
            <w:tcW w:w="610" w:type="pct"/>
            <w:tcBorders>
              <w:top w:val="nil"/>
              <w:left w:val="nil"/>
              <w:bottom w:val="nil"/>
              <w:right w:val="nil"/>
            </w:tcBorders>
            <w:shd w:val="clear" w:color="auto" w:fill="auto"/>
            <w:noWrap/>
            <w:vAlign w:val="bottom"/>
          </w:tcPr>
          <w:p w14:paraId="083CE9AA" w14:textId="77B33B7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1.450***</w:t>
            </w:r>
          </w:p>
        </w:tc>
        <w:tc>
          <w:tcPr>
            <w:tcW w:w="674" w:type="pct"/>
            <w:tcBorders>
              <w:top w:val="nil"/>
              <w:left w:val="nil"/>
              <w:bottom w:val="nil"/>
              <w:right w:val="nil"/>
            </w:tcBorders>
            <w:shd w:val="clear" w:color="auto" w:fill="auto"/>
            <w:noWrap/>
            <w:vAlign w:val="bottom"/>
          </w:tcPr>
          <w:p w14:paraId="23DCD47C" w14:textId="31FE442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2.505***</w:t>
            </w:r>
          </w:p>
        </w:tc>
        <w:tc>
          <w:tcPr>
            <w:tcW w:w="676" w:type="pct"/>
            <w:tcBorders>
              <w:top w:val="nil"/>
              <w:left w:val="nil"/>
              <w:bottom w:val="nil"/>
              <w:right w:val="nil"/>
            </w:tcBorders>
            <w:shd w:val="clear" w:color="auto" w:fill="auto"/>
            <w:noWrap/>
            <w:vAlign w:val="bottom"/>
          </w:tcPr>
          <w:p w14:paraId="69D05596" w14:textId="0289CE9C"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2.740***</w:t>
            </w:r>
          </w:p>
        </w:tc>
      </w:tr>
      <w:tr w:rsidR="000735E3" w:rsidRPr="000735E3" w14:paraId="739547CF" w14:textId="77777777" w:rsidTr="000735E3">
        <w:trPr>
          <w:trHeight w:val="20"/>
        </w:trPr>
        <w:tc>
          <w:tcPr>
            <w:tcW w:w="1146" w:type="pct"/>
            <w:tcBorders>
              <w:top w:val="nil"/>
              <w:left w:val="nil"/>
              <w:bottom w:val="nil"/>
              <w:right w:val="nil"/>
            </w:tcBorders>
            <w:shd w:val="clear" w:color="auto" w:fill="auto"/>
            <w:noWrap/>
            <w:vAlign w:val="bottom"/>
            <w:hideMark/>
          </w:tcPr>
          <w:p w14:paraId="08219CDC"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0C8B52E8" w14:textId="7BC7F7DB"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0.049</w:t>
            </w:r>
          </w:p>
        </w:tc>
        <w:tc>
          <w:tcPr>
            <w:tcW w:w="610" w:type="pct"/>
            <w:tcBorders>
              <w:top w:val="nil"/>
              <w:left w:val="nil"/>
              <w:bottom w:val="nil"/>
              <w:right w:val="nil"/>
            </w:tcBorders>
            <w:shd w:val="clear" w:color="auto" w:fill="auto"/>
            <w:noWrap/>
            <w:vAlign w:val="bottom"/>
          </w:tcPr>
          <w:p w14:paraId="57F83D7C" w14:textId="417C8DD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0.028</w:t>
            </w:r>
          </w:p>
        </w:tc>
        <w:tc>
          <w:tcPr>
            <w:tcW w:w="610" w:type="pct"/>
            <w:tcBorders>
              <w:top w:val="nil"/>
              <w:left w:val="nil"/>
              <w:bottom w:val="nil"/>
              <w:right w:val="nil"/>
            </w:tcBorders>
            <w:shd w:val="clear" w:color="auto" w:fill="auto"/>
            <w:noWrap/>
            <w:vAlign w:val="bottom"/>
          </w:tcPr>
          <w:p w14:paraId="695BA885" w14:textId="62593BB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0.044</w:t>
            </w:r>
          </w:p>
        </w:tc>
        <w:tc>
          <w:tcPr>
            <w:tcW w:w="610" w:type="pct"/>
            <w:tcBorders>
              <w:top w:val="nil"/>
              <w:left w:val="nil"/>
              <w:bottom w:val="nil"/>
              <w:right w:val="nil"/>
            </w:tcBorders>
            <w:shd w:val="clear" w:color="auto" w:fill="auto"/>
            <w:noWrap/>
            <w:vAlign w:val="bottom"/>
          </w:tcPr>
          <w:p w14:paraId="7C5CD46C" w14:textId="14544BC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0.075</w:t>
            </w:r>
          </w:p>
        </w:tc>
        <w:tc>
          <w:tcPr>
            <w:tcW w:w="674" w:type="pct"/>
            <w:tcBorders>
              <w:top w:val="nil"/>
              <w:left w:val="nil"/>
              <w:bottom w:val="nil"/>
              <w:right w:val="nil"/>
            </w:tcBorders>
            <w:shd w:val="clear" w:color="auto" w:fill="auto"/>
            <w:noWrap/>
            <w:vAlign w:val="bottom"/>
          </w:tcPr>
          <w:p w14:paraId="104E38D6" w14:textId="00EAB2AF"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0.179</w:t>
            </w:r>
          </w:p>
        </w:tc>
        <w:tc>
          <w:tcPr>
            <w:tcW w:w="676" w:type="pct"/>
            <w:tcBorders>
              <w:top w:val="nil"/>
              <w:left w:val="nil"/>
              <w:bottom w:val="nil"/>
              <w:right w:val="nil"/>
            </w:tcBorders>
            <w:shd w:val="clear" w:color="auto" w:fill="auto"/>
            <w:noWrap/>
            <w:vAlign w:val="bottom"/>
          </w:tcPr>
          <w:p w14:paraId="23E71820" w14:textId="699BEE7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0.3</w:t>
            </w:r>
            <w:r>
              <w:rPr>
                <w:rFonts w:ascii="Garamond" w:hAnsi="Garamond"/>
                <w:i/>
                <w:color w:val="000000"/>
              </w:rPr>
              <w:t>00</w:t>
            </w:r>
          </w:p>
        </w:tc>
      </w:tr>
      <w:tr w:rsidR="000735E3" w:rsidRPr="00646F36" w14:paraId="076B48DA" w14:textId="77777777" w:rsidTr="000735E3">
        <w:trPr>
          <w:trHeight w:val="20"/>
        </w:trPr>
        <w:tc>
          <w:tcPr>
            <w:tcW w:w="1146" w:type="pct"/>
            <w:tcBorders>
              <w:top w:val="nil"/>
              <w:left w:val="nil"/>
              <w:bottom w:val="nil"/>
              <w:right w:val="nil"/>
            </w:tcBorders>
            <w:shd w:val="clear" w:color="auto" w:fill="auto"/>
            <w:noWrap/>
            <w:vAlign w:val="bottom"/>
            <w:hideMark/>
          </w:tcPr>
          <w:p w14:paraId="40F0B547"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M (75+)</w:t>
            </w:r>
          </w:p>
        </w:tc>
        <w:tc>
          <w:tcPr>
            <w:tcW w:w="674" w:type="pct"/>
            <w:tcBorders>
              <w:top w:val="nil"/>
              <w:left w:val="nil"/>
              <w:bottom w:val="nil"/>
              <w:right w:val="nil"/>
            </w:tcBorders>
            <w:shd w:val="clear" w:color="auto" w:fill="auto"/>
            <w:noWrap/>
            <w:vAlign w:val="bottom"/>
          </w:tcPr>
          <w:p w14:paraId="6D673FFA" w14:textId="0D0D688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0.789***</w:t>
            </w:r>
          </w:p>
        </w:tc>
        <w:tc>
          <w:tcPr>
            <w:tcW w:w="610" w:type="pct"/>
            <w:tcBorders>
              <w:top w:val="nil"/>
              <w:left w:val="nil"/>
              <w:bottom w:val="nil"/>
              <w:right w:val="nil"/>
            </w:tcBorders>
            <w:shd w:val="clear" w:color="auto" w:fill="auto"/>
            <w:noWrap/>
            <w:vAlign w:val="bottom"/>
          </w:tcPr>
          <w:p w14:paraId="2D0E5C32" w14:textId="566F013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0.237***</w:t>
            </w:r>
          </w:p>
        </w:tc>
        <w:tc>
          <w:tcPr>
            <w:tcW w:w="610" w:type="pct"/>
            <w:tcBorders>
              <w:top w:val="nil"/>
              <w:left w:val="nil"/>
              <w:bottom w:val="nil"/>
              <w:right w:val="nil"/>
            </w:tcBorders>
            <w:shd w:val="clear" w:color="auto" w:fill="auto"/>
            <w:noWrap/>
            <w:vAlign w:val="bottom"/>
          </w:tcPr>
          <w:p w14:paraId="1AF3C61B" w14:textId="7B8D96F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0.747***</w:t>
            </w:r>
          </w:p>
        </w:tc>
        <w:tc>
          <w:tcPr>
            <w:tcW w:w="610" w:type="pct"/>
            <w:tcBorders>
              <w:top w:val="nil"/>
              <w:left w:val="nil"/>
              <w:bottom w:val="nil"/>
              <w:right w:val="nil"/>
            </w:tcBorders>
            <w:shd w:val="clear" w:color="auto" w:fill="auto"/>
            <w:noWrap/>
            <w:vAlign w:val="bottom"/>
          </w:tcPr>
          <w:p w14:paraId="1503A86B" w14:textId="01E50CE6"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1.098***</w:t>
            </w:r>
          </w:p>
        </w:tc>
        <w:tc>
          <w:tcPr>
            <w:tcW w:w="674" w:type="pct"/>
            <w:tcBorders>
              <w:top w:val="nil"/>
              <w:left w:val="nil"/>
              <w:bottom w:val="nil"/>
              <w:right w:val="nil"/>
            </w:tcBorders>
            <w:shd w:val="clear" w:color="auto" w:fill="auto"/>
            <w:noWrap/>
            <w:vAlign w:val="bottom"/>
          </w:tcPr>
          <w:p w14:paraId="4860C399" w14:textId="4B2C899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1.697***</w:t>
            </w:r>
          </w:p>
        </w:tc>
        <w:tc>
          <w:tcPr>
            <w:tcW w:w="676" w:type="pct"/>
            <w:tcBorders>
              <w:top w:val="nil"/>
              <w:left w:val="nil"/>
              <w:bottom w:val="nil"/>
              <w:right w:val="nil"/>
            </w:tcBorders>
            <w:shd w:val="clear" w:color="auto" w:fill="auto"/>
            <w:noWrap/>
            <w:vAlign w:val="bottom"/>
          </w:tcPr>
          <w:p w14:paraId="433C9D4C" w14:textId="06A6CB3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2.173***</w:t>
            </w:r>
          </w:p>
        </w:tc>
      </w:tr>
      <w:tr w:rsidR="000735E3" w:rsidRPr="000735E3" w14:paraId="6F17A80F" w14:textId="77777777" w:rsidTr="000735E3">
        <w:trPr>
          <w:trHeight w:val="20"/>
        </w:trPr>
        <w:tc>
          <w:tcPr>
            <w:tcW w:w="1146" w:type="pct"/>
            <w:tcBorders>
              <w:top w:val="nil"/>
              <w:left w:val="nil"/>
              <w:bottom w:val="nil"/>
              <w:right w:val="nil"/>
            </w:tcBorders>
            <w:shd w:val="clear" w:color="auto" w:fill="auto"/>
            <w:noWrap/>
            <w:vAlign w:val="bottom"/>
            <w:hideMark/>
          </w:tcPr>
          <w:p w14:paraId="39D67750"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73AC00AA" w14:textId="47CDA17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0.055</w:t>
            </w:r>
          </w:p>
        </w:tc>
        <w:tc>
          <w:tcPr>
            <w:tcW w:w="610" w:type="pct"/>
            <w:tcBorders>
              <w:top w:val="nil"/>
              <w:left w:val="nil"/>
              <w:bottom w:val="nil"/>
              <w:right w:val="nil"/>
            </w:tcBorders>
            <w:shd w:val="clear" w:color="auto" w:fill="auto"/>
            <w:noWrap/>
            <w:vAlign w:val="bottom"/>
          </w:tcPr>
          <w:p w14:paraId="28A27A56" w14:textId="36B73DF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w:t>
            </w:r>
          </w:p>
        </w:tc>
        <w:tc>
          <w:tcPr>
            <w:tcW w:w="610" w:type="pct"/>
            <w:tcBorders>
              <w:top w:val="nil"/>
              <w:left w:val="nil"/>
              <w:bottom w:val="nil"/>
              <w:right w:val="nil"/>
            </w:tcBorders>
            <w:shd w:val="clear" w:color="auto" w:fill="auto"/>
            <w:noWrap/>
            <w:vAlign w:val="bottom"/>
          </w:tcPr>
          <w:p w14:paraId="7C3C0364" w14:textId="2ED05B36"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0.049</w:t>
            </w:r>
          </w:p>
        </w:tc>
        <w:tc>
          <w:tcPr>
            <w:tcW w:w="610" w:type="pct"/>
            <w:tcBorders>
              <w:top w:val="nil"/>
              <w:left w:val="nil"/>
              <w:bottom w:val="nil"/>
              <w:right w:val="nil"/>
            </w:tcBorders>
            <w:shd w:val="clear" w:color="auto" w:fill="auto"/>
            <w:noWrap/>
            <w:vAlign w:val="bottom"/>
          </w:tcPr>
          <w:p w14:paraId="255AFE7A" w14:textId="0A47E87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0.088</w:t>
            </w:r>
          </w:p>
        </w:tc>
        <w:tc>
          <w:tcPr>
            <w:tcW w:w="674" w:type="pct"/>
            <w:tcBorders>
              <w:top w:val="nil"/>
              <w:left w:val="nil"/>
              <w:bottom w:val="nil"/>
              <w:right w:val="nil"/>
            </w:tcBorders>
            <w:shd w:val="clear" w:color="auto" w:fill="auto"/>
            <w:noWrap/>
            <w:vAlign w:val="bottom"/>
          </w:tcPr>
          <w:p w14:paraId="2EE15E92" w14:textId="03AE839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0.182</w:t>
            </w:r>
          </w:p>
        </w:tc>
        <w:tc>
          <w:tcPr>
            <w:tcW w:w="676" w:type="pct"/>
            <w:tcBorders>
              <w:top w:val="nil"/>
              <w:left w:val="nil"/>
              <w:bottom w:val="nil"/>
              <w:right w:val="nil"/>
            </w:tcBorders>
            <w:shd w:val="clear" w:color="auto" w:fill="auto"/>
            <w:noWrap/>
            <w:vAlign w:val="bottom"/>
          </w:tcPr>
          <w:p w14:paraId="16F5CF1F" w14:textId="31717B8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0.29</w:t>
            </w:r>
            <w:r>
              <w:rPr>
                <w:rFonts w:ascii="Garamond" w:hAnsi="Garamond"/>
                <w:i/>
                <w:color w:val="000000"/>
              </w:rPr>
              <w:t>0</w:t>
            </w:r>
          </w:p>
        </w:tc>
      </w:tr>
      <w:tr w:rsidR="000735E3" w:rsidRPr="00646F36" w14:paraId="6307B0C5" w14:textId="77777777" w:rsidTr="000735E3">
        <w:trPr>
          <w:trHeight w:val="20"/>
        </w:trPr>
        <w:tc>
          <w:tcPr>
            <w:tcW w:w="1146" w:type="pct"/>
            <w:tcBorders>
              <w:top w:val="nil"/>
              <w:left w:val="nil"/>
              <w:bottom w:val="nil"/>
              <w:right w:val="nil"/>
            </w:tcBorders>
            <w:shd w:val="clear" w:color="auto" w:fill="auto"/>
            <w:noWrap/>
            <w:vAlign w:val="bottom"/>
            <w:hideMark/>
          </w:tcPr>
          <w:p w14:paraId="79973272"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(11-18)</w:t>
            </w:r>
          </w:p>
        </w:tc>
        <w:tc>
          <w:tcPr>
            <w:tcW w:w="674" w:type="pct"/>
            <w:tcBorders>
              <w:top w:val="nil"/>
              <w:left w:val="nil"/>
              <w:bottom w:val="nil"/>
              <w:right w:val="nil"/>
            </w:tcBorders>
            <w:shd w:val="clear" w:color="auto" w:fill="auto"/>
            <w:noWrap/>
            <w:vAlign w:val="bottom"/>
          </w:tcPr>
          <w:p w14:paraId="387727F1" w14:textId="06FB650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-0.117***</w:t>
            </w:r>
          </w:p>
        </w:tc>
        <w:tc>
          <w:tcPr>
            <w:tcW w:w="610" w:type="pct"/>
            <w:tcBorders>
              <w:top w:val="nil"/>
              <w:left w:val="nil"/>
              <w:bottom w:val="nil"/>
              <w:right w:val="nil"/>
            </w:tcBorders>
            <w:shd w:val="clear" w:color="auto" w:fill="auto"/>
            <w:noWrap/>
            <w:vAlign w:val="bottom"/>
          </w:tcPr>
          <w:p w14:paraId="4E440B03" w14:textId="755E8B23"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-0.198***</w:t>
            </w:r>
          </w:p>
        </w:tc>
        <w:tc>
          <w:tcPr>
            <w:tcW w:w="610" w:type="pct"/>
            <w:tcBorders>
              <w:top w:val="nil"/>
              <w:left w:val="nil"/>
              <w:bottom w:val="nil"/>
              <w:right w:val="nil"/>
            </w:tcBorders>
            <w:shd w:val="clear" w:color="auto" w:fill="auto"/>
            <w:noWrap/>
            <w:vAlign w:val="bottom"/>
          </w:tcPr>
          <w:p w14:paraId="2367505A" w14:textId="470CAB43"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-0.162***</w:t>
            </w:r>
          </w:p>
        </w:tc>
        <w:tc>
          <w:tcPr>
            <w:tcW w:w="610" w:type="pct"/>
            <w:tcBorders>
              <w:top w:val="nil"/>
              <w:left w:val="nil"/>
              <w:bottom w:val="nil"/>
              <w:right w:val="nil"/>
            </w:tcBorders>
            <w:shd w:val="clear" w:color="auto" w:fill="auto"/>
            <w:noWrap/>
            <w:vAlign w:val="bottom"/>
          </w:tcPr>
          <w:p w14:paraId="4D825381" w14:textId="4C12F265"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-0.060**</w:t>
            </w:r>
          </w:p>
        </w:tc>
        <w:tc>
          <w:tcPr>
            <w:tcW w:w="674" w:type="pct"/>
            <w:tcBorders>
              <w:top w:val="nil"/>
              <w:left w:val="nil"/>
              <w:bottom w:val="nil"/>
              <w:right w:val="nil"/>
            </w:tcBorders>
            <w:shd w:val="clear" w:color="auto" w:fill="auto"/>
            <w:noWrap/>
            <w:vAlign w:val="bottom"/>
          </w:tcPr>
          <w:p w14:paraId="1BCA484B" w14:textId="0DE9EA5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-0.001</w:t>
            </w:r>
          </w:p>
        </w:tc>
        <w:tc>
          <w:tcPr>
            <w:tcW w:w="676" w:type="pct"/>
            <w:tcBorders>
              <w:top w:val="nil"/>
              <w:left w:val="nil"/>
              <w:bottom w:val="nil"/>
              <w:right w:val="nil"/>
            </w:tcBorders>
            <w:shd w:val="clear" w:color="auto" w:fill="auto"/>
            <w:noWrap/>
            <w:vAlign w:val="bottom"/>
          </w:tcPr>
          <w:p w14:paraId="3A442336" w14:textId="61D05A7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0.003</w:t>
            </w:r>
          </w:p>
        </w:tc>
      </w:tr>
      <w:tr w:rsidR="000735E3" w:rsidRPr="000735E3" w14:paraId="77F31190" w14:textId="77777777" w:rsidTr="000735E3">
        <w:trPr>
          <w:trHeight w:val="20"/>
        </w:trPr>
        <w:tc>
          <w:tcPr>
            <w:tcW w:w="1146" w:type="pct"/>
            <w:tcBorders>
              <w:top w:val="nil"/>
              <w:left w:val="nil"/>
              <w:bottom w:val="nil"/>
              <w:right w:val="nil"/>
            </w:tcBorders>
            <w:shd w:val="clear" w:color="auto" w:fill="auto"/>
            <w:noWrap/>
            <w:vAlign w:val="bottom"/>
            <w:hideMark/>
          </w:tcPr>
          <w:p w14:paraId="391573D2"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07091B9B" w14:textId="112C0E1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0.038</w:t>
            </w:r>
          </w:p>
        </w:tc>
        <w:tc>
          <w:tcPr>
            <w:tcW w:w="610" w:type="pct"/>
            <w:tcBorders>
              <w:top w:val="nil"/>
              <w:left w:val="nil"/>
              <w:bottom w:val="nil"/>
              <w:right w:val="nil"/>
            </w:tcBorders>
            <w:shd w:val="clear" w:color="auto" w:fill="auto"/>
            <w:noWrap/>
            <w:vAlign w:val="bottom"/>
          </w:tcPr>
          <w:p w14:paraId="0374B465" w14:textId="6224F699"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0.026</w:t>
            </w:r>
          </w:p>
        </w:tc>
        <w:tc>
          <w:tcPr>
            <w:tcW w:w="610" w:type="pct"/>
            <w:tcBorders>
              <w:top w:val="nil"/>
              <w:left w:val="nil"/>
              <w:bottom w:val="nil"/>
              <w:right w:val="nil"/>
            </w:tcBorders>
            <w:shd w:val="clear" w:color="auto" w:fill="auto"/>
            <w:noWrap/>
            <w:vAlign w:val="bottom"/>
          </w:tcPr>
          <w:p w14:paraId="2F394B2D" w14:textId="3F15238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0.026</w:t>
            </w:r>
          </w:p>
        </w:tc>
        <w:tc>
          <w:tcPr>
            <w:tcW w:w="610" w:type="pct"/>
            <w:tcBorders>
              <w:top w:val="nil"/>
              <w:left w:val="nil"/>
              <w:bottom w:val="nil"/>
              <w:right w:val="nil"/>
            </w:tcBorders>
            <w:shd w:val="clear" w:color="auto" w:fill="auto"/>
            <w:noWrap/>
            <w:vAlign w:val="bottom"/>
          </w:tcPr>
          <w:p w14:paraId="4405D7F0" w14:textId="2901952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0.023</w:t>
            </w:r>
          </w:p>
        </w:tc>
        <w:tc>
          <w:tcPr>
            <w:tcW w:w="674" w:type="pct"/>
            <w:tcBorders>
              <w:top w:val="nil"/>
              <w:left w:val="nil"/>
              <w:bottom w:val="nil"/>
              <w:right w:val="nil"/>
            </w:tcBorders>
            <w:shd w:val="clear" w:color="auto" w:fill="auto"/>
            <w:noWrap/>
            <w:vAlign w:val="bottom"/>
          </w:tcPr>
          <w:p w14:paraId="2F39DCD1" w14:textId="3CC3536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0.021</w:t>
            </w:r>
          </w:p>
        </w:tc>
        <w:tc>
          <w:tcPr>
            <w:tcW w:w="676" w:type="pct"/>
            <w:tcBorders>
              <w:top w:val="nil"/>
              <w:left w:val="nil"/>
              <w:bottom w:val="nil"/>
              <w:right w:val="nil"/>
            </w:tcBorders>
            <w:shd w:val="clear" w:color="auto" w:fill="auto"/>
            <w:noWrap/>
            <w:vAlign w:val="bottom"/>
          </w:tcPr>
          <w:p w14:paraId="59D91477" w14:textId="2C6381A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0.016</w:t>
            </w:r>
          </w:p>
        </w:tc>
      </w:tr>
      <w:tr w:rsidR="000735E3" w:rsidRPr="00646F36" w14:paraId="40F4EA9E" w14:textId="77777777" w:rsidTr="000735E3">
        <w:trPr>
          <w:trHeight w:val="20"/>
        </w:trPr>
        <w:tc>
          <w:tcPr>
            <w:tcW w:w="1146" w:type="pct"/>
            <w:tcBorders>
              <w:top w:val="nil"/>
              <w:left w:val="nil"/>
              <w:bottom w:val="nil"/>
              <w:right w:val="nil"/>
            </w:tcBorders>
            <w:shd w:val="clear" w:color="auto" w:fill="auto"/>
            <w:hideMark/>
          </w:tcPr>
          <w:p w14:paraId="42F5B693"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(18-34)</w:t>
            </w:r>
          </w:p>
        </w:tc>
        <w:tc>
          <w:tcPr>
            <w:tcW w:w="674" w:type="pct"/>
            <w:tcBorders>
              <w:top w:val="nil"/>
              <w:left w:val="nil"/>
              <w:bottom w:val="nil"/>
              <w:right w:val="nil"/>
            </w:tcBorders>
            <w:shd w:val="clear" w:color="auto" w:fill="auto"/>
            <w:noWrap/>
            <w:vAlign w:val="bottom"/>
          </w:tcPr>
          <w:p w14:paraId="676A0994" w14:textId="007147A6"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-0.094**</w:t>
            </w:r>
          </w:p>
        </w:tc>
        <w:tc>
          <w:tcPr>
            <w:tcW w:w="610" w:type="pct"/>
            <w:tcBorders>
              <w:top w:val="nil"/>
              <w:left w:val="nil"/>
              <w:bottom w:val="nil"/>
              <w:right w:val="nil"/>
            </w:tcBorders>
            <w:shd w:val="clear" w:color="auto" w:fill="auto"/>
            <w:noWrap/>
            <w:vAlign w:val="bottom"/>
          </w:tcPr>
          <w:p w14:paraId="69FE6D59" w14:textId="14D66155"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-0.131***</w:t>
            </w:r>
          </w:p>
        </w:tc>
        <w:tc>
          <w:tcPr>
            <w:tcW w:w="610" w:type="pct"/>
            <w:tcBorders>
              <w:top w:val="nil"/>
              <w:left w:val="nil"/>
              <w:bottom w:val="nil"/>
              <w:right w:val="nil"/>
            </w:tcBorders>
            <w:shd w:val="clear" w:color="auto" w:fill="auto"/>
            <w:noWrap/>
            <w:vAlign w:val="bottom"/>
          </w:tcPr>
          <w:p w14:paraId="60B5CF77" w14:textId="7F60ABE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-0.055</w:t>
            </w:r>
          </w:p>
        </w:tc>
        <w:tc>
          <w:tcPr>
            <w:tcW w:w="610" w:type="pct"/>
            <w:tcBorders>
              <w:top w:val="nil"/>
              <w:left w:val="nil"/>
              <w:bottom w:val="nil"/>
              <w:right w:val="nil"/>
            </w:tcBorders>
            <w:shd w:val="clear" w:color="auto" w:fill="auto"/>
            <w:noWrap/>
            <w:vAlign w:val="bottom"/>
          </w:tcPr>
          <w:p w14:paraId="39E4E3CB" w14:textId="3AB0BBB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-0.124***</w:t>
            </w:r>
          </w:p>
        </w:tc>
        <w:tc>
          <w:tcPr>
            <w:tcW w:w="674" w:type="pct"/>
            <w:tcBorders>
              <w:top w:val="nil"/>
              <w:left w:val="nil"/>
              <w:bottom w:val="nil"/>
              <w:right w:val="nil"/>
            </w:tcBorders>
            <w:shd w:val="clear" w:color="auto" w:fill="auto"/>
            <w:noWrap/>
            <w:vAlign w:val="bottom"/>
          </w:tcPr>
          <w:p w14:paraId="1D03BB3D" w14:textId="291D38A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-0.113*</w:t>
            </w:r>
          </w:p>
        </w:tc>
        <w:tc>
          <w:tcPr>
            <w:tcW w:w="676" w:type="pct"/>
            <w:tcBorders>
              <w:top w:val="nil"/>
              <w:left w:val="nil"/>
              <w:bottom w:val="nil"/>
              <w:right w:val="nil"/>
            </w:tcBorders>
            <w:shd w:val="clear" w:color="auto" w:fill="auto"/>
            <w:noWrap/>
            <w:vAlign w:val="bottom"/>
          </w:tcPr>
          <w:p w14:paraId="3332DA7E" w14:textId="6113908C"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0.031</w:t>
            </w:r>
          </w:p>
        </w:tc>
      </w:tr>
      <w:tr w:rsidR="000735E3" w:rsidRPr="000735E3" w14:paraId="40A4A41F" w14:textId="77777777" w:rsidTr="000735E3">
        <w:trPr>
          <w:trHeight w:val="20"/>
        </w:trPr>
        <w:tc>
          <w:tcPr>
            <w:tcW w:w="1146" w:type="pct"/>
            <w:tcBorders>
              <w:top w:val="nil"/>
              <w:left w:val="nil"/>
              <w:bottom w:val="nil"/>
              <w:right w:val="nil"/>
            </w:tcBorders>
            <w:shd w:val="clear" w:color="auto" w:fill="auto"/>
            <w:noWrap/>
            <w:vAlign w:val="bottom"/>
            <w:hideMark/>
          </w:tcPr>
          <w:p w14:paraId="0ED976E2"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47B27A84" w14:textId="469D2CF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w:t>
            </w:r>
          </w:p>
        </w:tc>
        <w:tc>
          <w:tcPr>
            <w:tcW w:w="610" w:type="pct"/>
            <w:tcBorders>
              <w:top w:val="nil"/>
              <w:left w:val="nil"/>
              <w:bottom w:val="nil"/>
              <w:right w:val="nil"/>
            </w:tcBorders>
            <w:shd w:val="clear" w:color="auto" w:fill="auto"/>
            <w:noWrap/>
            <w:vAlign w:val="bottom"/>
          </w:tcPr>
          <w:p w14:paraId="2512FF8F" w14:textId="16D1EA7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0.026</w:t>
            </w:r>
          </w:p>
        </w:tc>
        <w:tc>
          <w:tcPr>
            <w:tcW w:w="610" w:type="pct"/>
            <w:tcBorders>
              <w:top w:val="nil"/>
              <w:left w:val="nil"/>
              <w:bottom w:val="nil"/>
              <w:right w:val="nil"/>
            </w:tcBorders>
            <w:shd w:val="clear" w:color="auto" w:fill="auto"/>
            <w:noWrap/>
            <w:vAlign w:val="bottom"/>
          </w:tcPr>
          <w:p w14:paraId="64E2D01D" w14:textId="0E1D046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0.035</w:t>
            </w:r>
          </w:p>
        </w:tc>
        <w:tc>
          <w:tcPr>
            <w:tcW w:w="610" w:type="pct"/>
            <w:tcBorders>
              <w:top w:val="nil"/>
              <w:left w:val="nil"/>
              <w:bottom w:val="nil"/>
              <w:right w:val="nil"/>
            </w:tcBorders>
            <w:shd w:val="clear" w:color="auto" w:fill="auto"/>
            <w:noWrap/>
            <w:vAlign w:val="bottom"/>
          </w:tcPr>
          <w:p w14:paraId="6C56C718" w14:textId="0A3E4167"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0.042</w:t>
            </w:r>
          </w:p>
        </w:tc>
        <w:tc>
          <w:tcPr>
            <w:tcW w:w="674" w:type="pct"/>
            <w:tcBorders>
              <w:top w:val="nil"/>
              <w:left w:val="nil"/>
              <w:bottom w:val="nil"/>
              <w:right w:val="nil"/>
            </w:tcBorders>
            <w:shd w:val="clear" w:color="auto" w:fill="auto"/>
            <w:noWrap/>
            <w:vAlign w:val="bottom"/>
          </w:tcPr>
          <w:p w14:paraId="5820C666" w14:textId="115FD46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0.062</w:t>
            </w:r>
          </w:p>
        </w:tc>
        <w:tc>
          <w:tcPr>
            <w:tcW w:w="676" w:type="pct"/>
            <w:tcBorders>
              <w:top w:val="nil"/>
              <w:left w:val="nil"/>
              <w:bottom w:val="nil"/>
              <w:right w:val="nil"/>
            </w:tcBorders>
            <w:shd w:val="clear" w:color="auto" w:fill="auto"/>
            <w:noWrap/>
            <w:vAlign w:val="bottom"/>
          </w:tcPr>
          <w:p w14:paraId="7C68196F" w14:textId="2465226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0.082</w:t>
            </w:r>
          </w:p>
        </w:tc>
      </w:tr>
      <w:tr w:rsidR="000735E3" w:rsidRPr="00646F36" w14:paraId="11745A6F" w14:textId="77777777" w:rsidTr="000735E3">
        <w:trPr>
          <w:trHeight w:val="20"/>
        </w:trPr>
        <w:tc>
          <w:tcPr>
            <w:tcW w:w="1146" w:type="pct"/>
            <w:tcBorders>
              <w:top w:val="nil"/>
              <w:left w:val="nil"/>
              <w:bottom w:val="nil"/>
              <w:right w:val="nil"/>
            </w:tcBorders>
            <w:shd w:val="clear" w:color="auto" w:fill="auto"/>
            <w:hideMark/>
          </w:tcPr>
          <w:p w14:paraId="07390937"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(35-44)</w:t>
            </w:r>
          </w:p>
        </w:tc>
        <w:tc>
          <w:tcPr>
            <w:tcW w:w="674" w:type="pct"/>
            <w:tcBorders>
              <w:top w:val="nil"/>
              <w:left w:val="nil"/>
              <w:bottom w:val="nil"/>
              <w:right w:val="nil"/>
            </w:tcBorders>
            <w:shd w:val="clear" w:color="auto" w:fill="auto"/>
            <w:noWrap/>
            <w:vAlign w:val="bottom"/>
          </w:tcPr>
          <w:p w14:paraId="32232F30" w14:textId="56E69EB7"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-0.049</w:t>
            </w:r>
          </w:p>
        </w:tc>
        <w:tc>
          <w:tcPr>
            <w:tcW w:w="610" w:type="pct"/>
            <w:tcBorders>
              <w:top w:val="nil"/>
              <w:left w:val="nil"/>
              <w:bottom w:val="nil"/>
              <w:right w:val="nil"/>
            </w:tcBorders>
            <w:shd w:val="clear" w:color="auto" w:fill="auto"/>
            <w:noWrap/>
            <w:vAlign w:val="bottom"/>
          </w:tcPr>
          <w:p w14:paraId="0AD624B9" w14:textId="6863BAA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-0.101***</w:t>
            </w:r>
          </w:p>
        </w:tc>
        <w:tc>
          <w:tcPr>
            <w:tcW w:w="610" w:type="pct"/>
            <w:tcBorders>
              <w:top w:val="nil"/>
              <w:left w:val="nil"/>
              <w:bottom w:val="nil"/>
              <w:right w:val="nil"/>
            </w:tcBorders>
            <w:shd w:val="clear" w:color="auto" w:fill="auto"/>
            <w:noWrap/>
            <w:vAlign w:val="bottom"/>
          </w:tcPr>
          <w:p w14:paraId="544B9058" w14:textId="54FB9EC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-0.004</w:t>
            </w:r>
          </w:p>
        </w:tc>
        <w:tc>
          <w:tcPr>
            <w:tcW w:w="610" w:type="pct"/>
            <w:tcBorders>
              <w:top w:val="nil"/>
              <w:left w:val="nil"/>
              <w:bottom w:val="nil"/>
              <w:right w:val="nil"/>
            </w:tcBorders>
            <w:shd w:val="clear" w:color="auto" w:fill="auto"/>
            <w:noWrap/>
            <w:vAlign w:val="bottom"/>
          </w:tcPr>
          <w:p w14:paraId="71ED5037" w14:textId="5406645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-0.110**</w:t>
            </w:r>
          </w:p>
        </w:tc>
        <w:tc>
          <w:tcPr>
            <w:tcW w:w="674" w:type="pct"/>
            <w:tcBorders>
              <w:top w:val="nil"/>
              <w:left w:val="nil"/>
              <w:bottom w:val="nil"/>
              <w:right w:val="nil"/>
            </w:tcBorders>
            <w:shd w:val="clear" w:color="auto" w:fill="auto"/>
            <w:noWrap/>
            <w:vAlign w:val="bottom"/>
          </w:tcPr>
          <w:p w14:paraId="382B3C6D" w14:textId="14457FE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-0.048</w:t>
            </w:r>
          </w:p>
        </w:tc>
        <w:tc>
          <w:tcPr>
            <w:tcW w:w="676" w:type="pct"/>
            <w:tcBorders>
              <w:top w:val="nil"/>
              <w:left w:val="nil"/>
              <w:bottom w:val="nil"/>
              <w:right w:val="nil"/>
            </w:tcBorders>
            <w:shd w:val="clear" w:color="auto" w:fill="auto"/>
            <w:noWrap/>
            <w:vAlign w:val="bottom"/>
          </w:tcPr>
          <w:p w14:paraId="6DB9F18B" w14:textId="4949AB1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0.061</w:t>
            </w:r>
          </w:p>
        </w:tc>
      </w:tr>
      <w:tr w:rsidR="000735E3" w:rsidRPr="000735E3" w14:paraId="19D84533" w14:textId="77777777" w:rsidTr="000735E3">
        <w:trPr>
          <w:trHeight w:val="20"/>
        </w:trPr>
        <w:tc>
          <w:tcPr>
            <w:tcW w:w="1146" w:type="pct"/>
            <w:tcBorders>
              <w:top w:val="nil"/>
              <w:left w:val="nil"/>
              <w:bottom w:val="nil"/>
              <w:right w:val="nil"/>
            </w:tcBorders>
            <w:shd w:val="clear" w:color="auto" w:fill="auto"/>
            <w:noWrap/>
            <w:vAlign w:val="bottom"/>
            <w:hideMark/>
          </w:tcPr>
          <w:p w14:paraId="37BE0E65"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113B09C4" w14:textId="2A36A00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0.046</w:t>
            </w:r>
          </w:p>
        </w:tc>
        <w:tc>
          <w:tcPr>
            <w:tcW w:w="610" w:type="pct"/>
            <w:tcBorders>
              <w:top w:val="nil"/>
              <w:left w:val="nil"/>
              <w:bottom w:val="nil"/>
              <w:right w:val="nil"/>
            </w:tcBorders>
            <w:shd w:val="clear" w:color="auto" w:fill="auto"/>
            <w:noWrap/>
            <w:vAlign w:val="bottom"/>
          </w:tcPr>
          <w:p w14:paraId="20F26C36" w14:textId="0CA6D9C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w:t>
            </w:r>
          </w:p>
        </w:tc>
        <w:tc>
          <w:tcPr>
            <w:tcW w:w="610" w:type="pct"/>
            <w:tcBorders>
              <w:top w:val="nil"/>
              <w:left w:val="nil"/>
              <w:bottom w:val="nil"/>
              <w:right w:val="nil"/>
            </w:tcBorders>
            <w:shd w:val="clear" w:color="auto" w:fill="auto"/>
            <w:noWrap/>
            <w:vAlign w:val="bottom"/>
          </w:tcPr>
          <w:p w14:paraId="0F2E1C73" w14:textId="77FCA27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0.042</w:t>
            </w:r>
          </w:p>
        </w:tc>
        <w:tc>
          <w:tcPr>
            <w:tcW w:w="610" w:type="pct"/>
            <w:tcBorders>
              <w:top w:val="nil"/>
              <w:left w:val="nil"/>
              <w:bottom w:val="nil"/>
              <w:right w:val="nil"/>
            </w:tcBorders>
            <w:shd w:val="clear" w:color="auto" w:fill="auto"/>
            <w:noWrap/>
            <w:vAlign w:val="bottom"/>
          </w:tcPr>
          <w:p w14:paraId="77063088" w14:textId="31F0C76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0.048</w:t>
            </w:r>
          </w:p>
        </w:tc>
        <w:tc>
          <w:tcPr>
            <w:tcW w:w="674" w:type="pct"/>
            <w:tcBorders>
              <w:top w:val="nil"/>
              <w:left w:val="nil"/>
              <w:bottom w:val="nil"/>
              <w:right w:val="nil"/>
            </w:tcBorders>
            <w:shd w:val="clear" w:color="auto" w:fill="auto"/>
            <w:noWrap/>
            <w:vAlign w:val="bottom"/>
          </w:tcPr>
          <w:p w14:paraId="4380B98F" w14:textId="7D1DB7A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0.075</w:t>
            </w:r>
          </w:p>
        </w:tc>
        <w:tc>
          <w:tcPr>
            <w:tcW w:w="676" w:type="pct"/>
            <w:tcBorders>
              <w:top w:val="nil"/>
              <w:left w:val="nil"/>
              <w:bottom w:val="nil"/>
              <w:right w:val="nil"/>
            </w:tcBorders>
            <w:shd w:val="clear" w:color="auto" w:fill="auto"/>
            <w:noWrap/>
            <w:vAlign w:val="bottom"/>
          </w:tcPr>
          <w:p w14:paraId="3C5B6902" w14:textId="781BF66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0.097</w:t>
            </w:r>
          </w:p>
        </w:tc>
      </w:tr>
      <w:tr w:rsidR="000735E3" w:rsidRPr="00646F36" w14:paraId="6C6555CC" w14:textId="77777777" w:rsidTr="000735E3">
        <w:trPr>
          <w:trHeight w:val="20"/>
        </w:trPr>
        <w:tc>
          <w:tcPr>
            <w:tcW w:w="1146" w:type="pct"/>
            <w:tcBorders>
              <w:top w:val="nil"/>
              <w:left w:val="nil"/>
              <w:bottom w:val="nil"/>
              <w:right w:val="nil"/>
            </w:tcBorders>
            <w:shd w:val="clear" w:color="auto" w:fill="auto"/>
            <w:hideMark/>
          </w:tcPr>
          <w:p w14:paraId="18E37658"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(45-64)</w:t>
            </w:r>
          </w:p>
        </w:tc>
        <w:tc>
          <w:tcPr>
            <w:tcW w:w="674" w:type="pct"/>
            <w:tcBorders>
              <w:top w:val="nil"/>
              <w:left w:val="nil"/>
              <w:bottom w:val="nil"/>
              <w:right w:val="nil"/>
            </w:tcBorders>
            <w:shd w:val="clear" w:color="auto" w:fill="auto"/>
            <w:noWrap/>
            <w:vAlign w:val="bottom"/>
          </w:tcPr>
          <w:p w14:paraId="693FC603" w14:textId="63C7F0B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0.241***</w:t>
            </w:r>
          </w:p>
        </w:tc>
        <w:tc>
          <w:tcPr>
            <w:tcW w:w="610" w:type="pct"/>
            <w:tcBorders>
              <w:top w:val="nil"/>
              <w:left w:val="nil"/>
              <w:bottom w:val="nil"/>
              <w:right w:val="nil"/>
            </w:tcBorders>
            <w:shd w:val="clear" w:color="auto" w:fill="auto"/>
            <w:noWrap/>
            <w:vAlign w:val="bottom"/>
          </w:tcPr>
          <w:p w14:paraId="4E9C5C32" w14:textId="086B1BC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0.101***</w:t>
            </w:r>
          </w:p>
        </w:tc>
        <w:tc>
          <w:tcPr>
            <w:tcW w:w="610" w:type="pct"/>
            <w:tcBorders>
              <w:top w:val="nil"/>
              <w:left w:val="nil"/>
              <w:bottom w:val="nil"/>
              <w:right w:val="nil"/>
            </w:tcBorders>
            <w:shd w:val="clear" w:color="auto" w:fill="auto"/>
            <w:noWrap/>
            <w:vAlign w:val="bottom"/>
          </w:tcPr>
          <w:p w14:paraId="5F89D4B6" w14:textId="1014DBE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0.383***</w:t>
            </w:r>
          </w:p>
        </w:tc>
        <w:tc>
          <w:tcPr>
            <w:tcW w:w="610" w:type="pct"/>
            <w:tcBorders>
              <w:top w:val="nil"/>
              <w:left w:val="nil"/>
              <w:bottom w:val="nil"/>
              <w:right w:val="nil"/>
            </w:tcBorders>
            <w:shd w:val="clear" w:color="auto" w:fill="auto"/>
            <w:noWrap/>
            <w:vAlign w:val="bottom"/>
          </w:tcPr>
          <w:p w14:paraId="45B22F32" w14:textId="0B454BD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0.291***</w:t>
            </w:r>
          </w:p>
        </w:tc>
        <w:tc>
          <w:tcPr>
            <w:tcW w:w="674" w:type="pct"/>
            <w:tcBorders>
              <w:top w:val="nil"/>
              <w:left w:val="nil"/>
              <w:bottom w:val="nil"/>
              <w:right w:val="nil"/>
            </w:tcBorders>
            <w:shd w:val="clear" w:color="auto" w:fill="auto"/>
            <w:noWrap/>
            <w:vAlign w:val="bottom"/>
          </w:tcPr>
          <w:p w14:paraId="5FC96C46" w14:textId="7C7B5AE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0.267***</w:t>
            </w:r>
          </w:p>
        </w:tc>
        <w:tc>
          <w:tcPr>
            <w:tcW w:w="676" w:type="pct"/>
            <w:tcBorders>
              <w:top w:val="nil"/>
              <w:left w:val="nil"/>
              <w:bottom w:val="nil"/>
              <w:right w:val="nil"/>
            </w:tcBorders>
            <w:shd w:val="clear" w:color="auto" w:fill="auto"/>
            <w:noWrap/>
            <w:vAlign w:val="bottom"/>
          </w:tcPr>
          <w:p w14:paraId="4D4BB4D6" w14:textId="235B7463"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0.313***</w:t>
            </w:r>
          </w:p>
        </w:tc>
      </w:tr>
      <w:tr w:rsidR="000735E3" w:rsidRPr="000735E3" w14:paraId="2BE7CA82" w14:textId="77777777" w:rsidTr="000735E3">
        <w:trPr>
          <w:trHeight w:val="20"/>
        </w:trPr>
        <w:tc>
          <w:tcPr>
            <w:tcW w:w="1146" w:type="pct"/>
            <w:tcBorders>
              <w:top w:val="nil"/>
              <w:left w:val="nil"/>
              <w:bottom w:val="nil"/>
              <w:right w:val="nil"/>
            </w:tcBorders>
            <w:shd w:val="clear" w:color="auto" w:fill="auto"/>
            <w:noWrap/>
            <w:vAlign w:val="bottom"/>
            <w:hideMark/>
          </w:tcPr>
          <w:p w14:paraId="06996E12"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47205EDD" w14:textId="068CC86B"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0.043</w:t>
            </w:r>
          </w:p>
        </w:tc>
        <w:tc>
          <w:tcPr>
            <w:tcW w:w="610" w:type="pct"/>
            <w:tcBorders>
              <w:top w:val="nil"/>
              <w:left w:val="nil"/>
              <w:bottom w:val="nil"/>
              <w:right w:val="nil"/>
            </w:tcBorders>
            <w:shd w:val="clear" w:color="auto" w:fill="auto"/>
            <w:noWrap/>
            <w:vAlign w:val="bottom"/>
          </w:tcPr>
          <w:p w14:paraId="3FE41236" w14:textId="61F16B2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0.028</w:t>
            </w:r>
          </w:p>
        </w:tc>
        <w:tc>
          <w:tcPr>
            <w:tcW w:w="610" w:type="pct"/>
            <w:tcBorders>
              <w:top w:val="nil"/>
              <w:left w:val="nil"/>
              <w:bottom w:val="nil"/>
              <w:right w:val="nil"/>
            </w:tcBorders>
            <w:shd w:val="clear" w:color="auto" w:fill="auto"/>
            <w:noWrap/>
            <w:vAlign w:val="bottom"/>
          </w:tcPr>
          <w:p w14:paraId="2B9B77DC" w14:textId="05A9103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0.041</w:t>
            </w:r>
          </w:p>
        </w:tc>
        <w:tc>
          <w:tcPr>
            <w:tcW w:w="610" w:type="pct"/>
            <w:tcBorders>
              <w:top w:val="nil"/>
              <w:left w:val="nil"/>
              <w:bottom w:val="nil"/>
              <w:right w:val="nil"/>
            </w:tcBorders>
            <w:shd w:val="clear" w:color="auto" w:fill="auto"/>
            <w:noWrap/>
            <w:vAlign w:val="bottom"/>
          </w:tcPr>
          <w:p w14:paraId="06520F63" w14:textId="41E0AFC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0.052</w:t>
            </w:r>
          </w:p>
        </w:tc>
        <w:tc>
          <w:tcPr>
            <w:tcW w:w="674" w:type="pct"/>
            <w:tcBorders>
              <w:top w:val="nil"/>
              <w:left w:val="nil"/>
              <w:bottom w:val="nil"/>
              <w:right w:val="nil"/>
            </w:tcBorders>
            <w:shd w:val="clear" w:color="auto" w:fill="auto"/>
            <w:noWrap/>
            <w:vAlign w:val="bottom"/>
          </w:tcPr>
          <w:p w14:paraId="152501FD" w14:textId="63C53BC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0.076</w:t>
            </w:r>
          </w:p>
        </w:tc>
        <w:tc>
          <w:tcPr>
            <w:tcW w:w="676" w:type="pct"/>
            <w:tcBorders>
              <w:top w:val="nil"/>
              <w:left w:val="nil"/>
              <w:bottom w:val="nil"/>
              <w:right w:val="nil"/>
            </w:tcBorders>
            <w:shd w:val="clear" w:color="auto" w:fill="auto"/>
            <w:noWrap/>
            <w:vAlign w:val="bottom"/>
          </w:tcPr>
          <w:p w14:paraId="47CA0327" w14:textId="209398F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0.095</w:t>
            </w:r>
          </w:p>
        </w:tc>
      </w:tr>
      <w:tr w:rsidR="000735E3" w:rsidRPr="00646F36" w14:paraId="6BC9D55C" w14:textId="77777777" w:rsidTr="000735E3">
        <w:trPr>
          <w:trHeight w:val="20"/>
        </w:trPr>
        <w:tc>
          <w:tcPr>
            <w:tcW w:w="1146" w:type="pct"/>
            <w:tcBorders>
              <w:top w:val="nil"/>
              <w:left w:val="nil"/>
              <w:bottom w:val="nil"/>
              <w:right w:val="nil"/>
            </w:tcBorders>
            <w:shd w:val="clear" w:color="auto" w:fill="auto"/>
            <w:hideMark/>
          </w:tcPr>
          <w:p w14:paraId="7650A0CF"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(65-74)</w:t>
            </w:r>
          </w:p>
        </w:tc>
        <w:tc>
          <w:tcPr>
            <w:tcW w:w="674" w:type="pct"/>
            <w:tcBorders>
              <w:top w:val="nil"/>
              <w:left w:val="nil"/>
              <w:bottom w:val="nil"/>
              <w:right w:val="nil"/>
            </w:tcBorders>
            <w:shd w:val="clear" w:color="auto" w:fill="auto"/>
            <w:noWrap/>
            <w:vAlign w:val="bottom"/>
          </w:tcPr>
          <w:p w14:paraId="0E361F43" w14:textId="595EFFE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0.513***</w:t>
            </w:r>
          </w:p>
        </w:tc>
        <w:tc>
          <w:tcPr>
            <w:tcW w:w="610" w:type="pct"/>
            <w:tcBorders>
              <w:top w:val="nil"/>
              <w:left w:val="nil"/>
              <w:bottom w:val="nil"/>
              <w:right w:val="nil"/>
            </w:tcBorders>
            <w:shd w:val="clear" w:color="auto" w:fill="auto"/>
            <w:noWrap/>
            <w:vAlign w:val="bottom"/>
          </w:tcPr>
          <w:p w14:paraId="4D59FCC5" w14:textId="2C8B72F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0.211***</w:t>
            </w:r>
          </w:p>
        </w:tc>
        <w:tc>
          <w:tcPr>
            <w:tcW w:w="610" w:type="pct"/>
            <w:tcBorders>
              <w:top w:val="nil"/>
              <w:left w:val="nil"/>
              <w:bottom w:val="nil"/>
              <w:right w:val="nil"/>
            </w:tcBorders>
            <w:shd w:val="clear" w:color="auto" w:fill="auto"/>
            <w:noWrap/>
            <w:vAlign w:val="bottom"/>
          </w:tcPr>
          <w:p w14:paraId="1042EA96" w14:textId="7CC757B5"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0.656***</w:t>
            </w:r>
          </w:p>
        </w:tc>
        <w:tc>
          <w:tcPr>
            <w:tcW w:w="610" w:type="pct"/>
            <w:tcBorders>
              <w:top w:val="nil"/>
              <w:left w:val="nil"/>
              <w:bottom w:val="nil"/>
              <w:right w:val="nil"/>
            </w:tcBorders>
            <w:shd w:val="clear" w:color="auto" w:fill="auto"/>
            <w:noWrap/>
            <w:vAlign w:val="bottom"/>
          </w:tcPr>
          <w:p w14:paraId="722E27DF" w14:textId="067CA80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0.680***</w:t>
            </w:r>
          </w:p>
        </w:tc>
        <w:tc>
          <w:tcPr>
            <w:tcW w:w="674" w:type="pct"/>
            <w:tcBorders>
              <w:top w:val="nil"/>
              <w:left w:val="nil"/>
              <w:bottom w:val="nil"/>
              <w:right w:val="nil"/>
            </w:tcBorders>
            <w:shd w:val="clear" w:color="auto" w:fill="auto"/>
            <w:noWrap/>
            <w:vAlign w:val="bottom"/>
          </w:tcPr>
          <w:p w14:paraId="6FBC9CBB" w14:textId="7745DB8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0.878***</w:t>
            </w:r>
          </w:p>
        </w:tc>
        <w:tc>
          <w:tcPr>
            <w:tcW w:w="676" w:type="pct"/>
            <w:tcBorders>
              <w:top w:val="nil"/>
              <w:left w:val="nil"/>
              <w:bottom w:val="nil"/>
              <w:right w:val="nil"/>
            </w:tcBorders>
            <w:shd w:val="clear" w:color="auto" w:fill="auto"/>
            <w:noWrap/>
            <w:vAlign w:val="bottom"/>
          </w:tcPr>
          <w:p w14:paraId="31D5A28D" w14:textId="4E0451A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0.942***</w:t>
            </w:r>
          </w:p>
        </w:tc>
      </w:tr>
      <w:tr w:rsidR="000735E3" w:rsidRPr="000735E3" w14:paraId="47BADDA8" w14:textId="77777777" w:rsidTr="000735E3">
        <w:trPr>
          <w:trHeight w:val="20"/>
        </w:trPr>
        <w:tc>
          <w:tcPr>
            <w:tcW w:w="1146" w:type="pct"/>
            <w:tcBorders>
              <w:top w:val="nil"/>
              <w:left w:val="nil"/>
              <w:bottom w:val="nil"/>
              <w:right w:val="nil"/>
            </w:tcBorders>
            <w:shd w:val="clear" w:color="auto" w:fill="auto"/>
            <w:noWrap/>
            <w:vAlign w:val="bottom"/>
            <w:hideMark/>
          </w:tcPr>
          <w:p w14:paraId="390B17F8"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79A34E25" w14:textId="16BCDB0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0.049</w:t>
            </w:r>
          </w:p>
        </w:tc>
        <w:tc>
          <w:tcPr>
            <w:tcW w:w="610" w:type="pct"/>
            <w:tcBorders>
              <w:top w:val="nil"/>
              <w:left w:val="nil"/>
              <w:bottom w:val="nil"/>
              <w:right w:val="nil"/>
            </w:tcBorders>
            <w:shd w:val="clear" w:color="auto" w:fill="auto"/>
            <w:noWrap/>
            <w:vAlign w:val="bottom"/>
          </w:tcPr>
          <w:p w14:paraId="08F9E578" w14:textId="662B0B8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0.028</w:t>
            </w:r>
          </w:p>
        </w:tc>
        <w:tc>
          <w:tcPr>
            <w:tcW w:w="610" w:type="pct"/>
            <w:tcBorders>
              <w:top w:val="nil"/>
              <w:left w:val="nil"/>
              <w:bottom w:val="nil"/>
              <w:right w:val="nil"/>
            </w:tcBorders>
            <w:shd w:val="clear" w:color="auto" w:fill="auto"/>
            <w:noWrap/>
            <w:vAlign w:val="bottom"/>
          </w:tcPr>
          <w:p w14:paraId="75E4E22A" w14:textId="1C65590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0.044</w:t>
            </w:r>
          </w:p>
        </w:tc>
        <w:tc>
          <w:tcPr>
            <w:tcW w:w="610" w:type="pct"/>
            <w:tcBorders>
              <w:top w:val="nil"/>
              <w:left w:val="nil"/>
              <w:bottom w:val="nil"/>
              <w:right w:val="nil"/>
            </w:tcBorders>
            <w:shd w:val="clear" w:color="auto" w:fill="auto"/>
            <w:noWrap/>
            <w:vAlign w:val="bottom"/>
          </w:tcPr>
          <w:p w14:paraId="68C56096" w14:textId="7714994F"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0.068</w:t>
            </w:r>
          </w:p>
        </w:tc>
        <w:tc>
          <w:tcPr>
            <w:tcW w:w="674" w:type="pct"/>
            <w:tcBorders>
              <w:top w:val="nil"/>
              <w:left w:val="nil"/>
              <w:bottom w:val="nil"/>
              <w:right w:val="nil"/>
            </w:tcBorders>
            <w:shd w:val="clear" w:color="auto" w:fill="auto"/>
            <w:noWrap/>
            <w:vAlign w:val="bottom"/>
          </w:tcPr>
          <w:p w14:paraId="77175A18" w14:textId="6C4A680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0.128</w:t>
            </w:r>
          </w:p>
        </w:tc>
        <w:tc>
          <w:tcPr>
            <w:tcW w:w="676" w:type="pct"/>
            <w:tcBorders>
              <w:top w:val="nil"/>
              <w:left w:val="nil"/>
              <w:bottom w:val="nil"/>
              <w:right w:val="nil"/>
            </w:tcBorders>
            <w:shd w:val="clear" w:color="auto" w:fill="auto"/>
            <w:noWrap/>
            <w:vAlign w:val="bottom"/>
          </w:tcPr>
          <w:p w14:paraId="55E8315F" w14:textId="7D84D56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0.187</w:t>
            </w:r>
          </w:p>
        </w:tc>
      </w:tr>
      <w:tr w:rsidR="000735E3" w:rsidRPr="00646F36" w14:paraId="4BAA4B2C" w14:textId="77777777" w:rsidTr="000735E3">
        <w:trPr>
          <w:trHeight w:val="20"/>
        </w:trPr>
        <w:tc>
          <w:tcPr>
            <w:tcW w:w="1146" w:type="pct"/>
            <w:tcBorders>
              <w:top w:val="nil"/>
              <w:left w:val="nil"/>
              <w:bottom w:val="nil"/>
              <w:right w:val="nil"/>
            </w:tcBorders>
            <w:shd w:val="clear" w:color="auto" w:fill="auto"/>
            <w:hideMark/>
          </w:tcPr>
          <w:p w14:paraId="66D64F32"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F (75+)</w:t>
            </w:r>
          </w:p>
        </w:tc>
        <w:tc>
          <w:tcPr>
            <w:tcW w:w="674" w:type="pct"/>
            <w:tcBorders>
              <w:top w:val="nil"/>
              <w:left w:val="nil"/>
              <w:bottom w:val="nil"/>
              <w:right w:val="nil"/>
            </w:tcBorders>
            <w:shd w:val="clear" w:color="auto" w:fill="auto"/>
            <w:noWrap/>
            <w:vAlign w:val="bottom"/>
          </w:tcPr>
          <w:p w14:paraId="46A910D9" w14:textId="6BFB2DE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0.358***</w:t>
            </w:r>
          </w:p>
        </w:tc>
        <w:tc>
          <w:tcPr>
            <w:tcW w:w="610" w:type="pct"/>
            <w:tcBorders>
              <w:top w:val="nil"/>
              <w:left w:val="nil"/>
              <w:bottom w:val="nil"/>
              <w:right w:val="nil"/>
            </w:tcBorders>
            <w:shd w:val="clear" w:color="auto" w:fill="auto"/>
            <w:noWrap/>
            <w:vAlign w:val="bottom"/>
          </w:tcPr>
          <w:p w14:paraId="5EF82CF2" w14:textId="1E1BCE6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0.177***</w:t>
            </w:r>
          </w:p>
        </w:tc>
        <w:tc>
          <w:tcPr>
            <w:tcW w:w="610" w:type="pct"/>
            <w:tcBorders>
              <w:top w:val="nil"/>
              <w:left w:val="nil"/>
              <w:bottom w:val="nil"/>
              <w:right w:val="nil"/>
            </w:tcBorders>
            <w:shd w:val="clear" w:color="auto" w:fill="auto"/>
            <w:noWrap/>
            <w:vAlign w:val="bottom"/>
          </w:tcPr>
          <w:p w14:paraId="71E13121" w14:textId="2BCA322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0.555***</w:t>
            </w:r>
          </w:p>
        </w:tc>
        <w:tc>
          <w:tcPr>
            <w:tcW w:w="610" w:type="pct"/>
            <w:tcBorders>
              <w:top w:val="nil"/>
              <w:left w:val="nil"/>
              <w:bottom w:val="nil"/>
              <w:right w:val="nil"/>
            </w:tcBorders>
            <w:shd w:val="clear" w:color="auto" w:fill="auto"/>
            <w:noWrap/>
            <w:vAlign w:val="bottom"/>
          </w:tcPr>
          <w:p w14:paraId="6726AA6F" w14:textId="06F2581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0.493***</w:t>
            </w:r>
          </w:p>
        </w:tc>
        <w:tc>
          <w:tcPr>
            <w:tcW w:w="674" w:type="pct"/>
            <w:tcBorders>
              <w:top w:val="nil"/>
              <w:left w:val="nil"/>
              <w:bottom w:val="nil"/>
              <w:right w:val="nil"/>
            </w:tcBorders>
            <w:shd w:val="clear" w:color="auto" w:fill="auto"/>
            <w:noWrap/>
            <w:vAlign w:val="bottom"/>
          </w:tcPr>
          <w:p w14:paraId="51655072" w14:textId="1A290E25"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0.477***</w:t>
            </w:r>
          </w:p>
        </w:tc>
        <w:tc>
          <w:tcPr>
            <w:tcW w:w="676" w:type="pct"/>
            <w:tcBorders>
              <w:top w:val="nil"/>
              <w:left w:val="nil"/>
              <w:bottom w:val="nil"/>
              <w:right w:val="nil"/>
            </w:tcBorders>
            <w:shd w:val="clear" w:color="auto" w:fill="auto"/>
            <w:noWrap/>
            <w:vAlign w:val="bottom"/>
          </w:tcPr>
          <w:p w14:paraId="36CC0360" w14:textId="34105AF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0.560***</w:t>
            </w:r>
          </w:p>
        </w:tc>
      </w:tr>
      <w:tr w:rsidR="000735E3" w:rsidRPr="000735E3" w14:paraId="23E0E665" w14:textId="77777777" w:rsidTr="000735E3">
        <w:trPr>
          <w:trHeight w:val="20"/>
        </w:trPr>
        <w:tc>
          <w:tcPr>
            <w:tcW w:w="1146" w:type="pct"/>
            <w:tcBorders>
              <w:top w:val="nil"/>
              <w:left w:val="nil"/>
              <w:bottom w:val="nil"/>
              <w:right w:val="nil"/>
            </w:tcBorders>
            <w:shd w:val="clear" w:color="auto" w:fill="auto"/>
            <w:noWrap/>
            <w:vAlign w:val="bottom"/>
            <w:hideMark/>
          </w:tcPr>
          <w:p w14:paraId="5F12B3E5"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6B8C3B05" w14:textId="28FA4EF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0.05</w:t>
            </w:r>
            <w:r>
              <w:rPr>
                <w:rFonts w:ascii="Garamond" w:hAnsi="Garamond"/>
                <w:i/>
                <w:color w:val="000000"/>
              </w:rPr>
              <w:t>0</w:t>
            </w:r>
          </w:p>
        </w:tc>
        <w:tc>
          <w:tcPr>
            <w:tcW w:w="610" w:type="pct"/>
            <w:tcBorders>
              <w:top w:val="nil"/>
              <w:left w:val="nil"/>
              <w:bottom w:val="nil"/>
              <w:right w:val="nil"/>
            </w:tcBorders>
            <w:shd w:val="clear" w:color="auto" w:fill="auto"/>
            <w:noWrap/>
            <w:vAlign w:val="bottom"/>
          </w:tcPr>
          <w:p w14:paraId="7DC11F0E" w14:textId="25B3C98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w:t>
            </w:r>
            <w:r>
              <w:rPr>
                <w:rFonts w:ascii="Garamond" w:hAnsi="Garamond"/>
                <w:i/>
                <w:color w:val="000000"/>
              </w:rPr>
              <w:t>0</w:t>
            </w:r>
          </w:p>
        </w:tc>
        <w:tc>
          <w:tcPr>
            <w:tcW w:w="610" w:type="pct"/>
            <w:tcBorders>
              <w:top w:val="nil"/>
              <w:left w:val="nil"/>
              <w:bottom w:val="nil"/>
              <w:right w:val="nil"/>
            </w:tcBorders>
            <w:shd w:val="clear" w:color="auto" w:fill="auto"/>
            <w:noWrap/>
            <w:vAlign w:val="bottom"/>
          </w:tcPr>
          <w:p w14:paraId="74D1602E" w14:textId="29ACDCC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0.048</w:t>
            </w:r>
          </w:p>
        </w:tc>
        <w:tc>
          <w:tcPr>
            <w:tcW w:w="610" w:type="pct"/>
            <w:tcBorders>
              <w:top w:val="nil"/>
              <w:left w:val="nil"/>
              <w:bottom w:val="nil"/>
              <w:right w:val="nil"/>
            </w:tcBorders>
            <w:shd w:val="clear" w:color="auto" w:fill="auto"/>
            <w:noWrap/>
            <w:vAlign w:val="bottom"/>
          </w:tcPr>
          <w:p w14:paraId="1F63CDE8" w14:textId="679E142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0.075</w:t>
            </w:r>
          </w:p>
        </w:tc>
        <w:tc>
          <w:tcPr>
            <w:tcW w:w="674" w:type="pct"/>
            <w:tcBorders>
              <w:top w:val="nil"/>
              <w:left w:val="nil"/>
              <w:bottom w:val="nil"/>
              <w:right w:val="nil"/>
            </w:tcBorders>
            <w:shd w:val="clear" w:color="auto" w:fill="auto"/>
            <w:noWrap/>
            <w:vAlign w:val="bottom"/>
          </w:tcPr>
          <w:p w14:paraId="52DF073C" w14:textId="367925C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0.122</w:t>
            </w:r>
          </w:p>
        </w:tc>
        <w:tc>
          <w:tcPr>
            <w:tcW w:w="676" w:type="pct"/>
            <w:tcBorders>
              <w:top w:val="nil"/>
              <w:left w:val="nil"/>
              <w:bottom w:val="nil"/>
              <w:right w:val="nil"/>
            </w:tcBorders>
            <w:shd w:val="clear" w:color="auto" w:fill="auto"/>
            <w:noWrap/>
            <w:vAlign w:val="bottom"/>
          </w:tcPr>
          <w:p w14:paraId="51256D5A" w14:textId="60AAB01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0.172</w:t>
            </w:r>
          </w:p>
        </w:tc>
      </w:tr>
      <w:tr w:rsidR="000735E3" w:rsidRPr="00646F36" w14:paraId="09F87E41" w14:textId="77777777" w:rsidTr="000735E3">
        <w:trPr>
          <w:trHeight w:val="20"/>
        </w:trPr>
        <w:tc>
          <w:tcPr>
            <w:tcW w:w="1146" w:type="pct"/>
            <w:tcBorders>
              <w:top w:val="nil"/>
              <w:left w:val="nil"/>
              <w:bottom w:val="nil"/>
              <w:right w:val="nil"/>
            </w:tcBorders>
            <w:shd w:val="clear" w:color="auto" w:fill="auto"/>
            <w:hideMark/>
          </w:tcPr>
          <w:p w14:paraId="05F37C39"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Degree- NVQ 4,5</w:t>
            </w:r>
          </w:p>
        </w:tc>
        <w:tc>
          <w:tcPr>
            <w:tcW w:w="674" w:type="pct"/>
            <w:tcBorders>
              <w:top w:val="nil"/>
              <w:left w:val="nil"/>
              <w:bottom w:val="nil"/>
              <w:right w:val="nil"/>
            </w:tcBorders>
            <w:shd w:val="clear" w:color="auto" w:fill="auto"/>
            <w:noWrap/>
            <w:vAlign w:val="bottom"/>
          </w:tcPr>
          <w:p w14:paraId="68F14DC7" w14:textId="0F330F3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0.048*</w:t>
            </w:r>
          </w:p>
        </w:tc>
        <w:tc>
          <w:tcPr>
            <w:tcW w:w="610" w:type="pct"/>
            <w:tcBorders>
              <w:top w:val="nil"/>
              <w:left w:val="nil"/>
              <w:bottom w:val="nil"/>
              <w:right w:val="nil"/>
            </w:tcBorders>
            <w:shd w:val="clear" w:color="auto" w:fill="auto"/>
            <w:noWrap/>
            <w:vAlign w:val="bottom"/>
          </w:tcPr>
          <w:p w14:paraId="0C41B88B" w14:textId="34DAAFA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0.029**</w:t>
            </w:r>
          </w:p>
        </w:tc>
        <w:tc>
          <w:tcPr>
            <w:tcW w:w="610" w:type="pct"/>
            <w:tcBorders>
              <w:top w:val="nil"/>
              <w:left w:val="nil"/>
              <w:bottom w:val="nil"/>
              <w:right w:val="nil"/>
            </w:tcBorders>
            <w:shd w:val="clear" w:color="auto" w:fill="auto"/>
            <w:noWrap/>
            <w:vAlign w:val="bottom"/>
          </w:tcPr>
          <w:p w14:paraId="50515987" w14:textId="4491863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0.038</w:t>
            </w:r>
          </w:p>
        </w:tc>
        <w:tc>
          <w:tcPr>
            <w:tcW w:w="610" w:type="pct"/>
            <w:tcBorders>
              <w:top w:val="nil"/>
              <w:left w:val="nil"/>
              <w:bottom w:val="nil"/>
              <w:right w:val="nil"/>
            </w:tcBorders>
            <w:shd w:val="clear" w:color="auto" w:fill="auto"/>
            <w:noWrap/>
            <w:vAlign w:val="bottom"/>
          </w:tcPr>
          <w:p w14:paraId="5BE47040" w14:textId="1DD7B39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0.071</w:t>
            </w:r>
          </w:p>
        </w:tc>
        <w:tc>
          <w:tcPr>
            <w:tcW w:w="674" w:type="pct"/>
            <w:tcBorders>
              <w:top w:val="nil"/>
              <w:left w:val="nil"/>
              <w:bottom w:val="nil"/>
              <w:right w:val="nil"/>
            </w:tcBorders>
            <w:shd w:val="clear" w:color="auto" w:fill="auto"/>
            <w:noWrap/>
            <w:vAlign w:val="bottom"/>
          </w:tcPr>
          <w:p w14:paraId="65B329C7" w14:textId="7710A09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0.201**</w:t>
            </w:r>
          </w:p>
        </w:tc>
        <w:tc>
          <w:tcPr>
            <w:tcW w:w="676" w:type="pct"/>
            <w:tcBorders>
              <w:top w:val="nil"/>
              <w:left w:val="nil"/>
              <w:bottom w:val="nil"/>
              <w:right w:val="nil"/>
            </w:tcBorders>
            <w:shd w:val="clear" w:color="auto" w:fill="auto"/>
            <w:noWrap/>
            <w:vAlign w:val="bottom"/>
          </w:tcPr>
          <w:p w14:paraId="2556B207" w14:textId="53EE5FD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0.053</w:t>
            </w:r>
          </w:p>
        </w:tc>
      </w:tr>
      <w:tr w:rsidR="000735E3" w:rsidRPr="000735E3" w14:paraId="757106FB" w14:textId="77777777" w:rsidTr="000735E3">
        <w:trPr>
          <w:trHeight w:val="20"/>
        </w:trPr>
        <w:tc>
          <w:tcPr>
            <w:tcW w:w="1146" w:type="pct"/>
            <w:tcBorders>
              <w:top w:val="nil"/>
              <w:left w:val="nil"/>
              <w:bottom w:val="nil"/>
              <w:right w:val="nil"/>
            </w:tcBorders>
            <w:shd w:val="clear" w:color="auto" w:fill="auto"/>
            <w:noWrap/>
            <w:vAlign w:val="bottom"/>
            <w:hideMark/>
          </w:tcPr>
          <w:p w14:paraId="1D103093"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11242A48" w14:textId="7ADF3C3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0.029</w:t>
            </w:r>
          </w:p>
        </w:tc>
        <w:tc>
          <w:tcPr>
            <w:tcW w:w="610" w:type="pct"/>
            <w:tcBorders>
              <w:top w:val="nil"/>
              <w:left w:val="nil"/>
              <w:bottom w:val="nil"/>
              <w:right w:val="nil"/>
            </w:tcBorders>
            <w:shd w:val="clear" w:color="auto" w:fill="auto"/>
            <w:noWrap/>
            <w:vAlign w:val="bottom"/>
          </w:tcPr>
          <w:p w14:paraId="3376CC72" w14:textId="611672B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0.013</w:t>
            </w:r>
          </w:p>
        </w:tc>
        <w:tc>
          <w:tcPr>
            <w:tcW w:w="610" w:type="pct"/>
            <w:tcBorders>
              <w:top w:val="nil"/>
              <w:left w:val="nil"/>
              <w:bottom w:val="nil"/>
              <w:right w:val="nil"/>
            </w:tcBorders>
            <w:shd w:val="clear" w:color="auto" w:fill="auto"/>
            <w:noWrap/>
            <w:vAlign w:val="bottom"/>
          </w:tcPr>
          <w:p w14:paraId="6F8E0568" w14:textId="353B6A7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0.023</w:t>
            </w:r>
          </w:p>
        </w:tc>
        <w:tc>
          <w:tcPr>
            <w:tcW w:w="610" w:type="pct"/>
            <w:tcBorders>
              <w:top w:val="nil"/>
              <w:left w:val="nil"/>
              <w:bottom w:val="nil"/>
              <w:right w:val="nil"/>
            </w:tcBorders>
            <w:shd w:val="clear" w:color="auto" w:fill="auto"/>
            <w:noWrap/>
            <w:vAlign w:val="bottom"/>
          </w:tcPr>
          <w:p w14:paraId="36725860" w14:textId="437103F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0.044</w:t>
            </w:r>
          </w:p>
        </w:tc>
        <w:tc>
          <w:tcPr>
            <w:tcW w:w="674" w:type="pct"/>
            <w:tcBorders>
              <w:top w:val="nil"/>
              <w:left w:val="nil"/>
              <w:bottom w:val="nil"/>
              <w:right w:val="nil"/>
            </w:tcBorders>
            <w:shd w:val="clear" w:color="auto" w:fill="auto"/>
            <w:noWrap/>
            <w:vAlign w:val="bottom"/>
          </w:tcPr>
          <w:p w14:paraId="5BB51C70" w14:textId="61B3052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0.102</w:t>
            </w:r>
          </w:p>
        </w:tc>
        <w:tc>
          <w:tcPr>
            <w:tcW w:w="676" w:type="pct"/>
            <w:tcBorders>
              <w:top w:val="nil"/>
              <w:left w:val="nil"/>
              <w:bottom w:val="nil"/>
              <w:right w:val="nil"/>
            </w:tcBorders>
            <w:shd w:val="clear" w:color="auto" w:fill="auto"/>
            <w:noWrap/>
            <w:vAlign w:val="bottom"/>
          </w:tcPr>
          <w:p w14:paraId="4E10CC0E" w14:textId="2BD9C03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0.155</w:t>
            </w:r>
          </w:p>
        </w:tc>
      </w:tr>
      <w:tr w:rsidR="000735E3" w:rsidRPr="00646F36" w14:paraId="63C0422D" w14:textId="77777777" w:rsidTr="000735E3">
        <w:trPr>
          <w:trHeight w:val="20"/>
        </w:trPr>
        <w:tc>
          <w:tcPr>
            <w:tcW w:w="1146" w:type="pct"/>
            <w:tcBorders>
              <w:top w:val="nil"/>
              <w:left w:val="nil"/>
              <w:bottom w:val="nil"/>
              <w:right w:val="nil"/>
            </w:tcBorders>
            <w:shd w:val="clear" w:color="auto" w:fill="auto"/>
            <w:hideMark/>
          </w:tcPr>
          <w:p w14:paraId="0C25B97B"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Higher Education</w:t>
            </w:r>
          </w:p>
        </w:tc>
        <w:tc>
          <w:tcPr>
            <w:tcW w:w="674" w:type="pct"/>
            <w:tcBorders>
              <w:top w:val="nil"/>
              <w:left w:val="nil"/>
              <w:bottom w:val="nil"/>
              <w:right w:val="nil"/>
            </w:tcBorders>
            <w:shd w:val="clear" w:color="auto" w:fill="auto"/>
            <w:noWrap/>
            <w:vAlign w:val="bottom"/>
          </w:tcPr>
          <w:p w14:paraId="1E49658C" w14:textId="5BB02BB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0.064**</w:t>
            </w:r>
          </w:p>
        </w:tc>
        <w:tc>
          <w:tcPr>
            <w:tcW w:w="610" w:type="pct"/>
            <w:tcBorders>
              <w:top w:val="nil"/>
              <w:left w:val="nil"/>
              <w:bottom w:val="nil"/>
              <w:right w:val="nil"/>
            </w:tcBorders>
            <w:shd w:val="clear" w:color="auto" w:fill="auto"/>
            <w:noWrap/>
            <w:vAlign w:val="bottom"/>
          </w:tcPr>
          <w:p w14:paraId="00C978BD" w14:textId="108AD41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0.015</w:t>
            </w:r>
          </w:p>
        </w:tc>
        <w:tc>
          <w:tcPr>
            <w:tcW w:w="610" w:type="pct"/>
            <w:tcBorders>
              <w:top w:val="nil"/>
              <w:left w:val="nil"/>
              <w:bottom w:val="nil"/>
              <w:right w:val="nil"/>
            </w:tcBorders>
            <w:shd w:val="clear" w:color="auto" w:fill="auto"/>
            <w:noWrap/>
            <w:vAlign w:val="bottom"/>
          </w:tcPr>
          <w:p w14:paraId="4C29AC12" w14:textId="38F8504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0.057**</w:t>
            </w:r>
          </w:p>
        </w:tc>
        <w:tc>
          <w:tcPr>
            <w:tcW w:w="610" w:type="pct"/>
            <w:tcBorders>
              <w:top w:val="nil"/>
              <w:left w:val="nil"/>
              <w:bottom w:val="nil"/>
              <w:right w:val="nil"/>
            </w:tcBorders>
            <w:shd w:val="clear" w:color="auto" w:fill="auto"/>
            <w:noWrap/>
            <w:vAlign w:val="bottom"/>
          </w:tcPr>
          <w:p w14:paraId="75BB1E55" w14:textId="292D65C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0.084*</w:t>
            </w:r>
          </w:p>
        </w:tc>
        <w:tc>
          <w:tcPr>
            <w:tcW w:w="674" w:type="pct"/>
            <w:tcBorders>
              <w:top w:val="nil"/>
              <w:left w:val="nil"/>
              <w:bottom w:val="nil"/>
              <w:right w:val="nil"/>
            </w:tcBorders>
            <w:shd w:val="clear" w:color="auto" w:fill="auto"/>
            <w:noWrap/>
            <w:vAlign w:val="bottom"/>
          </w:tcPr>
          <w:p w14:paraId="2687887C" w14:textId="4DA73C6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0.187</w:t>
            </w:r>
          </w:p>
        </w:tc>
        <w:tc>
          <w:tcPr>
            <w:tcW w:w="676" w:type="pct"/>
            <w:tcBorders>
              <w:top w:val="nil"/>
              <w:left w:val="nil"/>
              <w:bottom w:val="nil"/>
              <w:right w:val="nil"/>
            </w:tcBorders>
            <w:shd w:val="clear" w:color="auto" w:fill="auto"/>
            <w:noWrap/>
            <w:vAlign w:val="bottom"/>
          </w:tcPr>
          <w:p w14:paraId="388BBC36" w14:textId="23C5B1A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0.144</w:t>
            </w:r>
          </w:p>
        </w:tc>
      </w:tr>
      <w:tr w:rsidR="000735E3" w:rsidRPr="000735E3" w14:paraId="5A34BA90" w14:textId="77777777" w:rsidTr="000735E3">
        <w:trPr>
          <w:trHeight w:val="20"/>
        </w:trPr>
        <w:tc>
          <w:tcPr>
            <w:tcW w:w="1146" w:type="pct"/>
            <w:tcBorders>
              <w:top w:val="nil"/>
              <w:left w:val="nil"/>
              <w:bottom w:val="nil"/>
              <w:right w:val="nil"/>
            </w:tcBorders>
            <w:shd w:val="clear" w:color="auto" w:fill="auto"/>
            <w:noWrap/>
            <w:vAlign w:val="bottom"/>
            <w:hideMark/>
          </w:tcPr>
          <w:p w14:paraId="61B79B07"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5BC33DD9" w14:textId="723C68B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0.031</w:t>
            </w:r>
          </w:p>
        </w:tc>
        <w:tc>
          <w:tcPr>
            <w:tcW w:w="610" w:type="pct"/>
            <w:tcBorders>
              <w:top w:val="nil"/>
              <w:left w:val="nil"/>
              <w:bottom w:val="nil"/>
              <w:right w:val="nil"/>
            </w:tcBorders>
            <w:shd w:val="clear" w:color="auto" w:fill="auto"/>
            <w:noWrap/>
            <w:vAlign w:val="bottom"/>
          </w:tcPr>
          <w:p w14:paraId="6C2893A8" w14:textId="128B398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0.014</w:t>
            </w:r>
          </w:p>
        </w:tc>
        <w:tc>
          <w:tcPr>
            <w:tcW w:w="610" w:type="pct"/>
            <w:tcBorders>
              <w:top w:val="nil"/>
              <w:left w:val="nil"/>
              <w:bottom w:val="nil"/>
              <w:right w:val="nil"/>
            </w:tcBorders>
            <w:shd w:val="clear" w:color="auto" w:fill="auto"/>
            <w:noWrap/>
            <w:vAlign w:val="bottom"/>
          </w:tcPr>
          <w:p w14:paraId="6BB58E76" w14:textId="022A0D1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0.025</w:t>
            </w:r>
          </w:p>
        </w:tc>
        <w:tc>
          <w:tcPr>
            <w:tcW w:w="610" w:type="pct"/>
            <w:tcBorders>
              <w:top w:val="nil"/>
              <w:left w:val="nil"/>
              <w:bottom w:val="nil"/>
              <w:right w:val="nil"/>
            </w:tcBorders>
            <w:shd w:val="clear" w:color="auto" w:fill="auto"/>
            <w:noWrap/>
            <w:vAlign w:val="bottom"/>
          </w:tcPr>
          <w:p w14:paraId="2F273D94" w14:textId="2243FAA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0.05</w:t>
            </w:r>
          </w:p>
        </w:tc>
        <w:tc>
          <w:tcPr>
            <w:tcW w:w="674" w:type="pct"/>
            <w:tcBorders>
              <w:top w:val="nil"/>
              <w:left w:val="nil"/>
              <w:bottom w:val="nil"/>
              <w:right w:val="nil"/>
            </w:tcBorders>
            <w:shd w:val="clear" w:color="auto" w:fill="auto"/>
            <w:noWrap/>
            <w:vAlign w:val="bottom"/>
          </w:tcPr>
          <w:p w14:paraId="0F722239" w14:textId="24F48CD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0.12</w:t>
            </w:r>
          </w:p>
        </w:tc>
        <w:tc>
          <w:tcPr>
            <w:tcW w:w="676" w:type="pct"/>
            <w:tcBorders>
              <w:top w:val="nil"/>
              <w:left w:val="nil"/>
              <w:bottom w:val="nil"/>
              <w:right w:val="nil"/>
            </w:tcBorders>
            <w:shd w:val="clear" w:color="auto" w:fill="auto"/>
            <w:noWrap/>
            <w:vAlign w:val="bottom"/>
          </w:tcPr>
          <w:p w14:paraId="289794D0" w14:textId="54CC550B"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0.189</w:t>
            </w:r>
          </w:p>
        </w:tc>
      </w:tr>
      <w:tr w:rsidR="000735E3" w:rsidRPr="00646F36" w14:paraId="59219A3B" w14:textId="77777777" w:rsidTr="000735E3">
        <w:trPr>
          <w:trHeight w:val="20"/>
        </w:trPr>
        <w:tc>
          <w:tcPr>
            <w:tcW w:w="1146" w:type="pct"/>
            <w:tcBorders>
              <w:top w:val="nil"/>
              <w:left w:val="nil"/>
              <w:bottom w:val="nil"/>
              <w:right w:val="nil"/>
            </w:tcBorders>
            <w:shd w:val="clear" w:color="auto" w:fill="auto"/>
            <w:noWrap/>
            <w:vAlign w:val="bottom"/>
            <w:hideMark/>
          </w:tcPr>
          <w:p w14:paraId="33E61FB3"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NVQ 3- GCE A</w:t>
            </w:r>
          </w:p>
        </w:tc>
        <w:tc>
          <w:tcPr>
            <w:tcW w:w="674" w:type="pct"/>
            <w:tcBorders>
              <w:top w:val="nil"/>
              <w:left w:val="nil"/>
              <w:bottom w:val="nil"/>
              <w:right w:val="nil"/>
            </w:tcBorders>
            <w:shd w:val="clear" w:color="auto" w:fill="auto"/>
            <w:noWrap/>
            <w:vAlign w:val="bottom"/>
          </w:tcPr>
          <w:p w14:paraId="1E5AD365" w14:textId="3DE77CA2"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-0.038</w:t>
            </w:r>
          </w:p>
        </w:tc>
        <w:tc>
          <w:tcPr>
            <w:tcW w:w="610" w:type="pct"/>
            <w:tcBorders>
              <w:top w:val="nil"/>
              <w:left w:val="nil"/>
              <w:bottom w:val="nil"/>
              <w:right w:val="nil"/>
            </w:tcBorders>
            <w:shd w:val="clear" w:color="auto" w:fill="auto"/>
            <w:noWrap/>
            <w:vAlign w:val="bottom"/>
          </w:tcPr>
          <w:p w14:paraId="1D6C9A77" w14:textId="74A5336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0.004</w:t>
            </w:r>
          </w:p>
        </w:tc>
        <w:tc>
          <w:tcPr>
            <w:tcW w:w="610" w:type="pct"/>
            <w:tcBorders>
              <w:top w:val="nil"/>
              <w:left w:val="nil"/>
              <w:bottom w:val="nil"/>
              <w:right w:val="nil"/>
            </w:tcBorders>
            <w:shd w:val="clear" w:color="auto" w:fill="auto"/>
            <w:noWrap/>
            <w:vAlign w:val="bottom"/>
          </w:tcPr>
          <w:p w14:paraId="6A6E99B9" w14:textId="00B30856"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0.028</w:t>
            </w:r>
          </w:p>
        </w:tc>
        <w:tc>
          <w:tcPr>
            <w:tcW w:w="610" w:type="pct"/>
            <w:tcBorders>
              <w:top w:val="nil"/>
              <w:left w:val="nil"/>
              <w:bottom w:val="nil"/>
              <w:right w:val="nil"/>
            </w:tcBorders>
            <w:shd w:val="clear" w:color="auto" w:fill="auto"/>
            <w:noWrap/>
            <w:vAlign w:val="bottom"/>
          </w:tcPr>
          <w:p w14:paraId="300C4DE3" w14:textId="6F538B01"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-0.041</w:t>
            </w:r>
          </w:p>
        </w:tc>
        <w:tc>
          <w:tcPr>
            <w:tcW w:w="674" w:type="pct"/>
            <w:tcBorders>
              <w:top w:val="nil"/>
              <w:left w:val="nil"/>
              <w:bottom w:val="nil"/>
              <w:right w:val="nil"/>
            </w:tcBorders>
            <w:shd w:val="clear" w:color="auto" w:fill="auto"/>
            <w:noWrap/>
            <w:vAlign w:val="bottom"/>
          </w:tcPr>
          <w:p w14:paraId="6314C4B8" w14:textId="7308954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-0.167*</w:t>
            </w:r>
          </w:p>
        </w:tc>
        <w:tc>
          <w:tcPr>
            <w:tcW w:w="676" w:type="pct"/>
            <w:tcBorders>
              <w:top w:val="nil"/>
              <w:left w:val="nil"/>
              <w:bottom w:val="nil"/>
              <w:right w:val="nil"/>
            </w:tcBorders>
            <w:shd w:val="clear" w:color="auto" w:fill="auto"/>
            <w:noWrap/>
            <w:vAlign w:val="bottom"/>
          </w:tcPr>
          <w:p w14:paraId="2ECBBD15" w14:textId="2B54C4F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-0.201</w:t>
            </w:r>
          </w:p>
        </w:tc>
      </w:tr>
      <w:tr w:rsidR="000735E3" w:rsidRPr="000735E3" w14:paraId="2F86AD37" w14:textId="77777777" w:rsidTr="000735E3">
        <w:trPr>
          <w:trHeight w:val="20"/>
        </w:trPr>
        <w:tc>
          <w:tcPr>
            <w:tcW w:w="1146" w:type="pct"/>
            <w:tcBorders>
              <w:top w:val="nil"/>
              <w:left w:val="nil"/>
              <w:bottom w:val="nil"/>
              <w:right w:val="nil"/>
            </w:tcBorders>
            <w:shd w:val="clear" w:color="auto" w:fill="auto"/>
            <w:noWrap/>
            <w:vAlign w:val="bottom"/>
            <w:hideMark/>
          </w:tcPr>
          <w:p w14:paraId="7926ADD6"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5BE7D3DD" w14:textId="7D47D0B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w:t>
            </w:r>
            <w:r>
              <w:rPr>
                <w:rFonts w:ascii="Garamond" w:hAnsi="Garamond"/>
                <w:i/>
                <w:color w:val="000000"/>
              </w:rPr>
              <w:t>0</w:t>
            </w:r>
          </w:p>
        </w:tc>
        <w:tc>
          <w:tcPr>
            <w:tcW w:w="610" w:type="pct"/>
            <w:tcBorders>
              <w:top w:val="nil"/>
              <w:left w:val="nil"/>
              <w:bottom w:val="nil"/>
              <w:right w:val="nil"/>
            </w:tcBorders>
            <w:shd w:val="clear" w:color="auto" w:fill="auto"/>
            <w:noWrap/>
            <w:vAlign w:val="bottom"/>
          </w:tcPr>
          <w:p w14:paraId="67B7BF7E" w14:textId="23E35677"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0.014</w:t>
            </w:r>
          </w:p>
        </w:tc>
        <w:tc>
          <w:tcPr>
            <w:tcW w:w="610" w:type="pct"/>
            <w:tcBorders>
              <w:top w:val="nil"/>
              <w:left w:val="nil"/>
              <w:bottom w:val="nil"/>
              <w:right w:val="nil"/>
            </w:tcBorders>
            <w:shd w:val="clear" w:color="auto" w:fill="auto"/>
            <w:noWrap/>
            <w:vAlign w:val="bottom"/>
          </w:tcPr>
          <w:p w14:paraId="0F3A286E" w14:textId="6378EB45"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0.025</w:t>
            </w:r>
          </w:p>
        </w:tc>
        <w:tc>
          <w:tcPr>
            <w:tcW w:w="610" w:type="pct"/>
            <w:tcBorders>
              <w:top w:val="nil"/>
              <w:left w:val="nil"/>
              <w:bottom w:val="nil"/>
              <w:right w:val="nil"/>
            </w:tcBorders>
            <w:shd w:val="clear" w:color="auto" w:fill="auto"/>
            <w:noWrap/>
            <w:vAlign w:val="bottom"/>
          </w:tcPr>
          <w:p w14:paraId="452DCDC4" w14:textId="30E6A051"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0.045</w:t>
            </w:r>
          </w:p>
        </w:tc>
        <w:tc>
          <w:tcPr>
            <w:tcW w:w="674" w:type="pct"/>
            <w:tcBorders>
              <w:top w:val="nil"/>
              <w:left w:val="nil"/>
              <w:bottom w:val="nil"/>
              <w:right w:val="nil"/>
            </w:tcBorders>
            <w:shd w:val="clear" w:color="auto" w:fill="auto"/>
            <w:noWrap/>
            <w:vAlign w:val="bottom"/>
          </w:tcPr>
          <w:p w14:paraId="093BAED3" w14:textId="1AA10CA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0.093</w:t>
            </w:r>
          </w:p>
        </w:tc>
        <w:tc>
          <w:tcPr>
            <w:tcW w:w="676" w:type="pct"/>
            <w:tcBorders>
              <w:top w:val="nil"/>
              <w:left w:val="nil"/>
              <w:bottom w:val="nil"/>
              <w:right w:val="nil"/>
            </w:tcBorders>
            <w:shd w:val="clear" w:color="auto" w:fill="auto"/>
            <w:noWrap/>
            <w:vAlign w:val="bottom"/>
          </w:tcPr>
          <w:p w14:paraId="51AE873A" w14:textId="2F6E6816"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0.142</w:t>
            </w:r>
          </w:p>
        </w:tc>
      </w:tr>
      <w:tr w:rsidR="000735E3" w:rsidRPr="00646F36" w14:paraId="4E07CF15" w14:textId="77777777" w:rsidTr="000735E3">
        <w:trPr>
          <w:trHeight w:val="20"/>
        </w:trPr>
        <w:tc>
          <w:tcPr>
            <w:tcW w:w="1146" w:type="pct"/>
            <w:tcBorders>
              <w:top w:val="nil"/>
              <w:left w:val="nil"/>
              <w:bottom w:val="nil"/>
              <w:right w:val="nil"/>
            </w:tcBorders>
            <w:shd w:val="clear" w:color="auto" w:fill="auto"/>
            <w:hideMark/>
          </w:tcPr>
          <w:p w14:paraId="5CAFD518"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NVQ 2 – GCE 0</w:t>
            </w:r>
          </w:p>
        </w:tc>
        <w:tc>
          <w:tcPr>
            <w:tcW w:w="674" w:type="pct"/>
            <w:tcBorders>
              <w:top w:val="nil"/>
              <w:left w:val="nil"/>
              <w:bottom w:val="nil"/>
              <w:right w:val="nil"/>
            </w:tcBorders>
            <w:shd w:val="clear" w:color="auto" w:fill="auto"/>
            <w:noWrap/>
            <w:vAlign w:val="bottom"/>
          </w:tcPr>
          <w:p w14:paraId="608EE9CF" w14:textId="399BE78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-0.027</w:t>
            </w:r>
          </w:p>
        </w:tc>
        <w:tc>
          <w:tcPr>
            <w:tcW w:w="610" w:type="pct"/>
            <w:tcBorders>
              <w:top w:val="nil"/>
              <w:left w:val="nil"/>
              <w:bottom w:val="nil"/>
              <w:right w:val="nil"/>
            </w:tcBorders>
            <w:shd w:val="clear" w:color="auto" w:fill="auto"/>
            <w:noWrap/>
            <w:vAlign w:val="bottom"/>
          </w:tcPr>
          <w:p w14:paraId="65ACA036" w14:textId="2D0E60E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0.044***</w:t>
            </w:r>
          </w:p>
        </w:tc>
        <w:tc>
          <w:tcPr>
            <w:tcW w:w="610" w:type="pct"/>
            <w:tcBorders>
              <w:top w:val="nil"/>
              <w:left w:val="nil"/>
              <w:bottom w:val="nil"/>
              <w:right w:val="nil"/>
            </w:tcBorders>
            <w:shd w:val="clear" w:color="auto" w:fill="auto"/>
            <w:noWrap/>
            <w:vAlign w:val="bottom"/>
          </w:tcPr>
          <w:p w14:paraId="2A8B14AE" w14:textId="1BA8CB4D"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0.039*</w:t>
            </w:r>
          </w:p>
        </w:tc>
        <w:tc>
          <w:tcPr>
            <w:tcW w:w="610" w:type="pct"/>
            <w:tcBorders>
              <w:top w:val="nil"/>
              <w:left w:val="nil"/>
              <w:bottom w:val="nil"/>
              <w:right w:val="nil"/>
            </w:tcBorders>
            <w:shd w:val="clear" w:color="auto" w:fill="auto"/>
            <w:noWrap/>
            <w:vAlign w:val="bottom"/>
          </w:tcPr>
          <w:p w14:paraId="34A5219E" w14:textId="358BF7B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-0.058</w:t>
            </w:r>
          </w:p>
        </w:tc>
        <w:tc>
          <w:tcPr>
            <w:tcW w:w="674" w:type="pct"/>
            <w:tcBorders>
              <w:top w:val="nil"/>
              <w:left w:val="nil"/>
              <w:bottom w:val="nil"/>
              <w:right w:val="nil"/>
            </w:tcBorders>
            <w:shd w:val="clear" w:color="auto" w:fill="auto"/>
            <w:noWrap/>
            <w:vAlign w:val="bottom"/>
          </w:tcPr>
          <w:p w14:paraId="3E076C09" w14:textId="55AB8199"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-0.178**</w:t>
            </w:r>
          </w:p>
        </w:tc>
        <w:tc>
          <w:tcPr>
            <w:tcW w:w="676" w:type="pct"/>
            <w:tcBorders>
              <w:top w:val="nil"/>
              <w:left w:val="nil"/>
              <w:bottom w:val="nil"/>
              <w:right w:val="nil"/>
            </w:tcBorders>
            <w:shd w:val="clear" w:color="auto" w:fill="auto"/>
            <w:noWrap/>
            <w:vAlign w:val="bottom"/>
          </w:tcPr>
          <w:p w14:paraId="3DC8739B" w14:textId="2F979B0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-0.185</w:t>
            </w:r>
          </w:p>
        </w:tc>
      </w:tr>
      <w:tr w:rsidR="000735E3" w:rsidRPr="000735E3" w14:paraId="19AD21E0" w14:textId="77777777" w:rsidTr="000735E3">
        <w:trPr>
          <w:trHeight w:val="20"/>
        </w:trPr>
        <w:tc>
          <w:tcPr>
            <w:tcW w:w="1146" w:type="pct"/>
            <w:tcBorders>
              <w:top w:val="nil"/>
              <w:left w:val="nil"/>
              <w:bottom w:val="nil"/>
              <w:right w:val="nil"/>
            </w:tcBorders>
            <w:shd w:val="clear" w:color="auto" w:fill="auto"/>
            <w:noWrap/>
            <w:vAlign w:val="bottom"/>
            <w:hideMark/>
          </w:tcPr>
          <w:p w14:paraId="1CA0474D"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4BDC1350" w14:textId="66244512"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0.025</w:t>
            </w:r>
          </w:p>
        </w:tc>
        <w:tc>
          <w:tcPr>
            <w:tcW w:w="610" w:type="pct"/>
            <w:tcBorders>
              <w:top w:val="nil"/>
              <w:left w:val="nil"/>
              <w:bottom w:val="nil"/>
              <w:right w:val="nil"/>
            </w:tcBorders>
            <w:shd w:val="clear" w:color="auto" w:fill="auto"/>
            <w:noWrap/>
            <w:vAlign w:val="bottom"/>
          </w:tcPr>
          <w:p w14:paraId="54DDC2B2" w14:textId="187AAD57"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0.012</w:t>
            </w:r>
          </w:p>
        </w:tc>
        <w:tc>
          <w:tcPr>
            <w:tcW w:w="610" w:type="pct"/>
            <w:tcBorders>
              <w:top w:val="nil"/>
              <w:left w:val="nil"/>
              <w:bottom w:val="nil"/>
              <w:right w:val="nil"/>
            </w:tcBorders>
            <w:shd w:val="clear" w:color="auto" w:fill="auto"/>
            <w:noWrap/>
            <w:vAlign w:val="bottom"/>
          </w:tcPr>
          <w:p w14:paraId="5A831050" w14:textId="3558A85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0.021</w:t>
            </w:r>
          </w:p>
        </w:tc>
        <w:tc>
          <w:tcPr>
            <w:tcW w:w="610" w:type="pct"/>
            <w:tcBorders>
              <w:top w:val="nil"/>
              <w:left w:val="nil"/>
              <w:bottom w:val="nil"/>
              <w:right w:val="nil"/>
            </w:tcBorders>
            <w:shd w:val="clear" w:color="auto" w:fill="auto"/>
            <w:noWrap/>
            <w:vAlign w:val="bottom"/>
          </w:tcPr>
          <w:p w14:paraId="7115AB3F" w14:textId="253FD5BF"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0.036</w:t>
            </w:r>
          </w:p>
        </w:tc>
        <w:tc>
          <w:tcPr>
            <w:tcW w:w="674" w:type="pct"/>
            <w:tcBorders>
              <w:top w:val="nil"/>
              <w:left w:val="nil"/>
              <w:bottom w:val="nil"/>
              <w:right w:val="nil"/>
            </w:tcBorders>
            <w:shd w:val="clear" w:color="auto" w:fill="auto"/>
            <w:noWrap/>
            <w:vAlign w:val="bottom"/>
          </w:tcPr>
          <w:p w14:paraId="67577616" w14:textId="1CF7D1B0"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0.075</w:t>
            </w:r>
          </w:p>
        </w:tc>
        <w:tc>
          <w:tcPr>
            <w:tcW w:w="676" w:type="pct"/>
            <w:tcBorders>
              <w:top w:val="nil"/>
              <w:left w:val="nil"/>
              <w:bottom w:val="nil"/>
              <w:right w:val="nil"/>
            </w:tcBorders>
            <w:shd w:val="clear" w:color="auto" w:fill="auto"/>
            <w:noWrap/>
            <w:vAlign w:val="bottom"/>
          </w:tcPr>
          <w:p w14:paraId="215A20E8" w14:textId="6A34037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0.113</w:t>
            </w:r>
          </w:p>
        </w:tc>
      </w:tr>
      <w:tr w:rsidR="000735E3" w:rsidRPr="00646F36" w14:paraId="434EBBB6" w14:textId="77777777" w:rsidTr="000735E3">
        <w:trPr>
          <w:trHeight w:val="20"/>
        </w:trPr>
        <w:tc>
          <w:tcPr>
            <w:tcW w:w="1146" w:type="pct"/>
            <w:tcBorders>
              <w:top w:val="nil"/>
              <w:left w:val="nil"/>
              <w:bottom w:val="nil"/>
              <w:right w:val="nil"/>
            </w:tcBorders>
            <w:shd w:val="clear" w:color="auto" w:fill="auto"/>
            <w:hideMark/>
          </w:tcPr>
          <w:p w14:paraId="21F94DB1"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NVQ1 – CSE</w:t>
            </w:r>
          </w:p>
        </w:tc>
        <w:tc>
          <w:tcPr>
            <w:tcW w:w="674" w:type="pct"/>
            <w:tcBorders>
              <w:top w:val="nil"/>
              <w:left w:val="nil"/>
              <w:bottom w:val="nil"/>
              <w:right w:val="nil"/>
            </w:tcBorders>
            <w:shd w:val="clear" w:color="auto" w:fill="auto"/>
            <w:noWrap/>
            <w:vAlign w:val="bottom"/>
          </w:tcPr>
          <w:p w14:paraId="7426456E" w14:textId="68768EE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-0.035</w:t>
            </w:r>
          </w:p>
        </w:tc>
        <w:tc>
          <w:tcPr>
            <w:tcW w:w="610" w:type="pct"/>
            <w:tcBorders>
              <w:top w:val="nil"/>
              <w:left w:val="nil"/>
              <w:bottom w:val="nil"/>
              <w:right w:val="nil"/>
            </w:tcBorders>
            <w:shd w:val="clear" w:color="auto" w:fill="auto"/>
            <w:noWrap/>
            <w:vAlign w:val="bottom"/>
          </w:tcPr>
          <w:p w14:paraId="7B428DC2" w14:textId="2754179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0.021</w:t>
            </w:r>
          </w:p>
        </w:tc>
        <w:tc>
          <w:tcPr>
            <w:tcW w:w="610" w:type="pct"/>
            <w:tcBorders>
              <w:top w:val="nil"/>
              <w:left w:val="nil"/>
              <w:bottom w:val="nil"/>
              <w:right w:val="nil"/>
            </w:tcBorders>
            <w:shd w:val="clear" w:color="auto" w:fill="auto"/>
            <w:noWrap/>
            <w:vAlign w:val="bottom"/>
          </w:tcPr>
          <w:p w14:paraId="434554F8" w14:textId="601AE5FB"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0.048</w:t>
            </w:r>
          </w:p>
        </w:tc>
        <w:tc>
          <w:tcPr>
            <w:tcW w:w="610" w:type="pct"/>
            <w:tcBorders>
              <w:top w:val="nil"/>
              <w:left w:val="nil"/>
              <w:bottom w:val="nil"/>
              <w:right w:val="nil"/>
            </w:tcBorders>
            <w:shd w:val="clear" w:color="auto" w:fill="auto"/>
            <w:noWrap/>
            <w:vAlign w:val="bottom"/>
          </w:tcPr>
          <w:p w14:paraId="55D993EC" w14:textId="02F5C95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-0.014</w:t>
            </w:r>
          </w:p>
        </w:tc>
        <w:tc>
          <w:tcPr>
            <w:tcW w:w="674" w:type="pct"/>
            <w:tcBorders>
              <w:top w:val="nil"/>
              <w:left w:val="nil"/>
              <w:bottom w:val="nil"/>
              <w:right w:val="nil"/>
            </w:tcBorders>
            <w:shd w:val="clear" w:color="auto" w:fill="auto"/>
            <w:noWrap/>
            <w:vAlign w:val="bottom"/>
          </w:tcPr>
          <w:p w14:paraId="170C98CF" w14:textId="2A3AE64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-0.036</w:t>
            </w:r>
          </w:p>
        </w:tc>
        <w:tc>
          <w:tcPr>
            <w:tcW w:w="676" w:type="pct"/>
            <w:tcBorders>
              <w:top w:val="nil"/>
              <w:left w:val="nil"/>
              <w:bottom w:val="nil"/>
              <w:right w:val="nil"/>
            </w:tcBorders>
            <w:shd w:val="clear" w:color="auto" w:fill="auto"/>
            <w:noWrap/>
            <w:vAlign w:val="bottom"/>
          </w:tcPr>
          <w:p w14:paraId="594EE908" w14:textId="30A1F8E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0.021</w:t>
            </w:r>
          </w:p>
        </w:tc>
      </w:tr>
      <w:tr w:rsidR="000735E3" w:rsidRPr="000735E3" w14:paraId="43CCF007" w14:textId="77777777" w:rsidTr="000735E3">
        <w:trPr>
          <w:trHeight w:val="20"/>
        </w:trPr>
        <w:tc>
          <w:tcPr>
            <w:tcW w:w="1146" w:type="pct"/>
            <w:tcBorders>
              <w:top w:val="nil"/>
              <w:left w:val="nil"/>
              <w:bottom w:val="nil"/>
              <w:right w:val="nil"/>
            </w:tcBorders>
            <w:shd w:val="clear" w:color="auto" w:fill="auto"/>
            <w:noWrap/>
            <w:vAlign w:val="bottom"/>
            <w:hideMark/>
          </w:tcPr>
          <w:p w14:paraId="3E840CDC" w14:textId="77777777" w:rsidR="000735E3" w:rsidRPr="000735E3" w:rsidRDefault="000735E3" w:rsidP="00415BCE">
            <w:pPr>
              <w:spacing w:after="0" w:line="240" w:lineRule="auto"/>
              <w:rPr>
                <w:rFonts w:ascii="Garamond" w:eastAsia="Times New Roman" w:hAnsi="Garamond" w:cs="Times New Roman"/>
                <w:i/>
                <w:color w:val="000000"/>
                <w:sz w:val="20"/>
                <w:szCs w:val="20"/>
                <w:lang w:eastAsia="it-IT"/>
              </w:rPr>
            </w:pPr>
          </w:p>
        </w:tc>
        <w:tc>
          <w:tcPr>
            <w:tcW w:w="674" w:type="pct"/>
            <w:tcBorders>
              <w:top w:val="nil"/>
              <w:left w:val="nil"/>
              <w:bottom w:val="nil"/>
              <w:right w:val="nil"/>
            </w:tcBorders>
            <w:shd w:val="clear" w:color="auto" w:fill="auto"/>
            <w:noWrap/>
            <w:vAlign w:val="bottom"/>
          </w:tcPr>
          <w:p w14:paraId="6AEE224B" w14:textId="50D7B4F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0.042</w:t>
            </w:r>
          </w:p>
        </w:tc>
        <w:tc>
          <w:tcPr>
            <w:tcW w:w="610" w:type="pct"/>
            <w:tcBorders>
              <w:top w:val="nil"/>
              <w:left w:val="nil"/>
              <w:bottom w:val="nil"/>
              <w:right w:val="nil"/>
            </w:tcBorders>
            <w:shd w:val="clear" w:color="auto" w:fill="auto"/>
            <w:noWrap/>
            <w:vAlign w:val="bottom"/>
          </w:tcPr>
          <w:p w14:paraId="4CA6974C" w14:textId="7E45BD1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0.019</w:t>
            </w:r>
          </w:p>
        </w:tc>
        <w:tc>
          <w:tcPr>
            <w:tcW w:w="610" w:type="pct"/>
            <w:tcBorders>
              <w:top w:val="nil"/>
              <w:left w:val="nil"/>
              <w:bottom w:val="nil"/>
              <w:right w:val="nil"/>
            </w:tcBorders>
            <w:shd w:val="clear" w:color="auto" w:fill="auto"/>
            <w:noWrap/>
            <w:vAlign w:val="bottom"/>
          </w:tcPr>
          <w:p w14:paraId="2E0728C9" w14:textId="5474345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0.033</w:t>
            </w:r>
          </w:p>
        </w:tc>
        <w:tc>
          <w:tcPr>
            <w:tcW w:w="610" w:type="pct"/>
            <w:tcBorders>
              <w:top w:val="nil"/>
              <w:left w:val="nil"/>
              <w:bottom w:val="nil"/>
              <w:right w:val="nil"/>
            </w:tcBorders>
            <w:shd w:val="clear" w:color="auto" w:fill="auto"/>
            <w:noWrap/>
            <w:vAlign w:val="bottom"/>
          </w:tcPr>
          <w:p w14:paraId="63B46941" w14:textId="090983F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0.061</w:t>
            </w:r>
          </w:p>
        </w:tc>
        <w:tc>
          <w:tcPr>
            <w:tcW w:w="674" w:type="pct"/>
            <w:tcBorders>
              <w:top w:val="nil"/>
              <w:left w:val="nil"/>
              <w:bottom w:val="nil"/>
              <w:right w:val="nil"/>
            </w:tcBorders>
            <w:shd w:val="clear" w:color="auto" w:fill="auto"/>
            <w:noWrap/>
            <w:vAlign w:val="bottom"/>
          </w:tcPr>
          <w:p w14:paraId="1B36D255" w14:textId="4D186CB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0.141</w:t>
            </w:r>
          </w:p>
        </w:tc>
        <w:tc>
          <w:tcPr>
            <w:tcW w:w="676" w:type="pct"/>
            <w:tcBorders>
              <w:top w:val="nil"/>
              <w:left w:val="nil"/>
              <w:bottom w:val="nil"/>
              <w:right w:val="nil"/>
            </w:tcBorders>
            <w:shd w:val="clear" w:color="auto" w:fill="auto"/>
            <w:noWrap/>
            <w:vAlign w:val="bottom"/>
          </w:tcPr>
          <w:p w14:paraId="212FDA0D" w14:textId="3D0F044A"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0.206</w:t>
            </w:r>
          </w:p>
        </w:tc>
      </w:tr>
      <w:tr w:rsidR="000735E3" w:rsidRPr="00646F36" w14:paraId="026A3836" w14:textId="77777777" w:rsidTr="000735E3">
        <w:trPr>
          <w:trHeight w:val="20"/>
        </w:trPr>
        <w:tc>
          <w:tcPr>
            <w:tcW w:w="1146" w:type="pct"/>
            <w:tcBorders>
              <w:top w:val="nil"/>
              <w:left w:val="nil"/>
              <w:bottom w:val="nil"/>
              <w:right w:val="nil"/>
            </w:tcBorders>
            <w:shd w:val="clear" w:color="auto" w:fill="auto"/>
            <w:hideMark/>
          </w:tcPr>
          <w:p w14:paraId="28210513" w14:textId="77777777" w:rsidR="000735E3" w:rsidRPr="00BC22E8" w:rsidRDefault="000735E3" w:rsidP="00BC22E8">
            <w:pPr>
              <w:spacing w:after="0" w:line="240" w:lineRule="auto"/>
              <w:rPr>
                <w:rFonts w:ascii="Garamond" w:eastAsia="Times New Roman" w:hAnsi="Garamond" w:cs="Times New Roman"/>
                <w:color w:val="000000"/>
                <w:sz w:val="20"/>
                <w:szCs w:val="20"/>
                <w:lang w:eastAsia="it-IT"/>
              </w:rPr>
            </w:pPr>
            <w:r w:rsidRPr="00BC22E8">
              <w:rPr>
                <w:rFonts w:ascii="Garamond" w:eastAsia="Times New Roman" w:hAnsi="Garamond" w:cs="Times New Roman"/>
                <w:color w:val="000000"/>
                <w:sz w:val="20"/>
                <w:szCs w:val="20"/>
                <w:lang w:eastAsia="it-IT"/>
              </w:rPr>
              <w:t>Other Qualifications</w:t>
            </w:r>
          </w:p>
        </w:tc>
        <w:tc>
          <w:tcPr>
            <w:tcW w:w="674" w:type="pct"/>
            <w:tcBorders>
              <w:top w:val="nil"/>
              <w:left w:val="nil"/>
              <w:bottom w:val="nil"/>
              <w:right w:val="nil"/>
            </w:tcBorders>
            <w:shd w:val="clear" w:color="auto" w:fill="auto"/>
            <w:noWrap/>
            <w:vAlign w:val="bottom"/>
          </w:tcPr>
          <w:p w14:paraId="15CC7D27" w14:textId="471E893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-0.01</w:t>
            </w:r>
            <w:r>
              <w:rPr>
                <w:rFonts w:ascii="Garamond" w:hAnsi="Garamond"/>
                <w:color w:val="000000"/>
              </w:rPr>
              <w:t>0</w:t>
            </w:r>
          </w:p>
        </w:tc>
        <w:tc>
          <w:tcPr>
            <w:tcW w:w="610" w:type="pct"/>
            <w:tcBorders>
              <w:top w:val="nil"/>
              <w:left w:val="nil"/>
              <w:bottom w:val="nil"/>
              <w:right w:val="nil"/>
            </w:tcBorders>
            <w:shd w:val="clear" w:color="auto" w:fill="auto"/>
            <w:noWrap/>
            <w:vAlign w:val="bottom"/>
          </w:tcPr>
          <w:p w14:paraId="60E9ED13" w14:textId="04C2AD2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0.019</w:t>
            </w:r>
          </w:p>
        </w:tc>
        <w:tc>
          <w:tcPr>
            <w:tcW w:w="610" w:type="pct"/>
            <w:tcBorders>
              <w:top w:val="nil"/>
              <w:left w:val="nil"/>
              <w:bottom w:val="nil"/>
              <w:right w:val="nil"/>
            </w:tcBorders>
            <w:shd w:val="clear" w:color="auto" w:fill="auto"/>
            <w:noWrap/>
            <w:vAlign w:val="bottom"/>
          </w:tcPr>
          <w:p w14:paraId="0938DCAE" w14:textId="7982FEAF"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0.05</w:t>
            </w:r>
            <w:r>
              <w:rPr>
                <w:rFonts w:ascii="Garamond" w:hAnsi="Garamond"/>
                <w:color w:val="000000"/>
              </w:rPr>
              <w:t>0</w:t>
            </w:r>
          </w:p>
        </w:tc>
        <w:tc>
          <w:tcPr>
            <w:tcW w:w="610" w:type="pct"/>
            <w:tcBorders>
              <w:top w:val="nil"/>
              <w:left w:val="nil"/>
              <w:bottom w:val="nil"/>
              <w:right w:val="nil"/>
            </w:tcBorders>
            <w:shd w:val="clear" w:color="auto" w:fill="auto"/>
            <w:noWrap/>
            <w:vAlign w:val="bottom"/>
          </w:tcPr>
          <w:p w14:paraId="6576AC77" w14:textId="4DE5A6FE"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0.081</w:t>
            </w:r>
          </w:p>
        </w:tc>
        <w:tc>
          <w:tcPr>
            <w:tcW w:w="674" w:type="pct"/>
            <w:tcBorders>
              <w:top w:val="nil"/>
              <w:left w:val="nil"/>
              <w:bottom w:val="nil"/>
              <w:right w:val="nil"/>
            </w:tcBorders>
            <w:shd w:val="clear" w:color="auto" w:fill="auto"/>
            <w:noWrap/>
            <w:vAlign w:val="bottom"/>
          </w:tcPr>
          <w:p w14:paraId="14C34659" w14:textId="7E443A4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0.034</w:t>
            </w:r>
          </w:p>
        </w:tc>
        <w:tc>
          <w:tcPr>
            <w:tcW w:w="676" w:type="pct"/>
            <w:tcBorders>
              <w:top w:val="nil"/>
              <w:left w:val="nil"/>
              <w:bottom w:val="nil"/>
              <w:right w:val="nil"/>
            </w:tcBorders>
            <w:shd w:val="clear" w:color="auto" w:fill="auto"/>
            <w:noWrap/>
            <w:vAlign w:val="bottom"/>
          </w:tcPr>
          <w:p w14:paraId="226E7423" w14:textId="1A7CDE76"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 xml:space="preserve">-0.392*  </w:t>
            </w:r>
          </w:p>
        </w:tc>
      </w:tr>
      <w:tr w:rsidR="000735E3" w:rsidRPr="000735E3" w14:paraId="26594E08" w14:textId="77777777" w:rsidTr="000735E3">
        <w:trPr>
          <w:trHeight w:val="20"/>
        </w:trPr>
        <w:tc>
          <w:tcPr>
            <w:tcW w:w="1146" w:type="pct"/>
            <w:tcBorders>
              <w:top w:val="nil"/>
              <w:left w:val="nil"/>
              <w:bottom w:val="nil"/>
              <w:right w:val="nil"/>
            </w:tcBorders>
            <w:shd w:val="clear" w:color="auto" w:fill="auto"/>
            <w:noWrap/>
            <w:vAlign w:val="bottom"/>
            <w:hideMark/>
          </w:tcPr>
          <w:p w14:paraId="3FFB2CC2" w14:textId="77777777" w:rsidR="000735E3" w:rsidRPr="000735E3" w:rsidRDefault="000735E3" w:rsidP="00415BCE">
            <w:pPr>
              <w:spacing w:after="0" w:line="240" w:lineRule="auto"/>
              <w:rPr>
                <w:rFonts w:ascii="Garamond" w:eastAsia="Times New Roman" w:hAnsi="Garamond" w:cs="Times New Roman"/>
                <w:i/>
                <w:color w:val="000000"/>
                <w:lang w:eastAsia="it-IT"/>
              </w:rPr>
            </w:pPr>
          </w:p>
        </w:tc>
        <w:tc>
          <w:tcPr>
            <w:tcW w:w="674" w:type="pct"/>
            <w:tcBorders>
              <w:top w:val="nil"/>
              <w:left w:val="nil"/>
              <w:bottom w:val="nil"/>
              <w:right w:val="nil"/>
            </w:tcBorders>
            <w:shd w:val="clear" w:color="auto" w:fill="auto"/>
            <w:noWrap/>
            <w:vAlign w:val="bottom"/>
          </w:tcPr>
          <w:p w14:paraId="21F0F0B6" w14:textId="436F038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0.067</w:t>
            </w:r>
          </w:p>
        </w:tc>
        <w:tc>
          <w:tcPr>
            <w:tcW w:w="610" w:type="pct"/>
            <w:tcBorders>
              <w:top w:val="nil"/>
              <w:left w:val="nil"/>
              <w:bottom w:val="nil"/>
              <w:right w:val="nil"/>
            </w:tcBorders>
            <w:shd w:val="clear" w:color="auto" w:fill="auto"/>
            <w:noWrap/>
            <w:vAlign w:val="bottom"/>
          </w:tcPr>
          <w:p w14:paraId="334F459E" w14:textId="14E7F1EC"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0.03</w:t>
            </w:r>
          </w:p>
        </w:tc>
        <w:tc>
          <w:tcPr>
            <w:tcW w:w="610" w:type="pct"/>
            <w:tcBorders>
              <w:top w:val="nil"/>
              <w:left w:val="nil"/>
              <w:bottom w:val="nil"/>
              <w:right w:val="nil"/>
            </w:tcBorders>
            <w:shd w:val="clear" w:color="auto" w:fill="auto"/>
            <w:noWrap/>
            <w:vAlign w:val="bottom"/>
          </w:tcPr>
          <w:p w14:paraId="032E8D87" w14:textId="213898F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0.055</w:t>
            </w:r>
          </w:p>
        </w:tc>
        <w:tc>
          <w:tcPr>
            <w:tcW w:w="610" w:type="pct"/>
            <w:tcBorders>
              <w:top w:val="nil"/>
              <w:left w:val="nil"/>
              <w:bottom w:val="nil"/>
              <w:right w:val="nil"/>
            </w:tcBorders>
            <w:shd w:val="clear" w:color="auto" w:fill="auto"/>
            <w:noWrap/>
            <w:vAlign w:val="bottom"/>
          </w:tcPr>
          <w:p w14:paraId="2BF82054" w14:textId="13511858"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0.096</w:t>
            </w:r>
          </w:p>
        </w:tc>
        <w:tc>
          <w:tcPr>
            <w:tcW w:w="674" w:type="pct"/>
            <w:tcBorders>
              <w:top w:val="nil"/>
              <w:left w:val="nil"/>
              <w:bottom w:val="nil"/>
              <w:right w:val="nil"/>
            </w:tcBorders>
            <w:shd w:val="clear" w:color="auto" w:fill="auto"/>
            <w:noWrap/>
            <w:vAlign w:val="bottom"/>
          </w:tcPr>
          <w:p w14:paraId="68FCF767" w14:textId="291FAEE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0.182</w:t>
            </w:r>
          </w:p>
        </w:tc>
        <w:tc>
          <w:tcPr>
            <w:tcW w:w="676" w:type="pct"/>
            <w:tcBorders>
              <w:top w:val="nil"/>
              <w:left w:val="nil"/>
              <w:bottom w:val="nil"/>
              <w:right w:val="nil"/>
            </w:tcBorders>
            <w:shd w:val="clear" w:color="auto" w:fill="auto"/>
            <w:noWrap/>
            <w:vAlign w:val="bottom"/>
          </w:tcPr>
          <w:p w14:paraId="4BAC26CC" w14:textId="3F869476"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0.202</w:t>
            </w:r>
          </w:p>
        </w:tc>
      </w:tr>
      <w:tr w:rsidR="000735E3" w:rsidRPr="00646F36" w14:paraId="68C8D011" w14:textId="77777777" w:rsidTr="000735E3">
        <w:trPr>
          <w:trHeight w:val="20"/>
        </w:trPr>
        <w:tc>
          <w:tcPr>
            <w:tcW w:w="1146" w:type="pct"/>
            <w:tcBorders>
              <w:top w:val="nil"/>
              <w:left w:val="nil"/>
              <w:bottom w:val="nil"/>
              <w:right w:val="nil"/>
            </w:tcBorders>
            <w:shd w:val="clear" w:color="auto" w:fill="auto"/>
            <w:noWrap/>
            <w:vAlign w:val="bottom"/>
            <w:hideMark/>
          </w:tcPr>
          <w:p w14:paraId="4B134E4A"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Constant</w:t>
            </w:r>
          </w:p>
        </w:tc>
        <w:tc>
          <w:tcPr>
            <w:tcW w:w="674" w:type="pct"/>
            <w:tcBorders>
              <w:top w:val="nil"/>
              <w:left w:val="nil"/>
              <w:bottom w:val="nil"/>
              <w:right w:val="nil"/>
            </w:tcBorders>
            <w:shd w:val="clear" w:color="auto" w:fill="auto"/>
            <w:noWrap/>
            <w:vAlign w:val="bottom"/>
          </w:tcPr>
          <w:p w14:paraId="3EAF4E5D" w14:textId="55218365"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0.181*</w:t>
            </w:r>
          </w:p>
        </w:tc>
        <w:tc>
          <w:tcPr>
            <w:tcW w:w="610" w:type="pct"/>
            <w:tcBorders>
              <w:top w:val="nil"/>
              <w:left w:val="nil"/>
              <w:bottom w:val="nil"/>
              <w:right w:val="nil"/>
            </w:tcBorders>
            <w:shd w:val="clear" w:color="auto" w:fill="auto"/>
            <w:noWrap/>
            <w:vAlign w:val="bottom"/>
          </w:tcPr>
          <w:p w14:paraId="665E2BB0" w14:textId="01BA8B98"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-0.049</w:t>
            </w:r>
          </w:p>
        </w:tc>
        <w:tc>
          <w:tcPr>
            <w:tcW w:w="610" w:type="pct"/>
            <w:tcBorders>
              <w:top w:val="nil"/>
              <w:left w:val="nil"/>
              <w:bottom w:val="nil"/>
              <w:right w:val="nil"/>
            </w:tcBorders>
            <w:shd w:val="clear" w:color="auto" w:fill="auto"/>
            <w:noWrap/>
            <w:vAlign w:val="bottom"/>
          </w:tcPr>
          <w:p w14:paraId="45BED9FA" w14:textId="6C89E7C9"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-0.327***</w:t>
            </w:r>
          </w:p>
        </w:tc>
        <w:tc>
          <w:tcPr>
            <w:tcW w:w="610" w:type="pct"/>
            <w:tcBorders>
              <w:top w:val="nil"/>
              <w:left w:val="nil"/>
              <w:bottom w:val="nil"/>
              <w:right w:val="nil"/>
            </w:tcBorders>
            <w:shd w:val="clear" w:color="auto" w:fill="auto"/>
            <w:noWrap/>
            <w:vAlign w:val="bottom"/>
          </w:tcPr>
          <w:p w14:paraId="45BD19E5" w14:textId="018DF240"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-0.251</w:t>
            </w:r>
          </w:p>
        </w:tc>
        <w:tc>
          <w:tcPr>
            <w:tcW w:w="674" w:type="pct"/>
            <w:tcBorders>
              <w:top w:val="nil"/>
              <w:left w:val="nil"/>
              <w:bottom w:val="nil"/>
              <w:right w:val="nil"/>
            </w:tcBorders>
            <w:shd w:val="clear" w:color="auto" w:fill="auto"/>
            <w:noWrap/>
            <w:vAlign w:val="bottom"/>
          </w:tcPr>
          <w:p w14:paraId="02974A60" w14:textId="3D933EC4"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0.042</w:t>
            </w:r>
          </w:p>
        </w:tc>
        <w:tc>
          <w:tcPr>
            <w:tcW w:w="676" w:type="pct"/>
            <w:tcBorders>
              <w:top w:val="nil"/>
              <w:left w:val="nil"/>
              <w:bottom w:val="nil"/>
              <w:right w:val="nil"/>
            </w:tcBorders>
            <w:shd w:val="clear" w:color="auto" w:fill="auto"/>
            <w:noWrap/>
            <w:vAlign w:val="bottom"/>
          </w:tcPr>
          <w:p w14:paraId="010CF2BC" w14:textId="54DBC3EA" w:rsidR="000735E3" w:rsidRPr="000735E3" w:rsidRDefault="000735E3" w:rsidP="00BC22E8">
            <w:pPr>
              <w:spacing w:after="0" w:line="240" w:lineRule="auto"/>
              <w:rPr>
                <w:rFonts w:ascii="Garamond" w:eastAsia="Times New Roman" w:hAnsi="Garamond" w:cs="Times New Roman"/>
                <w:color w:val="000000"/>
                <w:lang w:eastAsia="it-IT"/>
              </w:rPr>
            </w:pPr>
            <w:r w:rsidRPr="000735E3">
              <w:rPr>
                <w:rFonts w:ascii="Garamond" w:hAnsi="Garamond"/>
                <w:color w:val="000000"/>
              </w:rPr>
              <w:t>0.407</w:t>
            </w:r>
          </w:p>
        </w:tc>
      </w:tr>
      <w:tr w:rsidR="000735E3" w:rsidRPr="00BC22E8" w14:paraId="6C8CC41C" w14:textId="77777777" w:rsidTr="000735E3">
        <w:trPr>
          <w:trHeight w:val="20"/>
        </w:trPr>
        <w:tc>
          <w:tcPr>
            <w:tcW w:w="1146" w:type="pct"/>
            <w:tcBorders>
              <w:top w:val="nil"/>
              <w:left w:val="nil"/>
              <w:bottom w:val="single" w:sz="4" w:space="0" w:color="auto"/>
              <w:right w:val="nil"/>
            </w:tcBorders>
            <w:shd w:val="clear" w:color="auto" w:fill="auto"/>
            <w:noWrap/>
            <w:vAlign w:val="bottom"/>
            <w:hideMark/>
          </w:tcPr>
          <w:p w14:paraId="7AE30EBB" w14:textId="77777777" w:rsidR="000735E3" w:rsidRPr="00BC22E8" w:rsidRDefault="000735E3" w:rsidP="00415BCE">
            <w:pPr>
              <w:spacing w:after="0" w:line="240" w:lineRule="auto"/>
              <w:rPr>
                <w:rFonts w:ascii="Garamond" w:eastAsia="Times New Roman" w:hAnsi="Garamond" w:cs="Times New Roman"/>
                <w:color w:val="000000"/>
                <w:lang w:eastAsia="it-IT"/>
              </w:rPr>
            </w:pPr>
          </w:p>
        </w:tc>
        <w:tc>
          <w:tcPr>
            <w:tcW w:w="674" w:type="pct"/>
            <w:tcBorders>
              <w:top w:val="nil"/>
              <w:left w:val="nil"/>
              <w:bottom w:val="single" w:sz="4" w:space="0" w:color="auto"/>
              <w:right w:val="nil"/>
            </w:tcBorders>
            <w:shd w:val="clear" w:color="auto" w:fill="auto"/>
            <w:noWrap/>
            <w:vAlign w:val="bottom"/>
          </w:tcPr>
          <w:p w14:paraId="73B924FA" w14:textId="0DF7BDBB"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0.109</w:t>
            </w:r>
          </w:p>
        </w:tc>
        <w:tc>
          <w:tcPr>
            <w:tcW w:w="610" w:type="pct"/>
            <w:tcBorders>
              <w:top w:val="nil"/>
              <w:left w:val="nil"/>
              <w:bottom w:val="single" w:sz="4" w:space="0" w:color="auto"/>
              <w:right w:val="nil"/>
            </w:tcBorders>
            <w:shd w:val="clear" w:color="auto" w:fill="auto"/>
            <w:noWrap/>
            <w:vAlign w:val="bottom"/>
          </w:tcPr>
          <w:p w14:paraId="20CC6D34" w14:textId="74365A9D"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0.057</w:t>
            </w:r>
          </w:p>
        </w:tc>
        <w:tc>
          <w:tcPr>
            <w:tcW w:w="610" w:type="pct"/>
            <w:tcBorders>
              <w:top w:val="nil"/>
              <w:left w:val="nil"/>
              <w:bottom w:val="single" w:sz="4" w:space="0" w:color="auto"/>
              <w:right w:val="nil"/>
            </w:tcBorders>
            <w:shd w:val="clear" w:color="auto" w:fill="auto"/>
            <w:noWrap/>
            <w:vAlign w:val="bottom"/>
          </w:tcPr>
          <w:p w14:paraId="5D862A66" w14:textId="643F3544"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0.093</w:t>
            </w:r>
          </w:p>
        </w:tc>
        <w:tc>
          <w:tcPr>
            <w:tcW w:w="610" w:type="pct"/>
            <w:tcBorders>
              <w:top w:val="nil"/>
              <w:left w:val="nil"/>
              <w:bottom w:val="single" w:sz="4" w:space="0" w:color="auto"/>
              <w:right w:val="nil"/>
            </w:tcBorders>
            <w:shd w:val="clear" w:color="auto" w:fill="auto"/>
            <w:noWrap/>
            <w:vAlign w:val="bottom"/>
          </w:tcPr>
          <w:p w14:paraId="7F1561F8" w14:textId="67EB51D6"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0.164</w:t>
            </w:r>
          </w:p>
        </w:tc>
        <w:tc>
          <w:tcPr>
            <w:tcW w:w="674" w:type="pct"/>
            <w:tcBorders>
              <w:top w:val="nil"/>
              <w:left w:val="nil"/>
              <w:bottom w:val="single" w:sz="4" w:space="0" w:color="auto"/>
              <w:right w:val="nil"/>
            </w:tcBorders>
            <w:shd w:val="clear" w:color="auto" w:fill="auto"/>
            <w:noWrap/>
            <w:vAlign w:val="bottom"/>
          </w:tcPr>
          <w:p w14:paraId="725C5BE7" w14:textId="49AF5A4E"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0.374</w:t>
            </w:r>
          </w:p>
        </w:tc>
        <w:tc>
          <w:tcPr>
            <w:tcW w:w="676" w:type="pct"/>
            <w:tcBorders>
              <w:top w:val="nil"/>
              <w:left w:val="nil"/>
              <w:bottom w:val="single" w:sz="4" w:space="0" w:color="auto"/>
              <w:right w:val="nil"/>
            </w:tcBorders>
            <w:shd w:val="clear" w:color="auto" w:fill="auto"/>
            <w:noWrap/>
            <w:vAlign w:val="bottom"/>
          </w:tcPr>
          <w:p w14:paraId="5C3EB403" w14:textId="67283AD3" w:rsidR="000735E3" w:rsidRPr="000735E3" w:rsidRDefault="000735E3" w:rsidP="00BC22E8">
            <w:pPr>
              <w:spacing w:after="0" w:line="240" w:lineRule="auto"/>
              <w:rPr>
                <w:rFonts w:ascii="Garamond" w:eastAsia="Times New Roman" w:hAnsi="Garamond" w:cs="Times New Roman"/>
                <w:i/>
                <w:color w:val="000000"/>
                <w:lang w:eastAsia="it-IT"/>
              </w:rPr>
            </w:pPr>
            <w:r w:rsidRPr="000735E3">
              <w:rPr>
                <w:rFonts w:ascii="Garamond" w:hAnsi="Garamond"/>
                <w:i/>
                <w:color w:val="000000"/>
              </w:rPr>
              <w:t>0.592</w:t>
            </w:r>
          </w:p>
        </w:tc>
      </w:tr>
      <w:tr w:rsidR="000735E3" w:rsidRPr="00646F36" w14:paraId="58026990" w14:textId="77777777" w:rsidTr="000735E3">
        <w:trPr>
          <w:trHeight w:val="20"/>
        </w:trPr>
        <w:tc>
          <w:tcPr>
            <w:tcW w:w="1146" w:type="pct"/>
            <w:tcBorders>
              <w:top w:val="single" w:sz="4" w:space="0" w:color="auto"/>
              <w:left w:val="nil"/>
              <w:bottom w:val="single" w:sz="4" w:space="0" w:color="auto"/>
              <w:right w:val="nil"/>
            </w:tcBorders>
            <w:shd w:val="clear" w:color="auto" w:fill="auto"/>
            <w:noWrap/>
            <w:vAlign w:val="bottom"/>
            <w:hideMark/>
          </w:tcPr>
          <w:p w14:paraId="6F4C4B06"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Years Fixed Effects</w:t>
            </w:r>
          </w:p>
        </w:tc>
        <w:tc>
          <w:tcPr>
            <w:tcW w:w="674" w:type="pct"/>
            <w:tcBorders>
              <w:top w:val="single" w:sz="4" w:space="0" w:color="auto"/>
              <w:left w:val="nil"/>
              <w:bottom w:val="single" w:sz="4" w:space="0" w:color="auto"/>
              <w:right w:val="nil"/>
            </w:tcBorders>
            <w:shd w:val="clear" w:color="auto" w:fill="auto"/>
            <w:noWrap/>
            <w:vAlign w:val="bottom"/>
            <w:hideMark/>
          </w:tcPr>
          <w:p w14:paraId="5CE711E6"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10" w:type="pct"/>
            <w:tcBorders>
              <w:top w:val="single" w:sz="4" w:space="0" w:color="auto"/>
              <w:left w:val="nil"/>
              <w:bottom w:val="single" w:sz="4" w:space="0" w:color="auto"/>
              <w:right w:val="nil"/>
            </w:tcBorders>
            <w:shd w:val="clear" w:color="auto" w:fill="auto"/>
            <w:noWrap/>
            <w:vAlign w:val="bottom"/>
            <w:hideMark/>
          </w:tcPr>
          <w:p w14:paraId="27A693FA"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10" w:type="pct"/>
            <w:tcBorders>
              <w:top w:val="single" w:sz="4" w:space="0" w:color="auto"/>
              <w:left w:val="nil"/>
              <w:bottom w:val="single" w:sz="4" w:space="0" w:color="auto"/>
              <w:right w:val="nil"/>
            </w:tcBorders>
            <w:shd w:val="clear" w:color="auto" w:fill="auto"/>
            <w:noWrap/>
            <w:vAlign w:val="bottom"/>
            <w:hideMark/>
          </w:tcPr>
          <w:p w14:paraId="3C87951E"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10" w:type="pct"/>
            <w:tcBorders>
              <w:top w:val="single" w:sz="4" w:space="0" w:color="auto"/>
              <w:left w:val="nil"/>
              <w:bottom w:val="single" w:sz="4" w:space="0" w:color="auto"/>
              <w:right w:val="nil"/>
            </w:tcBorders>
            <w:shd w:val="clear" w:color="auto" w:fill="auto"/>
            <w:noWrap/>
            <w:vAlign w:val="bottom"/>
            <w:hideMark/>
          </w:tcPr>
          <w:p w14:paraId="38707BB0"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74" w:type="pct"/>
            <w:tcBorders>
              <w:top w:val="single" w:sz="4" w:space="0" w:color="auto"/>
              <w:left w:val="nil"/>
              <w:bottom w:val="single" w:sz="4" w:space="0" w:color="auto"/>
              <w:right w:val="nil"/>
            </w:tcBorders>
            <w:shd w:val="clear" w:color="auto" w:fill="auto"/>
            <w:noWrap/>
            <w:vAlign w:val="bottom"/>
            <w:hideMark/>
          </w:tcPr>
          <w:p w14:paraId="4E45D5F8"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c>
          <w:tcPr>
            <w:tcW w:w="676" w:type="pct"/>
            <w:tcBorders>
              <w:top w:val="single" w:sz="4" w:space="0" w:color="auto"/>
              <w:left w:val="nil"/>
              <w:bottom w:val="single" w:sz="4" w:space="0" w:color="auto"/>
              <w:right w:val="nil"/>
            </w:tcBorders>
            <w:shd w:val="clear" w:color="auto" w:fill="auto"/>
            <w:noWrap/>
            <w:vAlign w:val="bottom"/>
            <w:hideMark/>
          </w:tcPr>
          <w:p w14:paraId="682E6C6C"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YES</w:t>
            </w:r>
          </w:p>
        </w:tc>
      </w:tr>
      <w:tr w:rsidR="000735E3" w:rsidRPr="00646F36" w14:paraId="4FF38637" w14:textId="77777777" w:rsidTr="000735E3">
        <w:trPr>
          <w:trHeight w:val="20"/>
        </w:trPr>
        <w:tc>
          <w:tcPr>
            <w:tcW w:w="1146" w:type="pct"/>
            <w:tcBorders>
              <w:top w:val="single" w:sz="4" w:space="0" w:color="auto"/>
              <w:left w:val="nil"/>
              <w:bottom w:val="single" w:sz="4" w:space="0" w:color="auto"/>
              <w:right w:val="nil"/>
            </w:tcBorders>
            <w:shd w:val="clear" w:color="auto" w:fill="auto"/>
            <w:noWrap/>
            <w:vAlign w:val="bottom"/>
            <w:hideMark/>
          </w:tcPr>
          <w:p w14:paraId="6F989C97" w14:textId="77777777" w:rsidR="000735E3" w:rsidRPr="00646F36" w:rsidRDefault="000735E3" w:rsidP="00415BCE">
            <w:pPr>
              <w:spacing w:after="0" w:line="240" w:lineRule="auto"/>
              <w:rPr>
                <w:rFonts w:ascii="Garamond" w:eastAsia="Times New Roman" w:hAnsi="Garamond" w:cs="Times New Roman"/>
                <w:color w:val="000000"/>
                <w:lang w:eastAsia="it-IT"/>
              </w:rPr>
            </w:pPr>
            <w:r w:rsidRPr="00646F36">
              <w:rPr>
                <w:rFonts w:ascii="Garamond" w:eastAsia="Times New Roman" w:hAnsi="Garamond" w:cs="Times New Roman"/>
                <w:color w:val="000000"/>
                <w:lang w:eastAsia="it-IT"/>
              </w:rPr>
              <w:t>Observations</w:t>
            </w:r>
          </w:p>
        </w:tc>
        <w:tc>
          <w:tcPr>
            <w:tcW w:w="674" w:type="pct"/>
            <w:tcBorders>
              <w:top w:val="single" w:sz="4" w:space="0" w:color="auto"/>
              <w:left w:val="nil"/>
              <w:bottom w:val="single" w:sz="4" w:space="0" w:color="auto"/>
              <w:right w:val="nil"/>
            </w:tcBorders>
            <w:shd w:val="clear" w:color="auto" w:fill="auto"/>
            <w:noWrap/>
            <w:vAlign w:val="bottom"/>
            <w:hideMark/>
          </w:tcPr>
          <w:p w14:paraId="4CBC408B"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BC22E8">
              <w:rPr>
                <w:rFonts w:ascii="Garamond" w:eastAsia="Times New Roman" w:hAnsi="Garamond" w:cs="Times New Roman"/>
                <w:color w:val="000000"/>
                <w:lang w:eastAsia="it-IT"/>
              </w:rPr>
              <w:t>13849</w:t>
            </w:r>
          </w:p>
        </w:tc>
        <w:tc>
          <w:tcPr>
            <w:tcW w:w="610" w:type="pct"/>
            <w:tcBorders>
              <w:top w:val="single" w:sz="4" w:space="0" w:color="auto"/>
              <w:left w:val="nil"/>
              <w:bottom w:val="single" w:sz="4" w:space="0" w:color="auto"/>
              <w:right w:val="nil"/>
            </w:tcBorders>
            <w:shd w:val="clear" w:color="auto" w:fill="auto"/>
            <w:noWrap/>
            <w:vAlign w:val="bottom"/>
            <w:hideMark/>
          </w:tcPr>
          <w:p w14:paraId="6D04FFB7"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BC22E8">
              <w:rPr>
                <w:rFonts w:ascii="Garamond" w:eastAsia="Times New Roman" w:hAnsi="Garamond" w:cs="Times New Roman"/>
                <w:color w:val="000000"/>
                <w:lang w:eastAsia="it-IT"/>
              </w:rPr>
              <w:t>13849</w:t>
            </w:r>
          </w:p>
        </w:tc>
        <w:tc>
          <w:tcPr>
            <w:tcW w:w="610" w:type="pct"/>
            <w:tcBorders>
              <w:top w:val="single" w:sz="4" w:space="0" w:color="auto"/>
              <w:left w:val="nil"/>
              <w:bottom w:val="single" w:sz="4" w:space="0" w:color="auto"/>
              <w:right w:val="nil"/>
            </w:tcBorders>
            <w:shd w:val="clear" w:color="auto" w:fill="auto"/>
            <w:noWrap/>
            <w:vAlign w:val="bottom"/>
            <w:hideMark/>
          </w:tcPr>
          <w:p w14:paraId="73D30CE8"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BC22E8">
              <w:rPr>
                <w:rFonts w:ascii="Garamond" w:eastAsia="Times New Roman" w:hAnsi="Garamond" w:cs="Times New Roman"/>
                <w:color w:val="000000"/>
                <w:lang w:eastAsia="it-IT"/>
              </w:rPr>
              <w:t>13849</w:t>
            </w:r>
          </w:p>
        </w:tc>
        <w:tc>
          <w:tcPr>
            <w:tcW w:w="610" w:type="pct"/>
            <w:tcBorders>
              <w:top w:val="single" w:sz="4" w:space="0" w:color="auto"/>
              <w:left w:val="nil"/>
              <w:bottom w:val="single" w:sz="4" w:space="0" w:color="auto"/>
              <w:right w:val="nil"/>
            </w:tcBorders>
            <w:shd w:val="clear" w:color="auto" w:fill="auto"/>
            <w:noWrap/>
            <w:vAlign w:val="bottom"/>
            <w:hideMark/>
          </w:tcPr>
          <w:p w14:paraId="02A3232F"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BC22E8">
              <w:rPr>
                <w:rFonts w:ascii="Garamond" w:eastAsia="Times New Roman" w:hAnsi="Garamond" w:cs="Times New Roman"/>
                <w:color w:val="000000"/>
                <w:lang w:eastAsia="it-IT"/>
              </w:rPr>
              <w:t>13849</w:t>
            </w:r>
          </w:p>
        </w:tc>
        <w:tc>
          <w:tcPr>
            <w:tcW w:w="674" w:type="pct"/>
            <w:tcBorders>
              <w:top w:val="single" w:sz="4" w:space="0" w:color="auto"/>
              <w:left w:val="nil"/>
              <w:bottom w:val="single" w:sz="4" w:space="0" w:color="auto"/>
              <w:right w:val="nil"/>
            </w:tcBorders>
            <w:shd w:val="clear" w:color="auto" w:fill="auto"/>
            <w:noWrap/>
            <w:vAlign w:val="bottom"/>
            <w:hideMark/>
          </w:tcPr>
          <w:p w14:paraId="47898223"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BC22E8">
              <w:rPr>
                <w:rFonts w:ascii="Garamond" w:eastAsia="Times New Roman" w:hAnsi="Garamond" w:cs="Times New Roman"/>
                <w:color w:val="000000"/>
                <w:lang w:eastAsia="it-IT"/>
              </w:rPr>
              <w:t>13849</w:t>
            </w:r>
          </w:p>
        </w:tc>
        <w:tc>
          <w:tcPr>
            <w:tcW w:w="676" w:type="pct"/>
            <w:tcBorders>
              <w:top w:val="single" w:sz="4" w:space="0" w:color="auto"/>
              <w:left w:val="nil"/>
              <w:bottom w:val="single" w:sz="4" w:space="0" w:color="auto"/>
              <w:right w:val="nil"/>
            </w:tcBorders>
            <w:shd w:val="clear" w:color="auto" w:fill="auto"/>
            <w:noWrap/>
            <w:vAlign w:val="bottom"/>
            <w:hideMark/>
          </w:tcPr>
          <w:p w14:paraId="01525E2D" w14:textId="77777777" w:rsidR="000735E3" w:rsidRPr="00646F36" w:rsidRDefault="000735E3" w:rsidP="001A1B2F">
            <w:pPr>
              <w:spacing w:after="0" w:line="240" w:lineRule="auto"/>
              <w:jc w:val="both"/>
              <w:rPr>
                <w:rFonts w:ascii="Garamond" w:eastAsia="Times New Roman" w:hAnsi="Garamond" w:cs="Times New Roman"/>
                <w:color w:val="000000"/>
                <w:lang w:eastAsia="it-IT"/>
              </w:rPr>
            </w:pPr>
            <w:r w:rsidRPr="00BC22E8">
              <w:rPr>
                <w:rFonts w:ascii="Garamond" w:eastAsia="Times New Roman" w:hAnsi="Garamond" w:cs="Times New Roman"/>
                <w:color w:val="000000"/>
                <w:lang w:eastAsia="it-IT"/>
              </w:rPr>
              <w:t>13849</w:t>
            </w:r>
          </w:p>
        </w:tc>
      </w:tr>
    </w:tbl>
    <w:p w14:paraId="4C70C9B7" w14:textId="77777777" w:rsidR="00D231EA" w:rsidRPr="00C46CE8" w:rsidRDefault="00D231EA" w:rsidP="00D231EA">
      <w:pPr>
        <w:jc w:val="both"/>
        <w:rPr>
          <w:rFonts w:ascii="Garamond" w:hAnsi="Garamond"/>
          <w:b/>
        </w:rPr>
      </w:pPr>
      <w:r w:rsidRPr="005568B0">
        <w:rPr>
          <w:rFonts w:ascii="Garamond" w:hAnsi="Garamond"/>
          <w:i/>
          <w:sz w:val="16"/>
          <w:szCs w:val="16"/>
        </w:rPr>
        <w:t>Standard Errors in Italics</w:t>
      </w:r>
      <w:r w:rsidRPr="005568B0">
        <w:rPr>
          <w:rFonts w:ascii="Garamond" w:hAnsi="Garamond"/>
          <w:sz w:val="16"/>
          <w:szCs w:val="16"/>
        </w:rPr>
        <w:t>; ***, **, * indicate significance at 1%, 5% and 10%, respectively</w:t>
      </w:r>
      <w:r>
        <w:rPr>
          <w:rFonts w:ascii="Garamond" w:hAnsi="Garamond"/>
          <w:sz w:val="16"/>
          <w:szCs w:val="16"/>
        </w:rPr>
        <w:t>. Sample weights applied.</w:t>
      </w:r>
    </w:p>
    <w:p w14:paraId="1DF75FB4" w14:textId="77777777" w:rsidR="00267BC6" w:rsidRDefault="00267BC6">
      <w:pPr>
        <w:rPr>
          <w:rFonts w:ascii="Garamond" w:hAnsi="Garamond"/>
          <w:b/>
        </w:rPr>
      </w:pPr>
      <w:r>
        <w:rPr>
          <w:rFonts w:ascii="Garamond" w:hAnsi="Garamond"/>
          <w:b/>
        </w:rPr>
        <w:br w:type="page"/>
      </w:r>
    </w:p>
    <w:p w14:paraId="361F3749" w14:textId="77777777" w:rsidR="000E2BA3" w:rsidRDefault="00C2679E" w:rsidP="00D5220A">
      <w:pPr>
        <w:jc w:val="both"/>
        <w:rPr>
          <w:rFonts w:ascii="Garamond" w:hAnsi="Garamond"/>
          <w:b/>
        </w:rPr>
      </w:pPr>
      <w:r>
        <w:rPr>
          <w:rFonts w:ascii="Garamond" w:hAnsi="Garamond"/>
          <w:b/>
        </w:rPr>
        <w:lastRenderedPageBreak/>
        <w:t>Table 7</w:t>
      </w:r>
      <w:r w:rsidR="00E72489">
        <w:rPr>
          <w:rFonts w:ascii="Garamond" w:hAnsi="Garamond"/>
          <w:b/>
        </w:rPr>
        <w:t xml:space="preserve">. </w:t>
      </w:r>
      <w:r w:rsidR="00D34C8A" w:rsidRPr="00CE67AB">
        <w:rPr>
          <w:rFonts w:ascii="Garamond" w:hAnsi="Garamond"/>
          <w:b/>
        </w:rPr>
        <w:t>Oaxaca-Blin</w:t>
      </w:r>
      <w:r w:rsidR="00D34C8A">
        <w:rPr>
          <w:rFonts w:ascii="Garamond" w:hAnsi="Garamond"/>
          <w:b/>
        </w:rPr>
        <w:t>der Decomposit</w:t>
      </w:r>
      <w:r w:rsidR="000A3247">
        <w:rPr>
          <w:rFonts w:ascii="Garamond" w:hAnsi="Garamond"/>
          <w:b/>
        </w:rPr>
        <w:t>ion of gender differentials in C</w:t>
      </w:r>
      <w:r w:rsidR="00D34C8A">
        <w:rPr>
          <w:rFonts w:ascii="Garamond" w:hAnsi="Garamond"/>
          <w:b/>
        </w:rPr>
        <w:t>holesterol</w:t>
      </w:r>
    </w:p>
    <w:tbl>
      <w:tblPr>
        <w:tblW w:w="5000" w:type="pct"/>
        <w:tblCellMar>
          <w:left w:w="70" w:type="dxa"/>
          <w:right w:w="70" w:type="dxa"/>
        </w:tblCellMar>
        <w:tblLook w:val="04A0" w:firstRow="1" w:lastRow="0" w:firstColumn="1" w:lastColumn="0" w:noHBand="0" w:noVBand="1"/>
      </w:tblPr>
      <w:tblGrid>
        <w:gridCol w:w="1466"/>
        <w:gridCol w:w="660"/>
        <w:gridCol w:w="512"/>
        <w:gridCol w:w="930"/>
        <w:gridCol w:w="512"/>
        <w:gridCol w:w="930"/>
        <w:gridCol w:w="512"/>
        <w:gridCol w:w="930"/>
        <w:gridCol w:w="347"/>
        <w:gridCol w:w="930"/>
        <w:gridCol w:w="347"/>
      </w:tblGrid>
      <w:tr w:rsidR="001728FA" w:rsidRPr="0003410E" w14:paraId="384F12B1" w14:textId="77777777" w:rsidTr="00387A1A">
        <w:trPr>
          <w:trHeight w:val="315"/>
        </w:trPr>
        <w:tc>
          <w:tcPr>
            <w:tcW w:w="907" w:type="pct"/>
            <w:tcBorders>
              <w:top w:val="single" w:sz="4" w:space="0" w:color="auto"/>
              <w:left w:val="nil"/>
              <w:bottom w:val="single" w:sz="4" w:space="0" w:color="auto"/>
              <w:right w:val="nil"/>
            </w:tcBorders>
            <w:shd w:val="clear" w:color="auto" w:fill="auto"/>
            <w:noWrap/>
            <w:vAlign w:val="bottom"/>
            <w:hideMark/>
          </w:tcPr>
          <w:p w14:paraId="6698BC84" w14:textId="77777777" w:rsidR="001728FA" w:rsidRPr="0003410E" w:rsidRDefault="001728FA" w:rsidP="00D34C8A">
            <w:pPr>
              <w:spacing w:after="0" w:line="240" w:lineRule="auto"/>
              <w:jc w:val="center"/>
              <w:rPr>
                <w:rFonts w:ascii="Calibri" w:eastAsia="Times New Roman" w:hAnsi="Calibri" w:cs="Times New Roman"/>
                <w:color w:val="000000"/>
                <w:sz w:val="20"/>
                <w:szCs w:val="20"/>
                <w:lang w:eastAsia="it-IT"/>
              </w:rPr>
            </w:pPr>
          </w:p>
        </w:tc>
        <w:tc>
          <w:tcPr>
            <w:tcW w:w="408" w:type="pct"/>
            <w:tcBorders>
              <w:top w:val="single" w:sz="4" w:space="0" w:color="auto"/>
              <w:left w:val="nil"/>
              <w:bottom w:val="single" w:sz="4" w:space="0" w:color="auto"/>
              <w:right w:val="nil"/>
            </w:tcBorders>
            <w:shd w:val="clear" w:color="auto" w:fill="auto"/>
            <w:noWrap/>
            <w:vAlign w:val="bottom"/>
            <w:hideMark/>
          </w:tcPr>
          <w:p w14:paraId="0C84FB5C"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Q25</w:t>
            </w:r>
          </w:p>
        </w:tc>
        <w:tc>
          <w:tcPr>
            <w:tcW w:w="317" w:type="pct"/>
            <w:tcBorders>
              <w:top w:val="single" w:sz="4" w:space="0" w:color="auto"/>
              <w:left w:val="nil"/>
              <w:bottom w:val="single" w:sz="4" w:space="0" w:color="auto"/>
              <w:right w:val="nil"/>
            </w:tcBorders>
          </w:tcPr>
          <w:p w14:paraId="64AB9F02"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76" w:type="pct"/>
            <w:tcBorders>
              <w:top w:val="single" w:sz="4" w:space="0" w:color="auto"/>
              <w:left w:val="nil"/>
              <w:bottom w:val="single" w:sz="4" w:space="0" w:color="auto"/>
              <w:right w:val="nil"/>
            </w:tcBorders>
            <w:shd w:val="clear" w:color="auto" w:fill="auto"/>
            <w:noWrap/>
            <w:vAlign w:val="bottom"/>
            <w:hideMark/>
          </w:tcPr>
          <w:p w14:paraId="26FFFE79"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Q50</w:t>
            </w:r>
          </w:p>
        </w:tc>
        <w:tc>
          <w:tcPr>
            <w:tcW w:w="317" w:type="pct"/>
            <w:tcBorders>
              <w:top w:val="single" w:sz="4" w:space="0" w:color="auto"/>
              <w:left w:val="nil"/>
              <w:bottom w:val="single" w:sz="4" w:space="0" w:color="auto"/>
              <w:right w:val="nil"/>
            </w:tcBorders>
          </w:tcPr>
          <w:p w14:paraId="45D22D44"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76" w:type="pct"/>
            <w:tcBorders>
              <w:top w:val="single" w:sz="4" w:space="0" w:color="auto"/>
              <w:left w:val="nil"/>
              <w:bottom w:val="single" w:sz="4" w:space="0" w:color="auto"/>
              <w:right w:val="nil"/>
            </w:tcBorders>
            <w:shd w:val="clear" w:color="auto" w:fill="auto"/>
            <w:noWrap/>
            <w:vAlign w:val="bottom"/>
            <w:hideMark/>
          </w:tcPr>
          <w:p w14:paraId="2B1F6438"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Q75</w:t>
            </w:r>
          </w:p>
        </w:tc>
        <w:tc>
          <w:tcPr>
            <w:tcW w:w="317" w:type="pct"/>
            <w:tcBorders>
              <w:top w:val="single" w:sz="4" w:space="0" w:color="auto"/>
              <w:left w:val="nil"/>
              <w:bottom w:val="single" w:sz="4" w:space="0" w:color="auto"/>
              <w:right w:val="nil"/>
            </w:tcBorders>
          </w:tcPr>
          <w:p w14:paraId="6E547C00"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76" w:type="pct"/>
            <w:tcBorders>
              <w:top w:val="single" w:sz="4" w:space="0" w:color="auto"/>
              <w:left w:val="nil"/>
              <w:bottom w:val="single" w:sz="4" w:space="0" w:color="auto"/>
              <w:right w:val="nil"/>
            </w:tcBorders>
            <w:shd w:val="clear" w:color="auto" w:fill="auto"/>
            <w:noWrap/>
            <w:vAlign w:val="bottom"/>
            <w:hideMark/>
          </w:tcPr>
          <w:p w14:paraId="3A260D07"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Q90</w:t>
            </w:r>
          </w:p>
        </w:tc>
        <w:tc>
          <w:tcPr>
            <w:tcW w:w="215" w:type="pct"/>
            <w:tcBorders>
              <w:top w:val="single" w:sz="4" w:space="0" w:color="auto"/>
              <w:left w:val="nil"/>
              <w:bottom w:val="single" w:sz="4" w:space="0" w:color="auto"/>
              <w:right w:val="nil"/>
            </w:tcBorders>
          </w:tcPr>
          <w:p w14:paraId="60CE974A"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76" w:type="pct"/>
            <w:tcBorders>
              <w:top w:val="single" w:sz="4" w:space="0" w:color="auto"/>
              <w:left w:val="nil"/>
              <w:bottom w:val="single" w:sz="4" w:space="0" w:color="auto"/>
              <w:right w:val="nil"/>
            </w:tcBorders>
            <w:shd w:val="clear" w:color="auto" w:fill="auto"/>
            <w:noWrap/>
            <w:vAlign w:val="bottom"/>
            <w:hideMark/>
          </w:tcPr>
          <w:p w14:paraId="708ED23D"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Q95</w:t>
            </w:r>
          </w:p>
        </w:tc>
        <w:tc>
          <w:tcPr>
            <w:tcW w:w="215" w:type="pct"/>
            <w:tcBorders>
              <w:top w:val="single" w:sz="4" w:space="0" w:color="auto"/>
              <w:left w:val="nil"/>
              <w:bottom w:val="single" w:sz="4" w:space="0" w:color="auto"/>
              <w:right w:val="nil"/>
            </w:tcBorders>
          </w:tcPr>
          <w:p w14:paraId="32245EA1"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r>
      <w:tr w:rsidR="001728FA" w:rsidRPr="0003410E" w14:paraId="3A60DC61" w14:textId="77777777" w:rsidTr="00387A1A">
        <w:trPr>
          <w:trHeight w:val="300"/>
        </w:trPr>
        <w:tc>
          <w:tcPr>
            <w:tcW w:w="907" w:type="pct"/>
            <w:tcBorders>
              <w:top w:val="single" w:sz="4" w:space="0" w:color="auto"/>
              <w:left w:val="nil"/>
              <w:bottom w:val="nil"/>
              <w:right w:val="nil"/>
            </w:tcBorders>
            <w:shd w:val="clear" w:color="auto" w:fill="auto"/>
            <w:noWrap/>
            <w:vAlign w:val="bottom"/>
            <w:hideMark/>
          </w:tcPr>
          <w:p w14:paraId="4C8CDFB9"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Δ</w:t>
            </w:r>
            <w:r w:rsidRPr="0003410E">
              <w:rPr>
                <w:rFonts w:ascii="Garamond" w:eastAsia="Times New Roman" w:hAnsi="Garamond" w:cs="Times New Roman"/>
                <w:b/>
                <w:bCs/>
                <w:color w:val="000000"/>
                <w:sz w:val="20"/>
                <w:szCs w:val="20"/>
                <w:vertAlign w:val="subscript"/>
                <w:lang w:eastAsia="it-IT"/>
              </w:rPr>
              <w:t>M-F</w:t>
            </w:r>
          </w:p>
        </w:tc>
        <w:tc>
          <w:tcPr>
            <w:tcW w:w="408" w:type="pct"/>
            <w:tcBorders>
              <w:top w:val="single" w:sz="4" w:space="0" w:color="auto"/>
              <w:left w:val="nil"/>
              <w:bottom w:val="nil"/>
              <w:right w:val="nil"/>
            </w:tcBorders>
            <w:shd w:val="clear" w:color="auto" w:fill="auto"/>
            <w:noWrap/>
            <w:vAlign w:val="bottom"/>
            <w:hideMark/>
          </w:tcPr>
          <w:p w14:paraId="536FAABA"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-0.010</w:t>
            </w:r>
          </w:p>
        </w:tc>
        <w:tc>
          <w:tcPr>
            <w:tcW w:w="317" w:type="pct"/>
            <w:tcBorders>
              <w:top w:val="single" w:sz="4" w:space="0" w:color="auto"/>
              <w:left w:val="nil"/>
              <w:bottom w:val="nil"/>
              <w:right w:val="nil"/>
            </w:tcBorders>
          </w:tcPr>
          <w:p w14:paraId="7DF57855"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p>
        </w:tc>
        <w:tc>
          <w:tcPr>
            <w:tcW w:w="576" w:type="pct"/>
            <w:tcBorders>
              <w:top w:val="single" w:sz="4" w:space="0" w:color="auto"/>
              <w:left w:val="nil"/>
              <w:bottom w:val="nil"/>
              <w:right w:val="nil"/>
            </w:tcBorders>
            <w:shd w:val="clear" w:color="auto" w:fill="auto"/>
            <w:noWrap/>
            <w:vAlign w:val="bottom"/>
            <w:hideMark/>
          </w:tcPr>
          <w:p w14:paraId="4D16621E"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0.008</w:t>
            </w:r>
          </w:p>
        </w:tc>
        <w:tc>
          <w:tcPr>
            <w:tcW w:w="317" w:type="pct"/>
            <w:tcBorders>
              <w:top w:val="single" w:sz="4" w:space="0" w:color="auto"/>
              <w:left w:val="nil"/>
              <w:bottom w:val="nil"/>
              <w:right w:val="nil"/>
            </w:tcBorders>
          </w:tcPr>
          <w:p w14:paraId="6EBF01DF"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p>
        </w:tc>
        <w:tc>
          <w:tcPr>
            <w:tcW w:w="576" w:type="pct"/>
            <w:tcBorders>
              <w:top w:val="single" w:sz="4" w:space="0" w:color="auto"/>
              <w:left w:val="nil"/>
              <w:bottom w:val="nil"/>
              <w:right w:val="nil"/>
            </w:tcBorders>
            <w:shd w:val="clear" w:color="auto" w:fill="auto"/>
            <w:noWrap/>
            <w:vAlign w:val="bottom"/>
            <w:hideMark/>
          </w:tcPr>
          <w:p w14:paraId="30B7B436"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-0.068**</w:t>
            </w:r>
          </w:p>
        </w:tc>
        <w:tc>
          <w:tcPr>
            <w:tcW w:w="317" w:type="pct"/>
            <w:tcBorders>
              <w:top w:val="single" w:sz="4" w:space="0" w:color="auto"/>
              <w:left w:val="nil"/>
              <w:bottom w:val="nil"/>
              <w:right w:val="nil"/>
            </w:tcBorders>
          </w:tcPr>
          <w:p w14:paraId="12893A2F"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p>
        </w:tc>
        <w:tc>
          <w:tcPr>
            <w:tcW w:w="576" w:type="pct"/>
            <w:tcBorders>
              <w:top w:val="single" w:sz="4" w:space="0" w:color="auto"/>
              <w:left w:val="nil"/>
              <w:bottom w:val="nil"/>
              <w:right w:val="nil"/>
            </w:tcBorders>
            <w:shd w:val="clear" w:color="auto" w:fill="auto"/>
            <w:noWrap/>
            <w:vAlign w:val="bottom"/>
            <w:hideMark/>
          </w:tcPr>
          <w:p w14:paraId="3589EA40"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-0.225***</w:t>
            </w:r>
          </w:p>
        </w:tc>
        <w:tc>
          <w:tcPr>
            <w:tcW w:w="215" w:type="pct"/>
            <w:tcBorders>
              <w:top w:val="single" w:sz="4" w:space="0" w:color="auto"/>
              <w:left w:val="nil"/>
              <w:bottom w:val="nil"/>
              <w:right w:val="nil"/>
            </w:tcBorders>
          </w:tcPr>
          <w:p w14:paraId="06EC768A"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p>
        </w:tc>
        <w:tc>
          <w:tcPr>
            <w:tcW w:w="576" w:type="pct"/>
            <w:tcBorders>
              <w:top w:val="single" w:sz="4" w:space="0" w:color="auto"/>
              <w:left w:val="nil"/>
              <w:bottom w:val="nil"/>
              <w:right w:val="nil"/>
            </w:tcBorders>
            <w:shd w:val="clear" w:color="auto" w:fill="auto"/>
            <w:noWrap/>
            <w:vAlign w:val="bottom"/>
            <w:hideMark/>
          </w:tcPr>
          <w:p w14:paraId="388C4514"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-0.276***</w:t>
            </w:r>
          </w:p>
        </w:tc>
        <w:tc>
          <w:tcPr>
            <w:tcW w:w="215" w:type="pct"/>
            <w:tcBorders>
              <w:top w:val="single" w:sz="4" w:space="0" w:color="auto"/>
              <w:left w:val="nil"/>
              <w:bottom w:val="nil"/>
              <w:right w:val="nil"/>
            </w:tcBorders>
          </w:tcPr>
          <w:p w14:paraId="7842EBE6"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p>
        </w:tc>
      </w:tr>
      <w:tr w:rsidR="001728FA" w:rsidRPr="0003410E" w14:paraId="287D6810" w14:textId="77777777" w:rsidTr="00387A1A">
        <w:trPr>
          <w:trHeight w:val="300"/>
        </w:trPr>
        <w:tc>
          <w:tcPr>
            <w:tcW w:w="907" w:type="pct"/>
            <w:tcBorders>
              <w:top w:val="nil"/>
              <w:left w:val="nil"/>
              <w:bottom w:val="single" w:sz="4" w:space="0" w:color="auto"/>
              <w:right w:val="nil"/>
            </w:tcBorders>
            <w:shd w:val="clear" w:color="auto" w:fill="auto"/>
            <w:noWrap/>
            <w:vAlign w:val="bottom"/>
            <w:hideMark/>
          </w:tcPr>
          <w:p w14:paraId="30F3389A" w14:textId="77777777" w:rsidR="001728FA" w:rsidRPr="0003410E" w:rsidRDefault="001728FA" w:rsidP="00D34C8A">
            <w:pPr>
              <w:spacing w:after="0" w:line="240" w:lineRule="auto"/>
              <w:jc w:val="center"/>
              <w:rPr>
                <w:rFonts w:ascii="Garamond" w:eastAsia="Times New Roman" w:hAnsi="Garamond" w:cs="Times New Roman"/>
                <w:b/>
                <w:bCs/>
                <w:i/>
                <w:color w:val="000000"/>
                <w:sz w:val="20"/>
                <w:szCs w:val="20"/>
                <w:lang w:eastAsia="it-IT"/>
              </w:rPr>
            </w:pPr>
          </w:p>
        </w:tc>
        <w:tc>
          <w:tcPr>
            <w:tcW w:w="408" w:type="pct"/>
            <w:tcBorders>
              <w:top w:val="nil"/>
              <w:left w:val="nil"/>
              <w:bottom w:val="single" w:sz="4" w:space="0" w:color="auto"/>
              <w:right w:val="nil"/>
            </w:tcBorders>
            <w:shd w:val="clear" w:color="auto" w:fill="auto"/>
            <w:noWrap/>
            <w:vAlign w:val="bottom"/>
            <w:hideMark/>
          </w:tcPr>
          <w:p w14:paraId="7DCF2ABB"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0.019</w:t>
            </w:r>
          </w:p>
        </w:tc>
        <w:tc>
          <w:tcPr>
            <w:tcW w:w="317" w:type="pct"/>
            <w:tcBorders>
              <w:top w:val="nil"/>
              <w:left w:val="nil"/>
              <w:bottom w:val="single" w:sz="4" w:space="0" w:color="auto"/>
              <w:right w:val="nil"/>
            </w:tcBorders>
          </w:tcPr>
          <w:p w14:paraId="0FA75062"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20C36A3D"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0.017</w:t>
            </w:r>
          </w:p>
        </w:tc>
        <w:tc>
          <w:tcPr>
            <w:tcW w:w="317" w:type="pct"/>
            <w:tcBorders>
              <w:top w:val="nil"/>
              <w:left w:val="nil"/>
              <w:bottom w:val="single" w:sz="4" w:space="0" w:color="auto"/>
              <w:right w:val="nil"/>
            </w:tcBorders>
          </w:tcPr>
          <w:p w14:paraId="03CF6734"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46B6DC7B"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0.021</w:t>
            </w:r>
          </w:p>
        </w:tc>
        <w:tc>
          <w:tcPr>
            <w:tcW w:w="317" w:type="pct"/>
            <w:tcBorders>
              <w:top w:val="nil"/>
              <w:left w:val="nil"/>
              <w:bottom w:val="single" w:sz="4" w:space="0" w:color="auto"/>
              <w:right w:val="nil"/>
            </w:tcBorders>
          </w:tcPr>
          <w:p w14:paraId="70352310"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418F087C"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0.026</w:t>
            </w:r>
          </w:p>
        </w:tc>
        <w:tc>
          <w:tcPr>
            <w:tcW w:w="215" w:type="pct"/>
            <w:tcBorders>
              <w:top w:val="nil"/>
              <w:left w:val="nil"/>
              <w:bottom w:val="single" w:sz="4" w:space="0" w:color="auto"/>
              <w:right w:val="nil"/>
            </w:tcBorders>
          </w:tcPr>
          <w:p w14:paraId="274557A3"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2A3FD2D8"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0.032</w:t>
            </w:r>
          </w:p>
        </w:tc>
        <w:tc>
          <w:tcPr>
            <w:tcW w:w="215" w:type="pct"/>
            <w:tcBorders>
              <w:top w:val="nil"/>
              <w:left w:val="nil"/>
              <w:bottom w:val="single" w:sz="4" w:space="0" w:color="auto"/>
              <w:right w:val="nil"/>
            </w:tcBorders>
          </w:tcPr>
          <w:p w14:paraId="6D887F02"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r>
      <w:tr w:rsidR="001728FA" w:rsidRPr="0003410E" w14:paraId="7F6D961E" w14:textId="77777777" w:rsidTr="00387A1A">
        <w:trPr>
          <w:trHeight w:val="300"/>
        </w:trPr>
        <w:tc>
          <w:tcPr>
            <w:tcW w:w="907" w:type="pct"/>
            <w:tcBorders>
              <w:top w:val="single" w:sz="4" w:space="0" w:color="auto"/>
              <w:left w:val="nil"/>
              <w:bottom w:val="nil"/>
              <w:right w:val="nil"/>
            </w:tcBorders>
            <w:shd w:val="clear" w:color="auto" w:fill="auto"/>
            <w:noWrap/>
            <w:vAlign w:val="bottom"/>
            <w:hideMark/>
          </w:tcPr>
          <w:p w14:paraId="6E0DFCDC"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Compositional</w:t>
            </w:r>
          </w:p>
        </w:tc>
        <w:tc>
          <w:tcPr>
            <w:tcW w:w="408" w:type="pct"/>
            <w:tcBorders>
              <w:top w:val="single" w:sz="4" w:space="0" w:color="auto"/>
              <w:left w:val="nil"/>
              <w:bottom w:val="nil"/>
              <w:right w:val="nil"/>
            </w:tcBorders>
            <w:shd w:val="clear" w:color="auto" w:fill="auto"/>
            <w:noWrap/>
            <w:vAlign w:val="bottom"/>
            <w:hideMark/>
          </w:tcPr>
          <w:p w14:paraId="29AA75F7"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-0.028</w:t>
            </w:r>
          </w:p>
        </w:tc>
        <w:tc>
          <w:tcPr>
            <w:tcW w:w="317" w:type="pct"/>
            <w:tcBorders>
              <w:top w:val="single" w:sz="4" w:space="0" w:color="auto"/>
              <w:left w:val="nil"/>
              <w:bottom w:val="nil"/>
              <w:right w:val="nil"/>
            </w:tcBorders>
          </w:tcPr>
          <w:p w14:paraId="0B7C49E5" w14:textId="2DA5792A"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28</w:t>
            </w:r>
            <w:r w:rsidR="006D3C74">
              <w:rPr>
                <w:rFonts w:ascii="Garamond" w:eastAsia="Times New Roman" w:hAnsi="Garamond" w:cs="Times New Roman"/>
                <w:color w:val="000000"/>
                <w:sz w:val="20"/>
                <w:szCs w:val="20"/>
                <w:lang w:eastAsia="it-IT"/>
              </w:rPr>
              <w:t>0</w:t>
            </w:r>
          </w:p>
        </w:tc>
        <w:tc>
          <w:tcPr>
            <w:tcW w:w="576" w:type="pct"/>
            <w:tcBorders>
              <w:top w:val="single" w:sz="4" w:space="0" w:color="auto"/>
              <w:left w:val="nil"/>
              <w:bottom w:val="nil"/>
              <w:right w:val="nil"/>
            </w:tcBorders>
            <w:shd w:val="clear" w:color="auto" w:fill="auto"/>
            <w:noWrap/>
            <w:vAlign w:val="bottom"/>
            <w:hideMark/>
          </w:tcPr>
          <w:p w14:paraId="3A2B7C68"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-0.047***</w:t>
            </w:r>
          </w:p>
        </w:tc>
        <w:tc>
          <w:tcPr>
            <w:tcW w:w="317" w:type="pct"/>
            <w:tcBorders>
              <w:top w:val="single" w:sz="4" w:space="0" w:color="auto"/>
              <w:left w:val="nil"/>
              <w:bottom w:val="nil"/>
              <w:right w:val="nil"/>
            </w:tcBorders>
          </w:tcPr>
          <w:p w14:paraId="31506DAF" w14:textId="40261BF8"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-5</w:t>
            </w:r>
            <w:r w:rsidR="00663BAA">
              <w:rPr>
                <w:rFonts w:ascii="Garamond" w:eastAsia="Times New Roman" w:hAnsi="Garamond" w:cs="Times New Roman"/>
                <w:color w:val="000000"/>
                <w:sz w:val="20"/>
                <w:szCs w:val="20"/>
                <w:lang w:eastAsia="it-IT"/>
              </w:rPr>
              <w:t>88</w:t>
            </w:r>
          </w:p>
        </w:tc>
        <w:tc>
          <w:tcPr>
            <w:tcW w:w="576" w:type="pct"/>
            <w:tcBorders>
              <w:top w:val="single" w:sz="4" w:space="0" w:color="auto"/>
              <w:left w:val="nil"/>
              <w:bottom w:val="nil"/>
              <w:right w:val="nil"/>
            </w:tcBorders>
            <w:shd w:val="clear" w:color="auto" w:fill="auto"/>
            <w:noWrap/>
            <w:vAlign w:val="bottom"/>
            <w:hideMark/>
          </w:tcPr>
          <w:p w14:paraId="758CAC7C"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-0.055***</w:t>
            </w:r>
          </w:p>
        </w:tc>
        <w:tc>
          <w:tcPr>
            <w:tcW w:w="317" w:type="pct"/>
            <w:tcBorders>
              <w:top w:val="single" w:sz="4" w:space="0" w:color="auto"/>
              <w:left w:val="nil"/>
              <w:bottom w:val="nil"/>
              <w:right w:val="nil"/>
            </w:tcBorders>
          </w:tcPr>
          <w:p w14:paraId="30C2100D" w14:textId="110BDF86" w:rsidR="001728FA" w:rsidRPr="0003410E" w:rsidRDefault="00663BAA" w:rsidP="00D34C8A">
            <w:pPr>
              <w:spacing w:after="0" w:line="240" w:lineRule="auto"/>
              <w:jc w:val="center"/>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81</w:t>
            </w:r>
          </w:p>
        </w:tc>
        <w:tc>
          <w:tcPr>
            <w:tcW w:w="576" w:type="pct"/>
            <w:tcBorders>
              <w:top w:val="single" w:sz="4" w:space="0" w:color="auto"/>
              <w:left w:val="nil"/>
              <w:bottom w:val="nil"/>
              <w:right w:val="nil"/>
            </w:tcBorders>
            <w:shd w:val="clear" w:color="auto" w:fill="auto"/>
            <w:noWrap/>
            <w:vAlign w:val="bottom"/>
            <w:hideMark/>
          </w:tcPr>
          <w:p w14:paraId="1FEE9811"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-0.056***</w:t>
            </w:r>
          </w:p>
        </w:tc>
        <w:tc>
          <w:tcPr>
            <w:tcW w:w="215" w:type="pct"/>
            <w:tcBorders>
              <w:top w:val="single" w:sz="4" w:space="0" w:color="auto"/>
              <w:left w:val="nil"/>
              <w:bottom w:val="nil"/>
              <w:right w:val="nil"/>
            </w:tcBorders>
          </w:tcPr>
          <w:p w14:paraId="1F4C99BF" w14:textId="0F8AD6C6" w:rsidR="001728FA" w:rsidRPr="0003410E" w:rsidRDefault="00663BAA" w:rsidP="00D34C8A">
            <w:pPr>
              <w:spacing w:after="0" w:line="240" w:lineRule="auto"/>
              <w:jc w:val="center"/>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25</w:t>
            </w:r>
          </w:p>
        </w:tc>
        <w:tc>
          <w:tcPr>
            <w:tcW w:w="576" w:type="pct"/>
            <w:tcBorders>
              <w:top w:val="single" w:sz="4" w:space="0" w:color="auto"/>
              <w:left w:val="nil"/>
              <w:bottom w:val="nil"/>
              <w:right w:val="nil"/>
            </w:tcBorders>
            <w:shd w:val="clear" w:color="auto" w:fill="auto"/>
            <w:noWrap/>
            <w:vAlign w:val="bottom"/>
            <w:hideMark/>
          </w:tcPr>
          <w:p w14:paraId="58B2F87F"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 xml:space="preserve">-0.056*** </w:t>
            </w:r>
          </w:p>
        </w:tc>
        <w:tc>
          <w:tcPr>
            <w:tcW w:w="215" w:type="pct"/>
            <w:tcBorders>
              <w:top w:val="single" w:sz="4" w:space="0" w:color="auto"/>
              <w:left w:val="nil"/>
              <w:bottom w:val="nil"/>
              <w:right w:val="nil"/>
            </w:tcBorders>
          </w:tcPr>
          <w:p w14:paraId="64F3FE3F"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20</w:t>
            </w:r>
          </w:p>
        </w:tc>
      </w:tr>
      <w:tr w:rsidR="001728FA" w:rsidRPr="0003410E" w14:paraId="27D98D6F" w14:textId="77777777" w:rsidTr="00387A1A">
        <w:trPr>
          <w:trHeight w:val="300"/>
        </w:trPr>
        <w:tc>
          <w:tcPr>
            <w:tcW w:w="907" w:type="pct"/>
            <w:tcBorders>
              <w:top w:val="nil"/>
              <w:left w:val="nil"/>
              <w:bottom w:val="single" w:sz="4" w:space="0" w:color="auto"/>
              <w:right w:val="nil"/>
            </w:tcBorders>
            <w:shd w:val="clear" w:color="auto" w:fill="auto"/>
            <w:noWrap/>
            <w:vAlign w:val="bottom"/>
            <w:hideMark/>
          </w:tcPr>
          <w:p w14:paraId="2A24F7EF" w14:textId="77777777" w:rsidR="001728FA" w:rsidRPr="0003410E" w:rsidRDefault="001728FA" w:rsidP="00D34C8A">
            <w:pPr>
              <w:spacing w:after="0" w:line="240" w:lineRule="auto"/>
              <w:jc w:val="center"/>
              <w:rPr>
                <w:rFonts w:ascii="Garamond" w:eastAsia="Times New Roman" w:hAnsi="Garamond" w:cs="Times New Roman"/>
                <w:b/>
                <w:bCs/>
                <w:i/>
                <w:color w:val="000000"/>
                <w:sz w:val="20"/>
                <w:szCs w:val="20"/>
                <w:lang w:eastAsia="it-IT"/>
              </w:rPr>
            </w:pPr>
          </w:p>
        </w:tc>
        <w:tc>
          <w:tcPr>
            <w:tcW w:w="408" w:type="pct"/>
            <w:tcBorders>
              <w:top w:val="nil"/>
              <w:left w:val="nil"/>
              <w:bottom w:val="single" w:sz="4" w:space="0" w:color="auto"/>
              <w:right w:val="nil"/>
            </w:tcBorders>
            <w:shd w:val="clear" w:color="auto" w:fill="auto"/>
            <w:noWrap/>
            <w:vAlign w:val="bottom"/>
            <w:hideMark/>
          </w:tcPr>
          <w:p w14:paraId="67484930"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color w:val="000000"/>
                <w:sz w:val="20"/>
                <w:szCs w:val="20"/>
                <w:lang w:eastAsia="it-IT"/>
              </w:rPr>
              <w:t>0.006</w:t>
            </w:r>
          </w:p>
        </w:tc>
        <w:tc>
          <w:tcPr>
            <w:tcW w:w="317" w:type="pct"/>
            <w:tcBorders>
              <w:top w:val="nil"/>
              <w:left w:val="nil"/>
              <w:bottom w:val="single" w:sz="4" w:space="0" w:color="auto"/>
              <w:right w:val="nil"/>
            </w:tcBorders>
          </w:tcPr>
          <w:p w14:paraId="5B2CAD92"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5C0BB2E6"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0.008</w:t>
            </w:r>
          </w:p>
        </w:tc>
        <w:tc>
          <w:tcPr>
            <w:tcW w:w="317" w:type="pct"/>
            <w:tcBorders>
              <w:top w:val="nil"/>
              <w:left w:val="nil"/>
              <w:bottom w:val="single" w:sz="4" w:space="0" w:color="auto"/>
              <w:right w:val="nil"/>
            </w:tcBorders>
          </w:tcPr>
          <w:p w14:paraId="47DAFADE"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36D70445"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0.009</w:t>
            </w:r>
          </w:p>
        </w:tc>
        <w:tc>
          <w:tcPr>
            <w:tcW w:w="317" w:type="pct"/>
            <w:tcBorders>
              <w:top w:val="nil"/>
              <w:left w:val="nil"/>
              <w:bottom w:val="single" w:sz="4" w:space="0" w:color="auto"/>
              <w:right w:val="nil"/>
            </w:tcBorders>
          </w:tcPr>
          <w:p w14:paraId="71CB9AF0"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2B03DB28"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0.009</w:t>
            </w:r>
          </w:p>
        </w:tc>
        <w:tc>
          <w:tcPr>
            <w:tcW w:w="215" w:type="pct"/>
            <w:tcBorders>
              <w:top w:val="nil"/>
              <w:left w:val="nil"/>
              <w:bottom w:val="single" w:sz="4" w:space="0" w:color="auto"/>
              <w:right w:val="nil"/>
            </w:tcBorders>
          </w:tcPr>
          <w:p w14:paraId="4DFB4BA5"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3C91E909"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0.001</w:t>
            </w:r>
          </w:p>
        </w:tc>
        <w:tc>
          <w:tcPr>
            <w:tcW w:w="215" w:type="pct"/>
            <w:tcBorders>
              <w:top w:val="nil"/>
              <w:left w:val="nil"/>
              <w:bottom w:val="single" w:sz="4" w:space="0" w:color="auto"/>
              <w:right w:val="nil"/>
            </w:tcBorders>
          </w:tcPr>
          <w:p w14:paraId="44A5CDEB" w14:textId="77777777" w:rsidR="001728FA" w:rsidRPr="0003410E" w:rsidRDefault="001728FA" w:rsidP="00D34C8A">
            <w:pPr>
              <w:spacing w:after="0" w:line="240" w:lineRule="auto"/>
              <w:jc w:val="center"/>
              <w:rPr>
                <w:rFonts w:ascii="Garamond" w:eastAsia="Times New Roman" w:hAnsi="Garamond" w:cs="Times New Roman"/>
                <w:i/>
                <w:color w:val="000000"/>
                <w:sz w:val="20"/>
                <w:szCs w:val="20"/>
                <w:lang w:eastAsia="it-IT"/>
              </w:rPr>
            </w:pPr>
          </w:p>
        </w:tc>
      </w:tr>
      <w:tr w:rsidR="001728FA" w:rsidRPr="0003410E" w14:paraId="2EB976DD" w14:textId="77777777" w:rsidTr="00387A1A">
        <w:trPr>
          <w:trHeight w:val="300"/>
        </w:trPr>
        <w:tc>
          <w:tcPr>
            <w:tcW w:w="907" w:type="pct"/>
            <w:tcBorders>
              <w:top w:val="single" w:sz="4" w:space="0" w:color="auto"/>
              <w:left w:val="nil"/>
              <w:bottom w:val="nil"/>
              <w:right w:val="nil"/>
            </w:tcBorders>
            <w:shd w:val="clear" w:color="auto" w:fill="auto"/>
            <w:noWrap/>
            <w:vAlign w:val="bottom"/>
            <w:hideMark/>
          </w:tcPr>
          <w:p w14:paraId="6013A5BA" w14:textId="77777777" w:rsidR="001728FA" w:rsidRPr="0003410E" w:rsidRDefault="001728F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Elasticity</w:t>
            </w:r>
          </w:p>
        </w:tc>
        <w:tc>
          <w:tcPr>
            <w:tcW w:w="408" w:type="pct"/>
            <w:tcBorders>
              <w:top w:val="single" w:sz="4" w:space="0" w:color="auto"/>
              <w:left w:val="nil"/>
              <w:bottom w:val="nil"/>
              <w:right w:val="nil"/>
            </w:tcBorders>
            <w:shd w:val="clear" w:color="auto" w:fill="auto"/>
            <w:noWrap/>
            <w:vAlign w:val="bottom"/>
            <w:hideMark/>
          </w:tcPr>
          <w:p w14:paraId="6CC9B892"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0.018</w:t>
            </w:r>
          </w:p>
        </w:tc>
        <w:tc>
          <w:tcPr>
            <w:tcW w:w="317" w:type="pct"/>
            <w:tcBorders>
              <w:top w:val="single" w:sz="4" w:space="0" w:color="auto"/>
              <w:left w:val="nil"/>
              <w:bottom w:val="nil"/>
              <w:right w:val="nil"/>
            </w:tcBorders>
          </w:tcPr>
          <w:p w14:paraId="11BA9760"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-180</w:t>
            </w:r>
          </w:p>
        </w:tc>
        <w:tc>
          <w:tcPr>
            <w:tcW w:w="576" w:type="pct"/>
            <w:tcBorders>
              <w:top w:val="single" w:sz="4" w:space="0" w:color="auto"/>
              <w:left w:val="nil"/>
              <w:bottom w:val="nil"/>
              <w:right w:val="nil"/>
            </w:tcBorders>
            <w:shd w:val="clear" w:color="auto" w:fill="auto"/>
            <w:noWrap/>
            <w:vAlign w:val="bottom"/>
            <w:hideMark/>
          </w:tcPr>
          <w:p w14:paraId="3E4E0BBA"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0.055**</w:t>
            </w:r>
          </w:p>
        </w:tc>
        <w:tc>
          <w:tcPr>
            <w:tcW w:w="317" w:type="pct"/>
            <w:tcBorders>
              <w:top w:val="single" w:sz="4" w:space="0" w:color="auto"/>
              <w:left w:val="nil"/>
              <w:bottom w:val="nil"/>
              <w:right w:val="nil"/>
            </w:tcBorders>
          </w:tcPr>
          <w:p w14:paraId="5324ADD8" w14:textId="5C5E1B28"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6</w:t>
            </w:r>
            <w:r w:rsidR="00663BAA">
              <w:rPr>
                <w:rFonts w:ascii="Garamond" w:eastAsia="Times New Roman" w:hAnsi="Garamond" w:cs="Times New Roman"/>
                <w:color w:val="000000"/>
                <w:sz w:val="20"/>
                <w:szCs w:val="20"/>
                <w:lang w:eastAsia="it-IT"/>
              </w:rPr>
              <w:t>88</w:t>
            </w:r>
          </w:p>
        </w:tc>
        <w:tc>
          <w:tcPr>
            <w:tcW w:w="576" w:type="pct"/>
            <w:tcBorders>
              <w:top w:val="single" w:sz="4" w:space="0" w:color="auto"/>
              <w:left w:val="nil"/>
              <w:bottom w:val="nil"/>
              <w:right w:val="nil"/>
            </w:tcBorders>
            <w:shd w:val="clear" w:color="auto" w:fill="auto"/>
            <w:noWrap/>
            <w:vAlign w:val="bottom"/>
            <w:hideMark/>
          </w:tcPr>
          <w:p w14:paraId="412E180D"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-0.013</w:t>
            </w:r>
          </w:p>
        </w:tc>
        <w:tc>
          <w:tcPr>
            <w:tcW w:w="317" w:type="pct"/>
            <w:tcBorders>
              <w:top w:val="single" w:sz="4" w:space="0" w:color="auto"/>
              <w:left w:val="nil"/>
              <w:bottom w:val="nil"/>
              <w:right w:val="nil"/>
            </w:tcBorders>
          </w:tcPr>
          <w:p w14:paraId="205D89BC" w14:textId="2144B456" w:rsidR="001728FA" w:rsidRPr="0003410E" w:rsidRDefault="00663BAA" w:rsidP="00D34C8A">
            <w:pPr>
              <w:spacing w:after="0" w:line="240" w:lineRule="auto"/>
              <w:jc w:val="center"/>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19</w:t>
            </w:r>
          </w:p>
        </w:tc>
        <w:tc>
          <w:tcPr>
            <w:tcW w:w="576" w:type="pct"/>
            <w:tcBorders>
              <w:top w:val="single" w:sz="4" w:space="0" w:color="auto"/>
              <w:left w:val="nil"/>
              <w:bottom w:val="nil"/>
              <w:right w:val="nil"/>
            </w:tcBorders>
            <w:shd w:val="clear" w:color="auto" w:fill="auto"/>
            <w:noWrap/>
            <w:vAlign w:val="bottom"/>
            <w:hideMark/>
          </w:tcPr>
          <w:p w14:paraId="3F79B110"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-0.168***</w:t>
            </w:r>
          </w:p>
        </w:tc>
        <w:tc>
          <w:tcPr>
            <w:tcW w:w="215" w:type="pct"/>
            <w:tcBorders>
              <w:top w:val="single" w:sz="4" w:space="0" w:color="auto"/>
              <w:left w:val="nil"/>
              <w:bottom w:val="nil"/>
              <w:right w:val="nil"/>
            </w:tcBorders>
          </w:tcPr>
          <w:p w14:paraId="3A8A7C65" w14:textId="63C702CF" w:rsidR="001728FA" w:rsidRPr="0003410E" w:rsidRDefault="00663BAA" w:rsidP="00D34C8A">
            <w:pPr>
              <w:spacing w:after="0" w:line="240" w:lineRule="auto"/>
              <w:jc w:val="center"/>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75</w:t>
            </w:r>
          </w:p>
        </w:tc>
        <w:tc>
          <w:tcPr>
            <w:tcW w:w="576" w:type="pct"/>
            <w:tcBorders>
              <w:top w:val="single" w:sz="4" w:space="0" w:color="auto"/>
              <w:left w:val="nil"/>
              <w:bottom w:val="nil"/>
              <w:right w:val="nil"/>
            </w:tcBorders>
            <w:shd w:val="clear" w:color="auto" w:fill="auto"/>
            <w:noWrap/>
            <w:vAlign w:val="bottom"/>
            <w:hideMark/>
          </w:tcPr>
          <w:p w14:paraId="6DD2F067"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-0.219***</w:t>
            </w:r>
          </w:p>
        </w:tc>
        <w:tc>
          <w:tcPr>
            <w:tcW w:w="215" w:type="pct"/>
            <w:tcBorders>
              <w:top w:val="single" w:sz="4" w:space="0" w:color="auto"/>
              <w:left w:val="nil"/>
              <w:bottom w:val="nil"/>
              <w:right w:val="nil"/>
            </w:tcBorders>
          </w:tcPr>
          <w:p w14:paraId="505D84B8" w14:textId="77777777" w:rsidR="001728FA" w:rsidRPr="0003410E" w:rsidRDefault="001728F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80</w:t>
            </w:r>
          </w:p>
        </w:tc>
      </w:tr>
      <w:tr w:rsidR="001728FA" w:rsidRPr="0003410E" w14:paraId="539E2852" w14:textId="77777777" w:rsidTr="00387A1A">
        <w:trPr>
          <w:trHeight w:val="300"/>
        </w:trPr>
        <w:tc>
          <w:tcPr>
            <w:tcW w:w="907" w:type="pct"/>
            <w:tcBorders>
              <w:top w:val="nil"/>
              <w:left w:val="nil"/>
              <w:bottom w:val="single" w:sz="4" w:space="0" w:color="auto"/>
              <w:right w:val="nil"/>
            </w:tcBorders>
            <w:shd w:val="clear" w:color="auto" w:fill="auto"/>
            <w:noWrap/>
            <w:vAlign w:val="bottom"/>
            <w:hideMark/>
          </w:tcPr>
          <w:p w14:paraId="1C11C4F8"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p>
        </w:tc>
        <w:tc>
          <w:tcPr>
            <w:tcW w:w="408" w:type="pct"/>
            <w:tcBorders>
              <w:top w:val="nil"/>
              <w:left w:val="nil"/>
              <w:bottom w:val="single" w:sz="4" w:space="0" w:color="auto"/>
              <w:right w:val="nil"/>
            </w:tcBorders>
            <w:shd w:val="clear" w:color="auto" w:fill="auto"/>
            <w:noWrap/>
            <w:vAlign w:val="bottom"/>
            <w:hideMark/>
          </w:tcPr>
          <w:p w14:paraId="70BE18E9"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color w:val="000000"/>
                <w:sz w:val="20"/>
                <w:szCs w:val="20"/>
                <w:lang w:eastAsia="it-IT"/>
              </w:rPr>
              <w:t>0.018</w:t>
            </w:r>
          </w:p>
        </w:tc>
        <w:tc>
          <w:tcPr>
            <w:tcW w:w="317" w:type="pct"/>
            <w:tcBorders>
              <w:top w:val="nil"/>
              <w:left w:val="nil"/>
              <w:bottom w:val="single" w:sz="4" w:space="0" w:color="auto"/>
              <w:right w:val="nil"/>
            </w:tcBorders>
          </w:tcPr>
          <w:p w14:paraId="47CE9309"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5AEBABCA"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0.165</w:t>
            </w:r>
          </w:p>
        </w:tc>
        <w:tc>
          <w:tcPr>
            <w:tcW w:w="317" w:type="pct"/>
            <w:tcBorders>
              <w:top w:val="nil"/>
              <w:left w:val="nil"/>
              <w:bottom w:val="single" w:sz="4" w:space="0" w:color="auto"/>
              <w:right w:val="nil"/>
            </w:tcBorders>
          </w:tcPr>
          <w:p w14:paraId="1E2A5753"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5964D70E"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0.019</w:t>
            </w:r>
          </w:p>
        </w:tc>
        <w:tc>
          <w:tcPr>
            <w:tcW w:w="317" w:type="pct"/>
            <w:tcBorders>
              <w:top w:val="nil"/>
              <w:left w:val="nil"/>
              <w:bottom w:val="single" w:sz="4" w:space="0" w:color="auto"/>
              <w:right w:val="nil"/>
            </w:tcBorders>
          </w:tcPr>
          <w:p w14:paraId="0C9B0E01"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3374EEA4"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0.025</w:t>
            </w:r>
          </w:p>
        </w:tc>
        <w:tc>
          <w:tcPr>
            <w:tcW w:w="215" w:type="pct"/>
            <w:tcBorders>
              <w:top w:val="nil"/>
              <w:left w:val="nil"/>
              <w:bottom w:val="single" w:sz="4" w:space="0" w:color="auto"/>
              <w:right w:val="nil"/>
            </w:tcBorders>
          </w:tcPr>
          <w:p w14:paraId="27F3DED9"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p>
        </w:tc>
        <w:tc>
          <w:tcPr>
            <w:tcW w:w="576" w:type="pct"/>
            <w:tcBorders>
              <w:top w:val="nil"/>
              <w:left w:val="nil"/>
              <w:bottom w:val="single" w:sz="4" w:space="0" w:color="auto"/>
              <w:right w:val="nil"/>
            </w:tcBorders>
            <w:shd w:val="clear" w:color="auto" w:fill="auto"/>
            <w:noWrap/>
            <w:vAlign w:val="bottom"/>
            <w:hideMark/>
          </w:tcPr>
          <w:p w14:paraId="51B8F96E"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0.031</w:t>
            </w:r>
          </w:p>
        </w:tc>
        <w:tc>
          <w:tcPr>
            <w:tcW w:w="215" w:type="pct"/>
            <w:tcBorders>
              <w:top w:val="nil"/>
              <w:left w:val="nil"/>
              <w:bottom w:val="single" w:sz="4" w:space="0" w:color="auto"/>
              <w:right w:val="nil"/>
            </w:tcBorders>
          </w:tcPr>
          <w:p w14:paraId="4045DF8E" w14:textId="77777777" w:rsidR="001728FA" w:rsidRPr="0003410E" w:rsidRDefault="001728FA" w:rsidP="00D34C8A">
            <w:pPr>
              <w:spacing w:after="0" w:line="240" w:lineRule="auto"/>
              <w:jc w:val="center"/>
              <w:rPr>
                <w:rFonts w:ascii="Garamond" w:eastAsia="Times New Roman" w:hAnsi="Garamond" w:cs="Times New Roman"/>
                <w:bCs/>
                <w:i/>
                <w:color w:val="000000"/>
                <w:sz w:val="20"/>
                <w:szCs w:val="20"/>
                <w:lang w:eastAsia="it-IT"/>
              </w:rPr>
            </w:pPr>
          </w:p>
        </w:tc>
      </w:tr>
    </w:tbl>
    <w:p w14:paraId="757DB48B" w14:textId="77777777" w:rsidR="00C6364B" w:rsidRPr="00267BC6" w:rsidRDefault="005F761C" w:rsidP="0099362C">
      <w:pPr>
        <w:jc w:val="both"/>
        <w:rPr>
          <w:rFonts w:ascii="Garamond" w:hAnsi="Garamond"/>
          <w:b/>
        </w:rPr>
      </w:pPr>
      <w:r w:rsidRPr="005568B0">
        <w:rPr>
          <w:rFonts w:ascii="Garamond" w:hAnsi="Garamond"/>
          <w:i/>
          <w:sz w:val="16"/>
          <w:szCs w:val="16"/>
        </w:rPr>
        <w:t>Standard Errors in Italics</w:t>
      </w:r>
      <w:r>
        <w:rPr>
          <w:rFonts w:ascii="Garamond" w:hAnsi="Garamond"/>
          <w:i/>
          <w:sz w:val="16"/>
          <w:szCs w:val="16"/>
        </w:rPr>
        <w:t xml:space="preserve"> </w:t>
      </w:r>
      <w:r w:rsidRPr="005568B0">
        <w:rPr>
          <w:rFonts w:ascii="Garamond" w:hAnsi="Garamond"/>
          <w:sz w:val="16"/>
          <w:szCs w:val="16"/>
        </w:rPr>
        <w:t>; ***, **, * indicate significance at 1%, 5% and 10%, respectively</w:t>
      </w:r>
      <w:r w:rsidR="0003410E">
        <w:rPr>
          <w:rFonts w:ascii="Garamond" w:hAnsi="Garamond"/>
          <w:b/>
        </w:rPr>
        <w:t>.</w:t>
      </w:r>
    </w:p>
    <w:p w14:paraId="728421C5" w14:textId="77777777" w:rsidR="00D34C8A" w:rsidRPr="00CE67AB" w:rsidRDefault="00D34C8A" w:rsidP="00D34C8A">
      <w:pPr>
        <w:jc w:val="both"/>
        <w:rPr>
          <w:rFonts w:ascii="Garamond" w:hAnsi="Garamond"/>
          <w:b/>
        </w:rPr>
      </w:pPr>
      <w:r>
        <w:rPr>
          <w:rFonts w:ascii="Garamond" w:hAnsi="Garamond"/>
          <w:b/>
        </w:rPr>
        <w:t xml:space="preserve">Table 8. </w:t>
      </w:r>
      <w:r w:rsidRPr="00CE67AB">
        <w:rPr>
          <w:rFonts w:ascii="Garamond" w:hAnsi="Garamond"/>
          <w:b/>
        </w:rPr>
        <w:t>Oaxaca-Blin</w:t>
      </w:r>
      <w:r>
        <w:rPr>
          <w:rFonts w:ascii="Garamond" w:hAnsi="Garamond"/>
          <w:b/>
        </w:rPr>
        <w:t>der Decomposition of ge</w:t>
      </w:r>
      <w:r w:rsidR="000A3247">
        <w:rPr>
          <w:rFonts w:ascii="Garamond" w:hAnsi="Garamond"/>
          <w:b/>
        </w:rPr>
        <w:t>nder differentials in Glycated H</w:t>
      </w:r>
      <w:r>
        <w:rPr>
          <w:rFonts w:ascii="Garamond" w:hAnsi="Garamond"/>
          <w:b/>
        </w:rPr>
        <w:t>aemoglobin</w:t>
      </w:r>
    </w:p>
    <w:tbl>
      <w:tblPr>
        <w:tblW w:w="0" w:type="auto"/>
        <w:tblLayout w:type="fixed"/>
        <w:tblCellMar>
          <w:left w:w="70" w:type="dxa"/>
          <w:right w:w="70" w:type="dxa"/>
        </w:tblCellMar>
        <w:tblLook w:val="04A0" w:firstRow="1" w:lastRow="0" w:firstColumn="1" w:lastColumn="0" w:noHBand="0" w:noVBand="1"/>
      </w:tblPr>
      <w:tblGrid>
        <w:gridCol w:w="1423"/>
        <w:gridCol w:w="901"/>
        <w:gridCol w:w="431"/>
        <w:gridCol w:w="901"/>
        <w:gridCol w:w="430"/>
        <w:gridCol w:w="900"/>
        <w:gridCol w:w="430"/>
        <w:gridCol w:w="900"/>
        <w:gridCol w:w="430"/>
        <w:gridCol w:w="900"/>
        <w:gridCol w:w="430"/>
      </w:tblGrid>
      <w:tr w:rsidR="00D34C8A" w:rsidRPr="0003410E" w14:paraId="340B1DC1" w14:textId="77777777" w:rsidTr="0003410E">
        <w:trPr>
          <w:trHeight w:val="315"/>
        </w:trPr>
        <w:tc>
          <w:tcPr>
            <w:tcW w:w="1423" w:type="dxa"/>
            <w:tcBorders>
              <w:top w:val="single" w:sz="4" w:space="0" w:color="auto"/>
              <w:left w:val="nil"/>
              <w:bottom w:val="single" w:sz="4" w:space="0" w:color="auto"/>
              <w:right w:val="nil"/>
            </w:tcBorders>
            <w:shd w:val="clear" w:color="auto" w:fill="auto"/>
            <w:noWrap/>
            <w:vAlign w:val="bottom"/>
            <w:hideMark/>
          </w:tcPr>
          <w:p w14:paraId="52106459" w14:textId="77777777" w:rsidR="00D34C8A" w:rsidRPr="0003410E" w:rsidRDefault="00D34C8A" w:rsidP="00D34C8A">
            <w:pPr>
              <w:spacing w:after="0" w:line="240" w:lineRule="auto"/>
              <w:jc w:val="center"/>
              <w:rPr>
                <w:rFonts w:ascii="Calibri" w:eastAsia="Times New Roman" w:hAnsi="Calibri" w:cs="Times New Roman"/>
                <w:color w:val="000000"/>
                <w:sz w:val="20"/>
                <w:szCs w:val="20"/>
                <w:lang w:eastAsia="it-IT"/>
              </w:rPr>
            </w:pPr>
          </w:p>
        </w:tc>
        <w:tc>
          <w:tcPr>
            <w:tcW w:w="901" w:type="dxa"/>
            <w:tcBorders>
              <w:top w:val="single" w:sz="4" w:space="0" w:color="auto"/>
              <w:left w:val="nil"/>
              <w:bottom w:val="single" w:sz="4" w:space="0" w:color="auto"/>
              <w:right w:val="nil"/>
            </w:tcBorders>
            <w:shd w:val="clear" w:color="auto" w:fill="auto"/>
            <w:noWrap/>
            <w:vAlign w:val="bottom"/>
            <w:hideMark/>
          </w:tcPr>
          <w:p w14:paraId="59E685D1"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Q25</w:t>
            </w:r>
          </w:p>
        </w:tc>
        <w:tc>
          <w:tcPr>
            <w:tcW w:w="431" w:type="dxa"/>
            <w:tcBorders>
              <w:top w:val="single" w:sz="4" w:space="0" w:color="auto"/>
              <w:left w:val="nil"/>
              <w:bottom w:val="single" w:sz="4" w:space="0" w:color="auto"/>
              <w:right w:val="nil"/>
            </w:tcBorders>
          </w:tcPr>
          <w:p w14:paraId="7BA89ACF"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901" w:type="dxa"/>
            <w:tcBorders>
              <w:top w:val="single" w:sz="4" w:space="0" w:color="auto"/>
              <w:left w:val="nil"/>
              <w:bottom w:val="single" w:sz="4" w:space="0" w:color="auto"/>
              <w:right w:val="nil"/>
            </w:tcBorders>
            <w:shd w:val="clear" w:color="auto" w:fill="auto"/>
            <w:noWrap/>
            <w:vAlign w:val="bottom"/>
            <w:hideMark/>
          </w:tcPr>
          <w:p w14:paraId="0E47E905"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Q50</w:t>
            </w:r>
          </w:p>
        </w:tc>
        <w:tc>
          <w:tcPr>
            <w:tcW w:w="430" w:type="dxa"/>
            <w:tcBorders>
              <w:top w:val="single" w:sz="4" w:space="0" w:color="auto"/>
              <w:left w:val="nil"/>
              <w:bottom w:val="single" w:sz="4" w:space="0" w:color="auto"/>
              <w:right w:val="nil"/>
            </w:tcBorders>
          </w:tcPr>
          <w:p w14:paraId="77C314FE"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900" w:type="dxa"/>
            <w:tcBorders>
              <w:top w:val="single" w:sz="4" w:space="0" w:color="auto"/>
              <w:left w:val="nil"/>
              <w:bottom w:val="single" w:sz="4" w:space="0" w:color="auto"/>
              <w:right w:val="nil"/>
            </w:tcBorders>
            <w:shd w:val="clear" w:color="auto" w:fill="auto"/>
            <w:noWrap/>
            <w:vAlign w:val="bottom"/>
            <w:hideMark/>
          </w:tcPr>
          <w:p w14:paraId="12094C9D"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Q75</w:t>
            </w:r>
          </w:p>
        </w:tc>
        <w:tc>
          <w:tcPr>
            <w:tcW w:w="430" w:type="dxa"/>
            <w:tcBorders>
              <w:top w:val="single" w:sz="4" w:space="0" w:color="auto"/>
              <w:left w:val="nil"/>
              <w:bottom w:val="single" w:sz="4" w:space="0" w:color="auto"/>
              <w:right w:val="nil"/>
            </w:tcBorders>
          </w:tcPr>
          <w:p w14:paraId="09CCCBBA"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900" w:type="dxa"/>
            <w:tcBorders>
              <w:top w:val="single" w:sz="4" w:space="0" w:color="auto"/>
              <w:left w:val="nil"/>
              <w:bottom w:val="single" w:sz="4" w:space="0" w:color="auto"/>
              <w:right w:val="nil"/>
            </w:tcBorders>
            <w:shd w:val="clear" w:color="auto" w:fill="auto"/>
            <w:noWrap/>
            <w:vAlign w:val="bottom"/>
            <w:hideMark/>
          </w:tcPr>
          <w:p w14:paraId="10B043E3"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Q90</w:t>
            </w:r>
          </w:p>
        </w:tc>
        <w:tc>
          <w:tcPr>
            <w:tcW w:w="430" w:type="dxa"/>
            <w:tcBorders>
              <w:top w:val="single" w:sz="4" w:space="0" w:color="auto"/>
              <w:left w:val="nil"/>
              <w:bottom w:val="single" w:sz="4" w:space="0" w:color="auto"/>
              <w:right w:val="nil"/>
            </w:tcBorders>
          </w:tcPr>
          <w:p w14:paraId="55292079"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900" w:type="dxa"/>
            <w:tcBorders>
              <w:top w:val="single" w:sz="4" w:space="0" w:color="auto"/>
              <w:left w:val="nil"/>
              <w:bottom w:val="single" w:sz="4" w:space="0" w:color="auto"/>
              <w:right w:val="nil"/>
            </w:tcBorders>
            <w:shd w:val="clear" w:color="auto" w:fill="auto"/>
            <w:noWrap/>
            <w:vAlign w:val="bottom"/>
            <w:hideMark/>
          </w:tcPr>
          <w:p w14:paraId="25CFA6F6"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Q95</w:t>
            </w:r>
          </w:p>
        </w:tc>
        <w:tc>
          <w:tcPr>
            <w:tcW w:w="430" w:type="dxa"/>
            <w:tcBorders>
              <w:top w:val="single" w:sz="4" w:space="0" w:color="auto"/>
              <w:left w:val="nil"/>
              <w:bottom w:val="single" w:sz="4" w:space="0" w:color="auto"/>
              <w:right w:val="nil"/>
            </w:tcBorders>
          </w:tcPr>
          <w:p w14:paraId="2A44FF83"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r>
      <w:tr w:rsidR="00D34C8A" w:rsidRPr="0003410E" w14:paraId="72E336BB" w14:textId="77777777" w:rsidTr="0003410E">
        <w:trPr>
          <w:trHeight w:val="300"/>
        </w:trPr>
        <w:tc>
          <w:tcPr>
            <w:tcW w:w="1423" w:type="dxa"/>
            <w:tcBorders>
              <w:top w:val="single" w:sz="4" w:space="0" w:color="auto"/>
              <w:left w:val="nil"/>
              <w:bottom w:val="nil"/>
              <w:right w:val="nil"/>
            </w:tcBorders>
            <w:shd w:val="clear" w:color="auto" w:fill="auto"/>
            <w:noWrap/>
            <w:vAlign w:val="bottom"/>
            <w:hideMark/>
          </w:tcPr>
          <w:p w14:paraId="298154CC"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Δ</w:t>
            </w:r>
            <w:r w:rsidRPr="0003410E">
              <w:rPr>
                <w:rFonts w:ascii="Garamond" w:eastAsia="Times New Roman" w:hAnsi="Garamond" w:cs="Times New Roman"/>
                <w:b/>
                <w:bCs/>
                <w:color w:val="000000"/>
                <w:sz w:val="20"/>
                <w:szCs w:val="20"/>
                <w:vertAlign w:val="subscript"/>
                <w:lang w:eastAsia="it-IT"/>
              </w:rPr>
              <w:t>M-F</w:t>
            </w:r>
          </w:p>
        </w:tc>
        <w:tc>
          <w:tcPr>
            <w:tcW w:w="901" w:type="dxa"/>
            <w:tcBorders>
              <w:top w:val="single" w:sz="4" w:space="0" w:color="auto"/>
              <w:left w:val="nil"/>
              <w:bottom w:val="nil"/>
              <w:right w:val="nil"/>
            </w:tcBorders>
            <w:shd w:val="clear" w:color="auto" w:fill="auto"/>
            <w:noWrap/>
            <w:vAlign w:val="bottom"/>
            <w:hideMark/>
          </w:tcPr>
          <w:p w14:paraId="619EEE39"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0.033***</w:t>
            </w:r>
          </w:p>
        </w:tc>
        <w:tc>
          <w:tcPr>
            <w:tcW w:w="431" w:type="dxa"/>
            <w:tcBorders>
              <w:top w:val="single" w:sz="4" w:space="0" w:color="auto"/>
              <w:left w:val="nil"/>
              <w:bottom w:val="nil"/>
              <w:right w:val="nil"/>
            </w:tcBorders>
          </w:tcPr>
          <w:p w14:paraId="2925F1ED"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901" w:type="dxa"/>
            <w:tcBorders>
              <w:top w:val="single" w:sz="4" w:space="0" w:color="auto"/>
              <w:left w:val="nil"/>
              <w:bottom w:val="nil"/>
              <w:right w:val="nil"/>
            </w:tcBorders>
            <w:shd w:val="clear" w:color="auto" w:fill="auto"/>
            <w:noWrap/>
            <w:vAlign w:val="bottom"/>
            <w:hideMark/>
          </w:tcPr>
          <w:p w14:paraId="2FBED62F"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0.032***</w:t>
            </w:r>
          </w:p>
        </w:tc>
        <w:tc>
          <w:tcPr>
            <w:tcW w:w="430" w:type="dxa"/>
            <w:tcBorders>
              <w:top w:val="single" w:sz="4" w:space="0" w:color="auto"/>
              <w:left w:val="nil"/>
              <w:bottom w:val="nil"/>
              <w:right w:val="nil"/>
            </w:tcBorders>
          </w:tcPr>
          <w:p w14:paraId="472B8EAF"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900" w:type="dxa"/>
            <w:tcBorders>
              <w:top w:val="single" w:sz="4" w:space="0" w:color="auto"/>
              <w:left w:val="nil"/>
              <w:bottom w:val="nil"/>
              <w:right w:val="nil"/>
            </w:tcBorders>
            <w:shd w:val="clear" w:color="auto" w:fill="auto"/>
            <w:noWrap/>
            <w:vAlign w:val="bottom"/>
            <w:hideMark/>
          </w:tcPr>
          <w:p w14:paraId="6D0D9F98"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0.024**</w:t>
            </w:r>
          </w:p>
        </w:tc>
        <w:tc>
          <w:tcPr>
            <w:tcW w:w="430" w:type="dxa"/>
            <w:tcBorders>
              <w:top w:val="single" w:sz="4" w:space="0" w:color="auto"/>
              <w:left w:val="nil"/>
              <w:bottom w:val="nil"/>
              <w:right w:val="nil"/>
            </w:tcBorders>
          </w:tcPr>
          <w:p w14:paraId="3EB08A1F"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900" w:type="dxa"/>
            <w:tcBorders>
              <w:top w:val="single" w:sz="4" w:space="0" w:color="auto"/>
              <w:left w:val="nil"/>
              <w:bottom w:val="nil"/>
              <w:right w:val="nil"/>
            </w:tcBorders>
            <w:shd w:val="clear" w:color="auto" w:fill="auto"/>
            <w:noWrap/>
            <w:vAlign w:val="bottom"/>
            <w:hideMark/>
          </w:tcPr>
          <w:p w14:paraId="15AFA380"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0.073**</w:t>
            </w:r>
          </w:p>
        </w:tc>
        <w:tc>
          <w:tcPr>
            <w:tcW w:w="430" w:type="dxa"/>
            <w:tcBorders>
              <w:top w:val="single" w:sz="4" w:space="0" w:color="auto"/>
              <w:left w:val="nil"/>
              <w:bottom w:val="nil"/>
              <w:right w:val="nil"/>
            </w:tcBorders>
          </w:tcPr>
          <w:p w14:paraId="0E202FFB"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900" w:type="dxa"/>
            <w:tcBorders>
              <w:top w:val="single" w:sz="4" w:space="0" w:color="auto"/>
              <w:left w:val="nil"/>
              <w:bottom w:val="nil"/>
              <w:right w:val="nil"/>
            </w:tcBorders>
            <w:shd w:val="clear" w:color="auto" w:fill="auto"/>
            <w:noWrap/>
            <w:vAlign w:val="bottom"/>
            <w:hideMark/>
          </w:tcPr>
          <w:p w14:paraId="03DD78CB"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0.336***</w:t>
            </w:r>
          </w:p>
        </w:tc>
        <w:tc>
          <w:tcPr>
            <w:tcW w:w="430" w:type="dxa"/>
            <w:tcBorders>
              <w:top w:val="single" w:sz="4" w:space="0" w:color="auto"/>
              <w:left w:val="nil"/>
              <w:bottom w:val="nil"/>
              <w:right w:val="nil"/>
            </w:tcBorders>
          </w:tcPr>
          <w:p w14:paraId="626FB798" w14:textId="77777777" w:rsidR="00D34C8A" w:rsidRPr="0003410E" w:rsidRDefault="00D34C8A" w:rsidP="00D34C8A">
            <w:pPr>
              <w:spacing w:after="0" w:line="240" w:lineRule="auto"/>
              <w:rPr>
                <w:rFonts w:ascii="Garamond" w:eastAsia="Times New Roman" w:hAnsi="Garamond" w:cs="Times New Roman"/>
                <w:color w:val="000000"/>
                <w:sz w:val="20"/>
                <w:szCs w:val="20"/>
                <w:lang w:eastAsia="it-IT"/>
              </w:rPr>
            </w:pPr>
          </w:p>
        </w:tc>
      </w:tr>
      <w:tr w:rsidR="00D34C8A" w:rsidRPr="0003410E" w14:paraId="7289D244" w14:textId="77777777" w:rsidTr="0003410E">
        <w:trPr>
          <w:trHeight w:val="300"/>
        </w:trPr>
        <w:tc>
          <w:tcPr>
            <w:tcW w:w="1423" w:type="dxa"/>
            <w:tcBorders>
              <w:top w:val="nil"/>
              <w:left w:val="nil"/>
              <w:bottom w:val="single" w:sz="4" w:space="0" w:color="auto"/>
              <w:right w:val="nil"/>
            </w:tcBorders>
            <w:shd w:val="clear" w:color="auto" w:fill="auto"/>
            <w:noWrap/>
            <w:vAlign w:val="bottom"/>
            <w:hideMark/>
          </w:tcPr>
          <w:p w14:paraId="11B78F16" w14:textId="77777777" w:rsidR="00D34C8A" w:rsidRPr="0003410E" w:rsidRDefault="00D34C8A" w:rsidP="00D34C8A">
            <w:pPr>
              <w:spacing w:after="0" w:line="240" w:lineRule="auto"/>
              <w:jc w:val="center"/>
              <w:rPr>
                <w:rFonts w:ascii="Garamond" w:eastAsia="Times New Roman" w:hAnsi="Garamond" w:cs="Times New Roman"/>
                <w:b/>
                <w:bCs/>
                <w:i/>
                <w:color w:val="000000"/>
                <w:sz w:val="20"/>
                <w:szCs w:val="20"/>
                <w:lang w:eastAsia="it-IT"/>
              </w:rPr>
            </w:pPr>
          </w:p>
        </w:tc>
        <w:tc>
          <w:tcPr>
            <w:tcW w:w="901" w:type="dxa"/>
            <w:tcBorders>
              <w:top w:val="nil"/>
              <w:left w:val="nil"/>
              <w:bottom w:val="single" w:sz="4" w:space="0" w:color="auto"/>
              <w:right w:val="nil"/>
            </w:tcBorders>
            <w:shd w:val="clear" w:color="auto" w:fill="auto"/>
            <w:noWrap/>
            <w:vAlign w:val="bottom"/>
            <w:hideMark/>
          </w:tcPr>
          <w:p w14:paraId="49F8E8E0"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0.006</w:t>
            </w:r>
          </w:p>
        </w:tc>
        <w:tc>
          <w:tcPr>
            <w:tcW w:w="431" w:type="dxa"/>
            <w:tcBorders>
              <w:top w:val="nil"/>
              <w:left w:val="nil"/>
              <w:bottom w:val="single" w:sz="4" w:space="0" w:color="auto"/>
              <w:right w:val="nil"/>
            </w:tcBorders>
          </w:tcPr>
          <w:p w14:paraId="6D0AC7D1"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1" w:type="dxa"/>
            <w:tcBorders>
              <w:top w:val="nil"/>
              <w:left w:val="nil"/>
              <w:bottom w:val="single" w:sz="4" w:space="0" w:color="auto"/>
              <w:right w:val="nil"/>
            </w:tcBorders>
            <w:shd w:val="clear" w:color="auto" w:fill="auto"/>
            <w:noWrap/>
            <w:vAlign w:val="bottom"/>
            <w:hideMark/>
          </w:tcPr>
          <w:p w14:paraId="51A09316"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0.005</w:t>
            </w:r>
          </w:p>
        </w:tc>
        <w:tc>
          <w:tcPr>
            <w:tcW w:w="430" w:type="dxa"/>
            <w:tcBorders>
              <w:top w:val="nil"/>
              <w:left w:val="nil"/>
              <w:bottom w:val="single" w:sz="4" w:space="0" w:color="auto"/>
              <w:right w:val="nil"/>
            </w:tcBorders>
          </w:tcPr>
          <w:p w14:paraId="18379E11"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28B7BB4F"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0.007</w:t>
            </w:r>
          </w:p>
        </w:tc>
        <w:tc>
          <w:tcPr>
            <w:tcW w:w="430" w:type="dxa"/>
            <w:tcBorders>
              <w:top w:val="nil"/>
              <w:left w:val="nil"/>
              <w:bottom w:val="single" w:sz="4" w:space="0" w:color="auto"/>
              <w:right w:val="nil"/>
            </w:tcBorders>
          </w:tcPr>
          <w:p w14:paraId="2B9983F7"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3B687266"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0.014</w:t>
            </w:r>
          </w:p>
        </w:tc>
        <w:tc>
          <w:tcPr>
            <w:tcW w:w="430" w:type="dxa"/>
            <w:tcBorders>
              <w:top w:val="nil"/>
              <w:left w:val="nil"/>
              <w:bottom w:val="single" w:sz="4" w:space="0" w:color="auto"/>
              <w:right w:val="nil"/>
            </w:tcBorders>
          </w:tcPr>
          <w:p w14:paraId="30F97A76"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6DDBDEAD"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0.041</w:t>
            </w:r>
          </w:p>
        </w:tc>
        <w:tc>
          <w:tcPr>
            <w:tcW w:w="430" w:type="dxa"/>
            <w:tcBorders>
              <w:top w:val="nil"/>
              <w:left w:val="nil"/>
              <w:bottom w:val="single" w:sz="4" w:space="0" w:color="auto"/>
              <w:right w:val="nil"/>
            </w:tcBorders>
          </w:tcPr>
          <w:p w14:paraId="26FA7C93"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r>
      <w:tr w:rsidR="00D34C8A" w:rsidRPr="0003410E" w14:paraId="016799DD" w14:textId="77777777" w:rsidTr="0003410E">
        <w:trPr>
          <w:trHeight w:val="300"/>
        </w:trPr>
        <w:tc>
          <w:tcPr>
            <w:tcW w:w="1423" w:type="dxa"/>
            <w:tcBorders>
              <w:top w:val="single" w:sz="4" w:space="0" w:color="auto"/>
              <w:left w:val="nil"/>
              <w:bottom w:val="nil"/>
              <w:right w:val="nil"/>
            </w:tcBorders>
            <w:shd w:val="clear" w:color="auto" w:fill="auto"/>
            <w:noWrap/>
            <w:vAlign w:val="bottom"/>
            <w:hideMark/>
          </w:tcPr>
          <w:p w14:paraId="2C5463C1"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Compositional</w:t>
            </w:r>
          </w:p>
        </w:tc>
        <w:tc>
          <w:tcPr>
            <w:tcW w:w="901" w:type="dxa"/>
            <w:tcBorders>
              <w:top w:val="single" w:sz="4" w:space="0" w:color="auto"/>
              <w:left w:val="nil"/>
              <w:bottom w:val="nil"/>
              <w:right w:val="nil"/>
            </w:tcBorders>
            <w:shd w:val="clear" w:color="auto" w:fill="auto"/>
            <w:noWrap/>
            <w:vAlign w:val="bottom"/>
            <w:hideMark/>
          </w:tcPr>
          <w:p w14:paraId="3C83B011"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-0.009***</w:t>
            </w:r>
          </w:p>
        </w:tc>
        <w:tc>
          <w:tcPr>
            <w:tcW w:w="431" w:type="dxa"/>
            <w:tcBorders>
              <w:top w:val="single" w:sz="4" w:space="0" w:color="auto"/>
              <w:left w:val="nil"/>
              <w:bottom w:val="nil"/>
              <w:right w:val="nil"/>
            </w:tcBorders>
          </w:tcPr>
          <w:p w14:paraId="2306448F"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-27</w:t>
            </w:r>
          </w:p>
        </w:tc>
        <w:tc>
          <w:tcPr>
            <w:tcW w:w="901" w:type="dxa"/>
            <w:tcBorders>
              <w:top w:val="single" w:sz="4" w:space="0" w:color="auto"/>
              <w:left w:val="nil"/>
              <w:bottom w:val="nil"/>
              <w:right w:val="nil"/>
            </w:tcBorders>
            <w:shd w:val="clear" w:color="auto" w:fill="auto"/>
            <w:noWrap/>
            <w:vAlign w:val="bottom"/>
            <w:hideMark/>
          </w:tcPr>
          <w:p w14:paraId="4280E742"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 xml:space="preserve">-0.015*** </w:t>
            </w:r>
          </w:p>
        </w:tc>
        <w:tc>
          <w:tcPr>
            <w:tcW w:w="430" w:type="dxa"/>
            <w:tcBorders>
              <w:top w:val="single" w:sz="4" w:space="0" w:color="auto"/>
              <w:left w:val="nil"/>
              <w:bottom w:val="nil"/>
              <w:right w:val="nil"/>
            </w:tcBorders>
          </w:tcPr>
          <w:p w14:paraId="6634A97D"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-47</w:t>
            </w:r>
          </w:p>
        </w:tc>
        <w:tc>
          <w:tcPr>
            <w:tcW w:w="900" w:type="dxa"/>
            <w:tcBorders>
              <w:top w:val="single" w:sz="4" w:space="0" w:color="auto"/>
              <w:left w:val="nil"/>
              <w:bottom w:val="nil"/>
              <w:right w:val="nil"/>
            </w:tcBorders>
            <w:shd w:val="clear" w:color="auto" w:fill="auto"/>
            <w:noWrap/>
            <w:vAlign w:val="bottom"/>
            <w:hideMark/>
          </w:tcPr>
          <w:p w14:paraId="0D570A70"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-0.022***</w:t>
            </w:r>
          </w:p>
        </w:tc>
        <w:tc>
          <w:tcPr>
            <w:tcW w:w="430" w:type="dxa"/>
            <w:tcBorders>
              <w:top w:val="single" w:sz="4" w:space="0" w:color="auto"/>
              <w:left w:val="nil"/>
              <w:bottom w:val="nil"/>
              <w:right w:val="nil"/>
            </w:tcBorders>
          </w:tcPr>
          <w:p w14:paraId="5F381EFC"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-91</w:t>
            </w:r>
          </w:p>
        </w:tc>
        <w:tc>
          <w:tcPr>
            <w:tcW w:w="900" w:type="dxa"/>
            <w:tcBorders>
              <w:top w:val="single" w:sz="4" w:space="0" w:color="auto"/>
              <w:left w:val="nil"/>
              <w:bottom w:val="nil"/>
              <w:right w:val="nil"/>
            </w:tcBorders>
            <w:shd w:val="clear" w:color="auto" w:fill="auto"/>
            <w:noWrap/>
            <w:vAlign w:val="bottom"/>
            <w:hideMark/>
          </w:tcPr>
          <w:p w14:paraId="0709A183"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-0.030***</w:t>
            </w:r>
          </w:p>
        </w:tc>
        <w:tc>
          <w:tcPr>
            <w:tcW w:w="430" w:type="dxa"/>
            <w:tcBorders>
              <w:top w:val="single" w:sz="4" w:space="0" w:color="auto"/>
              <w:left w:val="nil"/>
              <w:bottom w:val="nil"/>
              <w:right w:val="nil"/>
            </w:tcBorders>
          </w:tcPr>
          <w:p w14:paraId="1785CAA7"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-41</w:t>
            </w:r>
          </w:p>
        </w:tc>
        <w:tc>
          <w:tcPr>
            <w:tcW w:w="900" w:type="dxa"/>
            <w:tcBorders>
              <w:top w:val="single" w:sz="4" w:space="0" w:color="auto"/>
              <w:left w:val="nil"/>
              <w:bottom w:val="nil"/>
              <w:right w:val="nil"/>
            </w:tcBorders>
            <w:shd w:val="clear" w:color="auto" w:fill="auto"/>
            <w:noWrap/>
            <w:vAlign w:val="bottom"/>
            <w:hideMark/>
          </w:tcPr>
          <w:p w14:paraId="02BC14A8"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-0.060***</w:t>
            </w:r>
          </w:p>
        </w:tc>
        <w:tc>
          <w:tcPr>
            <w:tcW w:w="430" w:type="dxa"/>
            <w:tcBorders>
              <w:top w:val="single" w:sz="4" w:space="0" w:color="auto"/>
              <w:left w:val="nil"/>
              <w:bottom w:val="nil"/>
              <w:right w:val="nil"/>
            </w:tcBorders>
          </w:tcPr>
          <w:p w14:paraId="0471160D"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-18</w:t>
            </w:r>
          </w:p>
        </w:tc>
      </w:tr>
      <w:tr w:rsidR="00D34C8A" w:rsidRPr="0003410E" w14:paraId="1FCBBDA7" w14:textId="77777777" w:rsidTr="0003410E">
        <w:trPr>
          <w:trHeight w:val="300"/>
        </w:trPr>
        <w:tc>
          <w:tcPr>
            <w:tcW w:w="1423" w:type="dxa"/>
            <w:tcBorders>
              <w:top w:val="nil"/>
              <w:left w:val="nil"/>
              <w:bottom w:val="single" w:sz="4" w:space="0" w:color="auto"/>
              <w:right w:val="nil"/>
            </w:tcBorders>
            <w:shd w:val="clear" w:color="auto" w:fill="auto"/>
            <w:noWrap/>
            <w:vAlign w:val="bottom"/>
            <w:hideMark/>
          </w:tcPr>
          <w:p w14:paraId="7E867309" w14:textId="77777777" w:rsidR="00D34C8A" w:rsidRPr="0003410E" w:rsidRDefault="00D34C8A" w:rsidP="00D34C8A">
            <w:pPr>
              <w:spacing w:after="0" w:line="240" w:lineRule="auto"/>
              <w:jc w:val="center"/>
              <w:rPr>
                <w:rFonts w:ascii="Garamond" w:eastAsia="Times New Roman" w:hAnsi="Garamond" w:cs="Times New Roman"/>
                <w:b/>
                <w:bCs/>
                <w:i/>
                <w:color w:val="000000"/>
                <w:sz w:val="20"/>
                <w:szCs w:val="20"/>
                <w:lang w:eastAsia="it-IT"/>
              </w:rPr>
            </w:pPr>
          </w:p>
        </w:tc>
        <w:tc>
          <w:tcPr>
            <w:tcW w:w="901" w:type="dxa"/>
            <w:tcBorders>
              <w:top w:val="nil"/>
              <w:left w:val="nil"/>
              <w:bottom w:val="single" w:sz="4" w:space="0" w:color="auto"/>
              <w:right w:val="nil"/>
            </w:tcBorders>
            <w:shd w:val="clear" w:color="auto" w:fill="auto"/>
            <w:noWrap/>
            <w:vAlign w:val="bottom"/>
            <w:hideMark/>
          </w:tcPr>
          <w:p w14:paraId="06F82753"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0.002</w:t>
            </w:r>
          </w:p>
        </w:tc>
        <w:tc>
          <w:tcPr>
            <w:tcW w:w="431" w:type="dxa"/>
            <w:tcBorders>
              <w:top w:val="nil"/>
              <w:left w:val="nil"/>
              <w:bottom w:val="single" w:sz="4" w:space="0" w:color="auto"/>
              <w:right w:val="nil"/>
            </w:tcBorders>
          </w:tcPr>
          <w:p w14:paraId="7909476F"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1" w:type="dxa"/>
            <w:tcBorders>
              <w:top w:val="nil"/>
              <w:left w:val="nil"/>
              <w:bottom w:val="single" w:sz="4" w:space="0" w:color="auto"/>
              <w:right w:val="nil"/>
            </w:tcBorders>
            <w:shd w:val="clear" w:color="auto" w:fill="auto"/>
            <w:noWrap/>
            <w:vAlign w:val="bottom"/>
            <w:hideMark/>
          </w:tcPr>
          <w:p w14:paraId="74065493"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0.003</w:t>
            </w:r>
          </w:p>
        </w:tc>
        <w:tc>
          <w:tcPr>
            <w:tcW w:w="430" w:type="dxa"/>
            <w:tcBorders>
              <w:top w:val="nil"/>
              <w:left w:val="nil"/>
              <w:bottom w:val="single" w:sz="4" w:space="0" w:color="auto"/>
              <w:right w:val="nil"/>
            </w:tcBorders>
          </w:tcPr>
          <w:p w14:paraId="31E770EE"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16E43919"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0.004</w:t>
            </w:r>
          </w:p>
        </w:tc>
        <w:tc>
          <w:tcPr>
            <w:tcW w:w="430" w:type="dxa"/>
            <w:tcBorders>
              <w:top w:val="nil"/>
              <w:left w:val="nil"/>
              <w:bottom w:val="single" w:sz="4" w:space="0" w:color="auto"/>
              <w:right w:val="nil"/>
            </w:tcBorders>
          </w:tcPr>
          <w:p w14:paraId="4C6F375E"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61ABEF55"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0.005</w:t>
            </w:r>
          </w:p>
        </w:tc>
        <w:tc>
          <w:tcPr>
            <w:tcW w:w="430" w:type="dxa"/>
            <w:tcBorders>
              <w:top w:val="nil"/>
              <w:left w:val="nil"/>
              <w:bottom w:val="single" w:sz="4" w:space="0" w:color="auto"/>
              <w:right w:val="nil"/>
            </w:tcBorders>
          </w:tcPr>
          <w:p w14:paraId="1C097615"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3203D42E"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0.009</w:t>
            </w:r>
          </w:p>
        </w:tc>
        <w:tc>
          <w:tcPr>
            <w:tcW w:w="430" w:type="dxa"/>
            <w:tcBorders>
              <w:top w:val="nil"/>
              <w:left w:val="nil"/>
              <w:bottom w:val="single" w:sz="4" w:space="0" w:color="auto"/>
              <w:right w:val="nil"/>
            </w:tcBorders>
          </w:tcPr>
          <w:p w14:paraId="57EFA64D"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r>
      <w:tr w:rsidR="00D34C8A" w:rsidRPr="0003410E" w14:paraId="68AB674A" w14:textId="77777777" w:rsidTr="0003410E">
        <w:trPr>
          <w:trHeight w:val="300"/>
        </w:trPr>
        <w:tc>
          <w:tcPr>
            <w:tcW w:w="1423" w:type="dxa"/>
            <w:tcBorders>
              <w:top w:val="single" w:sz="4" w:space="0" w:color="auto"/>
              <w:left w:val="nil"/>
              <w:bottom w:val="nil"/>
              <w:right w:val="nil"/>
            </w:tcBorders>
            <w:shd w:val="clear" w:color="auto" w:fill="auto"/>
            <w:noWrap/>
            <w:vAlign w:val="bottom"/>
            <w:hideMark/>
          </w:tcPr>
          <w:p w14:paraId="663775CD"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Elasticity</w:t>
            </w:r>
          </w:p>
        </w:tc>
        <w:tc>
          <w:tcPr>
            <w:tcW w:w="901" w:type="dxa"/>
            <w:tcBorders>
              <w:top w:val="single" w:sz="4" w:space="0" w:color="auto"/>
              <w:left w:val="nil"/>
              <w:bottom w:val="nil"/>
              <w:right w:val="nil"/>
            </w:tcBorders>
            <w:shd w:val="clear" w:color="auto" w:fill="auto"/>
            <w:noWrap/>
            <w:vAlign w:val="bottom"/>
            <w:hideMark/>
          </w:tcPr>
          <w:p w14:paraId="78AF13E8"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0.042***</w:t>
            </w:r>
          </w:p>
        </w:tc>
        <w:tc>
          <w:tcPr>
            <w:tcW w:w="431" w:type="dxa"/>
            <w:tcBorders>
              <w:top w:val="single" w:sz="4" w:space="0" w:color="auto"/>
              <w:left w:val="nil"/>
              <w:bottom w:val="nil"/>
              <w:right w:val="nil"/>
            </w:tcBorders>
          </w:tcPr>
          <w:p w14:paraId="6F9BB4B2"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127</w:t>
            </w:r>
          </w:p>
        </w:tc>
        <w:tc>
          <w:tcPr>
            <w:tcW w:w="901" w:type="dxa"/>
            <w:tcBorders>
              <w:top w:val="single" w:sz="4" w:space="0" w:color="auto"/>
              <w:left w:val="nil"/>
              <w:bottom w:val="nil"/>
              <w:right w:val="nil"/>
            </w:tcBorders>
            <w:shd w:val="clear" w:color="auto" w:fill="auto"/>
            <w:noWrap/>
            <w:vAlign w:val="bottom"/>
            <w:hideMark/>
          </w:tcPr>
          <w:p w14:paraId="437015F6"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0.047***</w:t>
            </w:r>
          </w:p>
        </w:tc>
        <w:tc>
          <w:tcPr>
            <w:tcW w:w="430" w:type="dxa"/>
            <w:tcBorders>
              <w:top w:val="single" w:sz="4" w:space="0" w:color="auto"/>
              <w:left w:val="nil"/>
              <w:bottom w:val="nil"/>
              <w:right w:val="nil"/>
            </w:tcBorders>
          </w:tcPr>
          <w:p w14:paraId="3E075D9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147</w:t>
            </w:r>
          </w:p>
        </w:tc>
        <w:tc>
          <w:tcPr>
            <w:tcW w:w="900" w:type="dxa"/>
            <w:tcBorders>
              <w:top w:val="single" w:sz="4" w:space="0" w:color="auto"/>
              <w:left w:val="nil"/>
              <w:bottom w:val="nil"/>
              <w:right w:val="nil"/>
            </w:tcBorders>
            <w:shd w:val="clear" w:color="auto" w:fill="auto"/>
            <w:noWrap/>
            <w:vAlign w:val="bottom"/>
            <w:hideMark/>
          </w:tcPr>
          <w:p w14:paraId="3B9EB19D"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0.046***</w:t>
            </w:r>
          </w:p>
        </w:tc>
        <w:tc>
          <w:tcPr>
            <w:tcW w:w="430" w:type="dxa"/>
            <w:tcBorders>
              <w:top w:val="single" w:sz="4" w:space="0" w:color="auto"/>
              <w:left w:val="nil"/>
              <w:bottom w:val="nil"/>
              <w:right w:val="nil"/>
            </w:tcBorders>
          </w:tcPr>
          <w:p w14:paraId="5210B79D"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191</w:t>
            </w:r>
          </w:p>
        </w:tc>
        <w:tc>
          <w:tcPr>
            <w:tcW w:w="900" w:type="dxa"/>
            <w:tcBorders>
              <w:top w:val="single" w:sz="4" w:space="0" w:color="auto"/>
              <w:left w:val="nil"/>
              <w:bottom w:val="nil"/>
              <w:right w:val="nil"/>
            </w:tcBorders>
            <w:shd w:val="clear" w:color="auto" w:fill="auto"/>
            <w:noWrap/>
            <w:vAlign w:val="bottom"/>
            <w:hideMark/>
          </w:tcPr>
          <w:p w14:paraId="6660EB3C"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0.103***</w:t>
            </w:r>
          </w:p>
        </w:tc>
        <w:tc>
          <w:tcPr>
            <w:tcW w:w="430" w:type="dxa"/>
            <w:tcBorders>
              <w:top w:val="single" w:sz="4" w:space="0" w:color="auto"/>
              <w:left w:val="nil"/>
              <w:bottom w:val="nil"/>
              <w:right w:val="nil"/>
            </w:tcBorders>
          </w:tcPr>
          <w:p w14:paraId="2F2D3789"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141</w:t>
            </w:r>
          </w:p>
        </w:tc>
        <w:tc>
          <w:tcPr>
            <w:tcW w:w="900" w:type="dxa"/>
            <w:tcBorders>
              <w:top w:val="single" w:sz="4" w:space="0" w:color="auto"/>
              <w:left w:val="nil"/>
              <w:bottom w:val="nil"/>
              <w:right w:val="nil"/>
            </w:tcBorders>
            <w:shd w:val="clear" w:color="auto" w:fill="auto"/>
            <w:noWrap/>
            <w:vAlign w:val="bottom"/>
            <w:hideMark/>
          </w:tcPr>
          <w:p w14:paraId="74B85B55"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0.397***</w:t>
            </w:r>
          </w:p>
        </w:tc>
        <w:tc>
          <w:tcPr>
            <w:tcW w:w="430" w:type="dxa"/>
            <w:tcBorders>
              <w:top w:val="single" w:sz="4" w:space="0" w:color="auto"/>
              <w:left w:val="nil"/>
              <w:bottom w:val="nil"/>
              <w:right w:val="nil"/>
            </w:tcBorders>
          </w:tcPr>
          <w:p w14:paraId="5F94C08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118</w:t>
            </w:r>
          </w:p>
        </w:tc>
      </w:tr>
      <w:tr w:rsidR="00D34C8A" w:rsidRPr="0003410E" w14:paraId="092370E5" w14:textId="77777777" w:rsidTr="0003410E">
        <w:trPr>
          <w:trHeight w:val="300"/>
        </w:trPr>
        <w:tc>
          <w:tcPr>
            <w:tcW w:w="1423" w:type="dxa"/>
            <w:tcBorders>
              <w:top w:val="nil"/>
              <w:left w:val="nil"/>
              <w:bottom w:val="single" w:sz="4" w:space="0" w:color="auto"/>
              <w:right w:val="nil"/>
            </w:tcBorders>
            <w:shd w:val="clear" w:color="auto" w:fill="auto"/>
            <w:noWrap/>
            <w:vAlign w:val="bottom"/>
            <w:hideMark/>
          </w:tcPr>
          <w:p w14:paraId="12A67713"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901" w:type="dxa"/>
            <w:tcBorders>
              <w:top w:val="nil"/>
              <w:left w:val="nil"/>
              <w:bottom w:val="single" w:sz="4" w:space="0" w:color="auto"/>
              <w:right w:val="nil"/>
            </w:tcBorders>
            <w:shd w:val="clear" w:color="auto" w:fill="auto"/>
            <w:noWrap/>
            <w:vAlign w:val="bottom"/>
            <w:hideMark/>
          </w:tcPr>
          <w:p w14:paraId="1732CAAE"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0.006</w:t>
            </w:r>
          </w:p>
        </w:tc>
        <w:tc>
          <w:tcPr>
            <w:tcW w:w="431" w:type="dxa"/>
            <w:tcBorders>
              <w:top w:val="nil"/>
              <w:left w:val="nil"/>
              <w:bottom w:val="single" w:sz="4" w:space="0" w:color="auto"/>
              <w:right w:val="nil"/>
            </w:tcBorders>
          </w:tcPr>
          <w:p w14:paraId="12962039"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901" w:type="dxa"/>
            <w:tcBorders>
              <w:top w:val="nil"/>
              <w:left w:val="nil"/>
              <w:bottom w:val="single" w:sz="4" w:space="0" w:color="auto"/>
              <w:right w:val="nil"/>
            </w:tcBorders>
            <w:shd w:val="clear" w:color="auto" w:fill="auto"/>
            <w:noWrap/>
            <w:vAlign w:val="bottom"/>
            <w:hideMark/>
          </w:tcPr>
          <w:p w14:paraId="245EE83A"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0.005</w:t>
            </w:r>
          </w:p>
        </w:tc>
        <w:tc>
          <w:tcPr>
            <w:tcW w:w="430" w:type="dxa"/>
            <w:tcBorders>
              <w:top w:val="nil"/>
              <w:left w:val="nil"/>
              <w:bottom w:val="single" w:sz="4" w:space="0" w:color="auto"/>
              <w:right w:val="nil"/>
            </w:tcBorders>
          </w:tcPr>
          <w:p w14:paraId="67FFB16A"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57462020"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0.007</w:t>
            </w:r>
          </w:p>
        </w:tc>
        <w:tc>
          <w:tcPr>
            <w:tcW w:w="430" w:type="dxa"/>
            <w:tcBorders>
              <w:top w:val="nil"/>
              <w:left w:val="nil"/>
              <w:bottom w:val="single" w:sz="4" w:space="0" w:color="auto"/>
              <w:right w:val="nil"/>
            </w:tcBorders>
          </w:tcPr>
          <w:p w14:paraId="384B45B1"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3ABD5784"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0.013</w:t>
            </w:r>
          </w:p>
        </w:tc>
        <w:tc>
          <w:tcPr>
            <w:tcW w:w="430" w:type="dxa"/>
            <w:tcBorders>
              <w:top w:val="nil"/>
              <w:left w:val="nil"/>
              <w:bottom w:val="single" w:sz="4" w:space="0" w:color="auto"/>
              <w:right w:val="nil"/>
            </w:tcBorders>
          </w:tcPr>
          <w:p w14:paraId="0CD32FFC"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900" w:type="dxa"/>
            <w:tcBorders>
              <w:top w:val="nil"/>
              <w:left w:val="nil"/>
              <w:bottom w:val="single" w:sz="4" w:space="0" w:color="auto"/>
              <w:right w:val="nil"/>
            </w:tcBorders>
            <w:shd w:val="clear" w:color="auto" w:fill="auto"/>
            <w:noWrap/>
            <w:vAlign w:val="bottom"/>
            <w:hideMark/>
          </w:tcPr>
          <w:p w14:paraId="1CE47F89"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0.040</w:t>
            </w:r>
          </w:p>
        </w:tc>
        <w:tc>
          <w:tcPr>
            <w:tcW w:w="430" w:type="dxa"/>
            <w:tcBorders>
              <w:top w:val="nil"/>
              <w:left w:val="nil"/>
              <w:bottom w:val="single" w:sz="4" w:space="0" w:color="auto"/>
              <w:right w:val="nil"/>
            </w:tcBorders>
          </w:tcPr>
          <w:p w14:paraId="04FD6BF6"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r>
    </w:tbl>
    <w:p w14:paraId="2FAEC155" w14:textId="77777777" w:rsidR="00E72489" w:rsidRDefault="005F761C" w:rsidP="0099362C">
      <w:pPr>
        <w:jc w:val="both"/>
        <w:rPr>
          <w:rFonts w:ascii="Garamond" w:hAnsi="Garamond"/>
          <w:sz w:val="16"/>
          <w:szCs w:val="16"/>
        </w:rPr>
      </w:pPr>
      <w:r w:rsidRPr="005568B0">
        <w:rPr>
          <w:rFonts w:ascii="Garamond" w:hAnsi="Garamond"/>
          <w:i/>
          <w:sz w:val="16"/>
          <w:szCs w:val="16"/>
        </w:rPr>
        <w:t>Standard Errors in Italics</w:t>
      </w:r>
      <w:r>
        <w:rPr>
          <w:rFonts w:ascii="Garamond" w:hAnsi="Garamond"/>
          <w:i/>
          <w:sz w:val="16"/>
          <w:szCs w:val="16"/>
        </w:rPr>
        <w:t xml:space="preserve"> </w:t>
      </w:r>
      <w:r w:rsidRPr="005568B0">
        <w:rPr>
          <w:rFonts w:ascii="Garamond" w:hAnsi="Garamond"/>
          <w:sz w:val="16"/>
          <w:szCs w:val="16"/>
        </w:rPr>
        <w:t>; ***, **, * indicate significance at 1%, 5% and 10%, respectively</w:t>
      </w:r>
      <w:r>
        <w:rPr>
          <w:rFonts w:ascii="Garamond" w:hAnsi="Garamond"/>
          <w:sz w:val="16"/>
          <w:szCs w:val="16"/>
        </w:rPr>
        <w:t>.</w:t>
      </w:r>
    </w:p>
    <w:p w14:paraId="5E3B9FEF" w14:textId="77777777" w:rsidR="00D34C8A" w:rsidRPr="00CE67AB" w:rsidRDefault="00D34C8A" w:rsidP="00D34C8A">
      <w:pPr>
        <w:jc w:val="both"/>
        <w:rPr>
          <w:rFonts w:ascii="Garamond" w:hAnsi="Garamond"/>
          <w:b/>
        </w:rPr>
      </w:pPr>
      <w:r>
        <w:rPr>
          <w:rFonts w:ascii="Garamond" w:hAnsi="Garamond"/>
          <w:b/>
        </w:rPr>
        <w:t xml:space="preserve">Table 9. </w:t>
      </w:r>
      <w:r w:rsidRPr="00CE67AB">
        <w:rPr>
          <w:rFonts w:ascii="Garamond" w:hAnsi="Garamond"/>
          <w:b/>
        </w:rPr>
        <w:t>Oaxaca-Blin</w:t>
      </w:r>
      <w:r>
        <w:rPr>
          <w:rFonts w:ascii="Garamond" w:hAnsi="Garamond"/>
          <w:b/>
        </w:rPr>
        <w:t>der Decomposition of gender differentials in Fibrinogen</w:t>
      </w:r>
    </w:p>
    <w:tbl>
      <w:tblPr>
        <w:tblW w:w="5000" w:type="pct"/>
        <w:jc w:val="center"/>
        <w:tblCellMar>
          <w:left w:w="70" w:type="dxa"/>
          <w:right w:w="70" w:type="dxa"/>
        </w:tblCellMar>
        <w:tblLook w:val="04A0" w:firstRow="1" w:lastRow="0" w:firstColumn="1" w:lastColumn="0" w:noHBand="0" w:noVBand="1"/>
      </w:tblPr>
      <w:tblGrid>
        <w:gridCol w:w="1508"/>
        <w:gridCol w:w="957"/>
        <w:gridCol w:w="358"/>
        <w:gridCol w:w="957"/>
        <w:gridCol w:w="357"/>
        <w:gridCol w:w="956"/>
        <w:gridCol w:w="357"/>
        <w:gridCol w:w="956"/>
        <w:gridCol w:w="357"/>
        <w:gridCol w:w="956"/>
        <w:gridCol w:w="357"/>
      </w:tblGrid>
      <w:tr w:rsidR="00D34C8A" w:rsidRPr="0003410E" w14:paraId="3F845DAC" w14:textId="77777777" w:rsidTr="00387A1A">
        <w:trPr>
          <w:trHeight w:val="315"/>
          <w:jc w:val="center"/>
        </w:trPr>
        <w:tc>
          <w:tcPr>
            <w:tcW w:w="933" w:type="pct"/>
            <w:tcBorders>
              <w:top w:val="single" w:sz="4" w:space="0" w:color="auto"/>
              <w:left w:val="nil"/>
              <w:bottom w:val="single" w:sz="4" w:space="0" w:color="auto"/>
              <w:right w:val="nil"/>
            </w:tcBorders>
            <w:shd w:val="clear" w:color="auto" w:fill="auto"/>
            <w:noWrap/>
            <w:vAlign w:val="bottom"/>
            <w:hideMark/>
          </w:tcPr>
          <w:p w14:paraId="30738DA9" w14:textId="77777777" w:rsidR="00D34C8A" w:rsidRPr="0003410E" w:rsidRDefault="00D34C8A" w:rsidP="00D34C8A">
            <w:pPr>
              <w:spacing w:after="0" w:line="240" w:lineRule="auto"/>
              <w:jc w:val="center"/>
              <w:rPr>
                <w:rFonts w:ascii="Calibri" w:eastAsia="Times New Roman" w:hAnsi="Calibri" w:cs="Times New Roman"/>
                <w:color w:val="000000"/>
                <w:sz w:val="20"/>
                <w:szCs w:val="20"/>
                <w:lang w:eastAsia="it-IT"/>
              </w:rPr>
            </w:pPr>
          </w:p>
        </w:tc>
        <w:tc>
          <w:tcPr>
            <w:tcW w:w="592" w:type="pct"/>
            <w:tcBorders>
              <w:top w:val="single" w:sz="4" w:space="0" w:color="auto"/>
              <w:left w:val="nil"/>
              <w:bottom w:val="single" w:sz="4" w:space="0" w:color="auto"/>
              <w:right w:val="nil"/>
            </w:tcBorders>
            <w:shd w:val="clear" w:color="auto" w:fill="auto"/>
            <w:noWrap/>
            <w:vAlign w:val="bottom"/>
            <w:hideMark/>
          </w:tcPr>
          <w:p w14:paraId="5C0E4D35"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Q25</w:t>
            </w:r>
          </w:p>
        </w:tc>
        <w:tc>
          <w:tcPr>
            <w:tcW w:w="221" w:type="pct"/>
            <w:tcBorders>
              <w:top w:val="single" w:sz="4" w:space="0" w:color="auto"/>
              <w:left w:val="nil"/>
              <w:bottom w:val="single" w:sz="4" w:space="0" w:color="auto"/>
              <w:right w:val="nil"/>
            </w:tcBorders>
          </w:tcPr>
          <w:p w14:paraId="2BB4C8AA"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92" w:type="pct"/>
            <w:tcBorders>
              <w:top w:val="single" w:sz="4" w:space="0" w:color="auto"/>
              <w:left w:val="nil"/>
              <w:bottom w:val="single" w:sz="4" w:space="0" w:color="auto"/>
              <w:right w:val="nil"/>
            </w:tcBorders>
            <w:shd w:val="clear" w:color="auto" w:fill="auto"/>
            <w:noWrap/>
            <w:vAlign w:val="bottom"/>
            <w:hideMark/>
          </w:tcPr>
          <w:p w14:paraId="5182F680"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Q50</w:t>
            </w:r>
          </w:p>
        </w:tc>
        <w:tc>
          <w:tcPr>
            <w:tcW w:w="221" w:type="pct"/>
            <w:tcBorders>
              <w:top w:val="single" w:sz="4" w:space="0" w:color="auto"/>
              <w:left w:val="nil"/>
              <w:bottom w:val="single" w:sz="4" w:space="0" w:color="auto"/>
              <w:right w:val="nil"/>
            </w:tcBorders>
          </w:tcPr>
          <w:p w14:paraId="2837770D"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92" w:type="pct"/>
            <w:tcBorders>
              <w:top w:val="single" w:sz="4" w:space="0" w:color="auto"/>
              <w:left w:val="nil"/>
              <w:bottom w:val="single" w:sz="4" w:space="0" w:color="auto"/>
              <w:right w:val="nil"/>
            </w:tcBorders>
            <w:shd w:val="clear" w:color="auto" w:fill="auto"/>
            <w:noWrap/>
            <w:vAlign w:val="bottom"/>
            <w:hideMark/>
          </w:tcPr>
          <w:p w14:paraId="72DEEC6F"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Q75</w:t>
            </w:r>
          </w:p>
        </w:tc>
        <w:tc>
          <w:tcPr>
            <w:tcW w:w="221" w:type="pct"/>
            <w:tcBorders>
              <w:top w:val="single" w:sz="4" w:space="0" w:color="auto"/>
              <w:left w:val="nil"/>
              <w:bottom w:val="single" w:sz="4" w:space="0" w:color="auto"/>
              <w:right w:val="nil"/>
            </w:tcBorders>
          </w:tcPr>
          <w:p w14:paraId="6D215FCC"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92" w:type="pct"/>
            <w:tcBorders>
              <w:top w:val="single" w:sz="4" w:space="0" w:color="auto"/>
              <w:left w:val="nil"/>
              <w:bottom w:val="single" w:sz="4" w:space="0" w:color="auto"/>
              <w:right w:val="nil"/>
            </w:tcBorders>
            <w:shd w:val="clear" w:color="auto" w:fill="auto"/>
            <w:noWrap/>
            <w:vAlign w:val="bottom"/>
            <w:hideMark/>
          </w:tcPr>
          <w:p w14:paraId="34651084"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Q90</w:t>
            </w:r>
          </w:p>
        </w:tc>
        <w:tc>
          <w:tcPr>
            <w:tcW w:w="221" w:type="pct"/>
            <w:tcBorders>
              <w:top w:val="single" w:sz="4" w:space="0" w:color="auto"/>
              <w:left w:val="nil"/>
              <w:bottom w:val="single" w:sz="4" w:space="0" w:color="auto"/>
              <w:right w:val="nil"/>
            </w:tcBorders>
          </w:tcPr>
          <w:p w14:paraId="24377817"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c>
          <w:tcPr>
            <w:tcW w:w="592" w:type="pct"/>
            <w:tcBorders>
              <w:top w:val="single" w:sz="4" w:space="0" w:color="auto"/>
              <w:left w:val="nil"/>
              <w:bottom w:val="single" w:sz="4" w:space="0" w:color="auto"/>
              <w:right w:val="nil"/>
            </w:tcBorders>
            <w:shd w:val="clear" w:color="auto" w:fill="auto"/>
            <w:noWrap/>
            <w:vAlign w:val="bottom"/>
            <w:hideMark/>
          </w:tcPr>
          <w:p w14:paraId="7F06BF8D"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Q95</w:t>
            </w:r>
          </w:p>
        </w:tc>
        <w:tc>
          <w:tcPr>
            <w:tcW w:w="221" w:type="pct"/>
            <w:tcBorders>
              <w:top w:val="single" w:sz="4" w:space="0" w:color="auto"/>
              <w:left w:val="nil"/>
              <w:bottom w:val="single" w:sz="4" w:space="0" w:color="auto"/>
              <w:right w:val="nil"/>
            </w:tcBorders>
          </w:tcPr>
          <w:p w14:paraId="40EF8314"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w:t>
            </w:r>
          </w:p>
        </w:tc>
      </w:tr>
      <w:tr w:rsidR="00D34C8A" w:rsidRPr="0003410E" w14:paraId="359B9DAF" w14:textId="77777777" w:rsidTr="00387A1A">
        <w:trPr>
          <w:trHeight w:val="300"/>
          <w:jc w:val="center"/>
        </w:trPr>
        <w:tc>
          <w:tcPr>
            <w:tcW w:w="933" w:type="pct"/>
            <w:tcBorders>
              <w:top w:val="single" w:sz="4" w:space="0" w:color="auto"/>
              <w:left w:val="nil"/>
              <w:bottom w:val="nil"/>
              <w:right w:val="nil"/>
            </w:tcBorders>
            <w:shd w:val="clear" w:color="auto" w:fill="auto"/>
            <w:noWrap/>
            <w:vAlign w:val="bottom"/>
            <w:hideMark/>
          </w:tcPr>
          <w:p w14:paraId="540A6D4B"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Δ</w:t>
            </w:r>
            <w:r w:rsidRPr="0003410E">
              <w:rPr>
                <w:rFonts w:ascii="Garamond" w:eastAsia="Times New Roman" w:hAnsi="Garamond" w:cs="Times New Roman"/>
                <w:b/>
                <w:bCs/>
                <w:color w:val="000000"/>
                <w:sz w:val="20"/>
                <w:szCs w:val="20"/>
                <w:vertAlign w:val="subscript"/>
                <w:lang w:eastAsia="it-IT"/>
              </w:rPr>
              <w:t>M-F</w:t>
            </w:r>
          </w:p>
        </w:tc>
        <w:tc>
          <w:tcPr>
            <w:tcW w:w="592" w:type="pct"/>
            <w:tcBorders>
              <w:top w:val="single" w:sz="4" w:space="0" w:color="auto"/>
              <w:left w:val="nil"/>
              <w:bottom w:val="nil"/>
              <w:right w:val="nil"/>
            </w:tcBorders>
            <w:shd w:val="clear" w:color="auto" w:fill="auto"/>
            <w:noWrap/>
            <w:vAlign w:val="bottom"/>
            <w:hideMark/>
          </w:tcPr>
          <w:p w14:paraId="2F0FBFF9"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-0.330***</w:t>
            </w:r>
          </w:p>
        </w:tc>
        <w:tc>
          <w:tcPr>
            <w:tcW w:w="221" w:type="pct"/>
            <w:tcBorders>
              <w:top w:val="single" w:sz="4" w:space="0" w:color="auto"/>
              <w:left w:val="nil"/>
              <w:bottom w:val="nil"/>
              <w:right w:val="nil"/>
            </w:tcBorders>
          </w:tcPr>
          <w:p w14:paraId="0A447240"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592" w:type="pct"/>
            <w:tcBorders>
              <w:top w:val="single" w:sz="4" w:space="0" w:color="auto"/>
              <w:left w:val="nil"/>
              <w:bottom w:val="nil"/>
              <w:right w:val="nil"/>
            </w:tcBorders>
            <w:shd w:val="clear" w:color="auto" w:fill="auto"/>
            <w:noWrap/>
            <w:vAlign w:val="bottom"/>
            <w:hideMark/>
          </w:tcPr>
          <w:p w14:paraId="7EDFBCF7"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-0.25***</w:t>
            </w:r>
          </w:p>
        </w:tc>
        <w:tc>
          <w:tcPr>
            <w:tcW w:w="221" w:type="pct"/>
            <w:tcBorders>
              <w:top w:val="single" w:sz="4" w:space="0" w:color="auto"/>
              <w:left w:val="nil"/>
              <w:bottom w:val="nil"/>
              <w:right w:val="nil"/>
            </w:tcBorders>
          </w:tcPr>
          <w:p w14:paraId="68614704"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592" w:type="pct"/>
            <w:tcBorders>
              <w:top w:val="single" w:sz="4" w:space="0" w:color="auto"/>
              <w:left w:val="nil"/>
              <w:bottom w:val="nil"/>
              <w:right w:val="nil"/>
            </w:tcBorders>
            <w:shd w:val="clear" w:color="auto" w:fill="auto"/>
            <w:noWrap/>
            <w:vAlign w:val="bottom"/>
            <w:hideMark/>
          </w:tcPr>
          <w:p w14:paraId="76EE44E2"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-0.381***</w:t>
            </w:r>
          </w:p>
        </w:tc>
        <w:tc>
          <w:tcPr>
            <w:tcW w:w="221" w:type="pct"/>
            <w:tcBorders>
              <w:top w:val="single" w:sz="4" w:space="0" w:color="auto"/>
              <w:left w:val="nil"/>
              <w:bottom w:val="nil"/>
              <w:right w:val="nil"/>
            </w:tcBorders>
          </w:tcPr>
          <w:p w14:paraId="2DD5898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592" w:type="pct"/>
            <w:tcBorders>
              <w:top w:val="single" w:sz="4" w:space="0" w:color="auto"/>
              <w:left w:val="nil"/>
              <w:bottom w:val="nil"/>
              <w:right w:val="nil"/>
            </w:tcBorders>
            <w:shd w:val="clear" w:color="auto" w:fill="auto"/>
            <w:noWrap/>
            <w:vAlign w:val="bottom"/>
            <w:hideMark/>
          </w:tcPr>
          <w:p w14:paraId="740A3B49"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-0.244***</w:t>
            </w:r>
          </w:p>
        </w:tc>
        <w:tc>
          <w:tcPr>
            <w:tcW w:w="221" w:type="pct"/>
            <w:tcBorders>
              <w:top w:val="single" w:sz="4" w:space="0" w:color="auto"/>
              <w:left w:val="nil"/>
              <w:bottom w:val="nil"/>
              <w:right w:val="nil"/>
            </w:tcBorders>
          </w:tcPr>
          <w:p w14:paraId="47915CA6"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p>
        </w:tc>
        <w:tc>
          <w:tcPr>
            <w:tcW w:w="592" w:type="pct"/>
            <w:tcBorders>
              <w:top w:val="single" w:sz="4" w:space="0" w:color="auto"/>
              <w:left w:val="nil"/>
              <w:bottom w:val="nil"/>
              <w:right w:val="nil"/>
            </w:tcBorders>
            <w:shd w:val="clear" w:color="auto" w:fill="auto"/>
            <w:noWrap/>
            <w:vAlign w:val="bottom"/>
            <w:hideMark/>
          </w:tcPr>
          <w:p w14:paraId="2E9C3355"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-0.103**</w:t>
            </w:r>
          </w:p>
        </w:tc>
        <w:tc>
          <w:tcPr>
            <w:tcW w:w="221" w:type="pct"/>
            <w:tcBorders>
              <w:top w:val="single" w:sz="4" w:space="0" w:color="auto"/>
              <w:left w:val="nil"/>
              <w:bottom w:val="nil"/>
              <w:right w:val="nil"/>
            </w:tcBorders>
          </w:tcPr>
          <w:p w14:paraId="396A145A" w14:textId="77777777" w:rsidR="00D34C8A" w:rsidRPr="0003410E" w:rsidRDefault="00D34C8A" w:rsidP="00D34C8A">
            <w:pPr>
              <w:spacing w:after="0" w:line="240" w:lineRule="auto"/>
              <w:rPr>
                <w:rFonts w:ascii="Garamond" w:eastAsia="Times New Roman" w:hAnsi="Garamond" w:cs="Times New Roman"/>
                <w:color w:val="000000"/>
                <w:sz w:val="20"/>
                <w:szCs w:val="20"/>
                <w:lang w:eastAsia="it-IT"/>
              </w:rPr>
            </w:pPr>
          </w:p>
        </w:tc>
      </w:tr>
      <w:tr w:rsidR="00D34C8A" w:rsidRPr="0003410E" w14:paraId="72578D15" w14:textId="77777777" w:rsidTr="00387A1A">
        <w:trPr>
          <w:trHeight w:val="300"/>
          <w:jc w:val="center"/>
        </w:trPr>
        <w:tc>
          <w:tcPr>
            <w:tcW w:w="933" w:type="pct"/>
            <w:tcBorders>
              <w:top w:val="nil"/>
              <w:left w:val="nil"/>
              <w:bottom w:val="single" w:sz="4" w:space="0" w:color="auto"/>
              <w:right w:val="nil"/>
            </w:tcBorders>
            <w:shd w:val="clear" w:color="auto" w:fill="auto"/>
            <w:noWrap/>
            <w:vAlign w:val="bottom"/>
            <w:hideMark/>
          </w:tcPr>
          <w:p w14:paraId="2DFD0603" w14:textId="77777777" w:rsidR="00D34C8A" w:rsidRPr="0003410E" w:rsidRDefault="00D34C8A" w:rsidP="00D34C8A">
            <w:pPr>
              <w:spacing w:after="0" w:line="240" w:lineRule="auto"/>
              <w:jc w:val="center"/>
              <w:rPr>
                <w:rFonts w:ascii="Garamond" w:eastAsia="Times New Roman" w:hAnsi="Garamond" w:cs="Times New Roman"/>
                <w:b/>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5EDC66D9"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0.014</w:t>
            </w:r>
          </w:p>
        </w:tc>
        <w:tc>
          <w:tcPr>
            <w:tcW w:w="221" w:type="pct"/>
            <w:tcBorders>
              <w:top w:val="nil"/>
              <w:left w:val="nil"/>
              <w:bottom w:val="single" w:sz="4" w:space="0" w:color="auto"/>
              <w:right w:val="nil"/>
            </w:tcBorders>
          </w:tcPr>
          <w:p w14:paraId="486270CB"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038DED0C"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0.014</w:t>
            </w:r>
          </w:p>
        </w:tc>
        <w:tc>
          <w:tcPr>
            <w:tcW w:w="221" w:type="pct"/>
            <w:tcBorders>
              <w:top w:val="nil"/>
              <w:left w:val="nil"/>
              <w:bottom w:val="single" w:sz="4" w:space="0" w:color="auto"/>
              <w:right w:val="nil"/>
            </w:tcBorders>
          </w:tcPr>
          <w:p w14:paraId="76CB9BE7"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7C28F61C"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0.019</w:t>
            </w:r>
          </w:p>
        </w:tc>
        <w:tc>
          <w:tcPr>
            <w:tcW w:w="221" w:type="pct"/>
            <w:tcBorders>
              <w:top w:val="nil"/>
              <w:left w:val="nil"/>
              <w:bottom w:val="single" w:sz="4" w:space="0" w:color="auto"/>
              <w:right w:val="nil"/>
            </w:tcBorders>
          </w:tcPr>
          <w:p w14:paraId="4A76807D"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3F2C200A"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0.029</w:t>
            </w:r>
          </w:p>
        </w:tc>
        <w:tc>
          <w:tcPr>
            <w:tcW w:w="221" w:type="pct"/>
            <w:tcBorders>
              <w:top w:val="nil"/>
              <w:left w:val="nil"/>
              <w:bottom w:val="single" w:sz="4" w:space="0" w:color="auto"/>
              <w:right w:val="nil"/>
            </w:tcBorders>
          </w:tcPr>
          <w:p w14:paraId="1AD5F74D"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1D7D0C62"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0.04</w:t>
            </w:r>
          </w:p>
        </w:tc>
        <w:tc>
          <w:tcPr>
            <w:tcW w:w="221" w:type="pct"/>
            <w:tcBorders>
              <w:top w:val="nil"/>
              <w:left w:val="nil"/>
              <w:bottom w:val="single" w:sz="4" w:space="0" w:color="auto"/>
              <w:right w:val="nil"/>
            </w:tcBorders>
          </w:tcPr>
          <w:p w14:paraId="6150C30C"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r>
      <w:tr w:rsidR="00D34C8A" w:rsidRPr="0003410E" w14:paraId="38F0B37C" w14:textId="77777777" w:rsidTr="00387A1A">
        <w:trPr>
          <w:trHeight w:val="300"/>
          <w:jc w:val="center"/>
        </w:trPr>
        <w:tc>
          <w:tcPr>
            <w:tcW w:w="933" w:type="pct"/>
            <w:tcBorders>
              <w:top w:val="single" w:sz="4" w:space="0" w:color="auto"/>
              <w:left w:val="nil"/>
              <w:bottom w:val="nil"/>
              <w:right w:val="nil"/>
            </w:tcBorders>
            <w:shd w:val="clear" w:color="auto" w:fill="auto"/>
            <w:noWrap/>
            <w:vAlign w:val="bottom"/>
            <w:hideMark/>
          </w:tcPr>
          <w:p w14:paraId="23CC43C9"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Compositional</w:t>
            </w:r>
          </w:p>
        </w:tc>
        <w:tc>
          <w:tcPr>
            <w:tcW w:w="592" w:type="pct"/>
            <w:tcBorders>
              <w:top w:val="single" w:sz="4" w:space="0" w:color="auto"/>
              <w:left w:val="nil"/>
              <w:bottom w:val="nil"/>
              <w:right w:val="nil"/>
            </w:tcBorders>
            <w:shd w:val="clear" w:color="auto" w:fill="auto"/>
            <w:noWrap/>
            <w:vAlign w:val="bottom"/>
            <w:hideMark/>
          </w:tcPr>
          <w:p w14:paraId="6E5131E2"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-0.022***</w:t>
            </w:r>
          </w:p>
        </w:tc>
        <w:tc>
          <w:tcPr>
            <w:tcW w:w="221" w:type="pct"/>
            <w:tcBorders>
              <w:top w:val="single" w:sz="4" w:space="0" w:color="auto"/>
              <w:left w:val="nil"/>
              <w:bottom w:val="nil"/>
              <w:right w:val="nil"/>
            </w:tcBorders>
          </w:tcPr>
          <w:p w14:paraId="3BF3B053" w14:textId="64C3A88C" w:rsidR="00D34C8A" w:rsidRPr="0003410E" w:rsidRDefault="00822E7D" w:rsidP="00D34C8A">
            <w:pPr>
              <w:spacing w:after="0" w:line="240" w:lineRule="auto"/>
              <w:jc w:val="center"/>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7</w:t>
            </w:r>
          </w:p>
        </w:tc>
        <w:tc>
          <w:tcPr>
            <w:tcW w:w="592" w:type="pct"/>
            <w:tcBorders>
              <w:top w:val="single" w:sz="4" w:space="0" w:color="auto"/>
              <w:left w:val="nil"/>
              <w:bottom w:val="nil"/>
              <w:right w:val="nil"/>
            </w:tcBorders>
            <w:shd w:val="clear" w:color="auto" w:fill="auto"/>
            <w:noWrap/>
            <w:vAlign w:val="bottom"/>
            <w:hideMark/>
          </w:tcPr>
          <w:p w14:paraId="0EC0387F"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-0.027***</w:t>
            </w:r>
          </w:p>
        </w:tc>
        <w:tc>
          <w:tcPr>
            <w:tcW w:w="221" w:type="pct"/>
            <w:tcBorders>
              <w:top w:val="single" w:sz="4" w:space="0" w:color="auto"/>
              <w:left w:val="nil"/>
              <w:bottom w:val="nil"/>
              <w:right w:val="nil"/>
            </w:tcBorders>
          </w:tcPr>
          <w:p w14:paraId="7F441987"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11</w:t>
            </w:r>
          </w:p>
        </w:tc>
        <w:tc>
          <w:tcPr>
            <w:tcW w:w="592" w:type="pct"/>
            <w:tcBorders>
              <w:top w:val="single" w:sz="4" w:space="0" w:color="auto"/>
              <w:left w:val="nil"/>
              <w:bottom w:val="nil"/>
              <w:right w:val="nil"/>
            </w:tcBorders>
            <w:shd w:val="clear" w:color="auto" w:fill="auto"/>
            <w:noWrap/>
            <w:vAlign w:val="bottom"/>
            <w:hideMark/>
          </w:tcPr>
          <w:p w14:paraId="7294557D"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-0.033***</w:t>
            </w:r>
          </w:p>
        </w:tc>
        <w:tc>
          <w:tcPr>
            <w:tcW w:w="221" w:type="pct"/>
            <w:tcBorders>
              <w:top w:val="single" w:sz="4" w:space="0" w:color="auto"/>
              <w:left w:val="nil"/>
              <w:bottom w:val="nil"/>
              <w:right w:val="nil"/>
            </w:tcBorders>
          </w:tcPr>
          <w:p w14:paraId="3FA08995"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9</w:t>
            </w:r>
          </w:p>
        </w:tc>
        <w:tc>
          <w:tcPr>
            <w:tcW w:w="592" w:type="pct"/>
            <w:tcBorders>
              <w:top w:val="single" w:sz="4" w:space="0" w:color="auto"/>
              <w:left w:val="nil"/>
              <w:bottom w:val="nil"/>
              <w:right w:val="nil"/>
            </w:tcBorders>
            <w:shd w:val="clear" w:color="auto" w:fill="auto"/>
            <w:noWrap/>
            <w:vAlign w:val="bottom"/>
            <w:hideMark/>
          </w:tcPr>
          <w:p w14:paraId="0CCAE5A2"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-0.034***</w:t>
            </w:r>
          </w:p>
        </w:tc>
        <w:tc>
          <w:tcPr>
            <w:tcW w:w="221" w:type="pct"/>
            <w:tcBorders>
              <w:top w:val="single" w:sz="4" w:space="0" w:color="auto"/>
              <w:left w:val="nil"/>
              <w:bottom w:val="nil"/>
              <w:right w:val="nil"/>
            </w:tcBorders>
          </w:tcPr>
          <w:p w14:paraId="5ED83CC9"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14</w:t>
            </w:r>
          </w:p>
        </w:tc>
        <w:tc>
          <w:tcPr>
            <w:tcW w:w="592" w:type="pct"/>
            <w:tcBorders>
              <w:top w:val="single" w:sz="4" w:space="0" w:color="auto"/>
              <w:left w:val="nil"/>
              <w:bottom w:val="nil"/>
              <w:right w:val="nil"/>
            </w:tcBorders>
            <w:shd w:val="clear" w:color="auto" w:fill="auto"/>
            <w:noWrap/>
            <w:vAlign w:val="bottom"/>
            <w:hideMark/>
          </w:tcPr>
          <w:p w14:paraId="28A0C90E"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-0.033***</w:t>
            </w:r>
          </w:p>
        </w:tc>
        <w:tc>
          <w:tcPr>
            <w:tcW w:w="221" w:type="pct"/>
            <w:tcBorders>
              <w:top w:val="single" w:sz="4" w:space="0" w:color="auto"/>
              <w:left w:val="nil"/>
              <w:bottom w:val="nil"/>
              <w:right w:val="nil"/>
            </w:tcBorders>
          </w:tcPr>
          <w:p w14:paraId="3B4DF65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32</w:t>
            </w:r>
          </w:p>
        </w:tc>
      </w:tr>
      <w:tr w:rsidR="00D34C8A" w:rsidRPr="0003410E" w14:paraId="66DD7AD1" w14:textId="77777777" w:rsidTr="00387A1A">
        <w:trPr>
          <w:trHeight w:val="300"/>
          <w:jc w:val="center"/>
        </w:trPr>
        <w:tc>
          <w:tcPr>
            <w:tcW w:w="933" w:type="pct"/>
            <w:tcBorders>
              <w:top w:val="nil"/>
              <w:left w:val="nil"/>
              <w:bottom w:val="single" w:sz="4" w:space="0" w:color="auto"/>
              <w:right w:val="nil"/>
            </w:tcBorders>
            <w:shd w:val="clear" w:color="auto" w:fill="auto"/>
            <w:noWrap/>
            <w:vAlign w:val="bottom"/>
            <w:hideMark/>
          </w:tcPr>
          <w:p w14:paraId="05227F41" w14:textId="77777777" w:rsidR="00D34C8A" w:rsidRPr="0003410E" w:rsidRDefault="00D34C8A" w:rsidP="00D34C8A">
            <w:pPr>
              <w:spacing w:after="0" w:line="240" w:lineRule="auto"/>
              <w:jc w:val="center"/>
              <w:rPr>
                <w:rFonts w:ascii="Garamond" w:eastAsia="Times New Roman" w:hAnsi="Garamond" w:cs="Times New Roman"/>
                <w:b/>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1778A6F9"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0.004</w:t>
            </w:r>
          </w:p>
        </w:tc>
        <w:tc>
          <w:tcPr>
            <w:tcW w:w="221" w:type="pct"/>
            <w:tcBorders>
              <w:top w:val="nil"/>
              <w:left w:val="nil"/>
              <w:bottom w:val="single" w:sz="4" w:space="0" w:color="auto"/>
              <w:right w:val="nil"/>
            </w:tcBorders>
          </w:tcPr>
          <w:p w14:paraId="0AAA6771"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464F0A61"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0.004</w:t>
            </w:r>
          </w:p>
        </w:tc>
        <w:tc>
          <w:tcPr>
            <w:tcW w:w="221" w:type="pct"/>
            <w:tcBorders>
              <w:top w:val="nil"/>
              <w:left w:val="nil"/>
              <w:bottom w:val="single" w:sz="4" w:space="0" w:color="auto"/>
              <w:right w:val="nil"/>
            </w:tcBorders>
          </w:tcPr>
          <w:p w14:paraId="614E0B25"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0A0E7777"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0.006</w:t>
            </w:r>
          </w:p>
        </w:tc>
        <w:tc>
          <w:tcPr>
            <w:tcW w:w="221" w:type="pct"/>
            <w:tcBorders>
              <w:top w:val="nil"/>
              <w:left w:val="nil"/>
              <w:bottom w:val="single" w:sz="4" w:space="0" w:color="auto"/>
              <w:right w:val="nil"/>
            </w:tcBorders>
          </w:tcPr>
          <w:p w14:paraId="6809CEB8"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5B4C556A"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0.007</w:t>
            </w:r>
          </w:p>
        </w:tc>
        <w:tc>
          <w:tcPr>
            <w:tcW w:w="221" w:type="pct"/>
            <w:tcBorders>
              <w:top w:val="nil"/>
              <w:left w:val="nil"/>
              <w:bottom w:val="single" w:sz="4" w:space="0" w:color="auto"/>
              <w:right w:val="nil"/>
            </w:tcBorders>
          </w:tcPr>
          <w:p w14:paraId="1A75A4EB"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2E4483F2"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r w:rsidRPr="0003410E">
              <w:rPr>
                <w:rFonts w:ascii="Garamond" w:eastAsia="Times New Roman" w:hAnsi="Garamond" w:cs="Times New Roman"/>
                <w:i/>
                <w:color w:val="000000"/>
                <w:sz w:val="20"/>
                <w:szCs w:val="20"/>
                <w:lang w:eastAsia="it-IT"/>
              </w:rPr>
              <w:t>0.009</w:t>
            </w:r>
          </w:p>
        </w:tc>
        <w:tc>
          <w:tcPr>
            <w:tcW w:w="221" w:type="pct"/>
            <w:tcBorders>
              <w:top w:val="nil"/>
              <w:left w:val="nil"/>
              <w:bottom w:val="single" w:sz="4" w:space="0" w:color="auto"/>
              <w:right w:val="nil"/>
            </w:tcBorders>
          </w:tcPr>
          <w:p w14:paraId="158693B6" w14:textId="77777777" w:rsidR="00D34C8A" w:rsidRPr="0003410E" w:rsidRDefault="00D34C8A" w:rsidP="00D34C8A">
            <w:pPr>
              <w:spacing w:after="0" w:line="240" w:lineRule="auto"/>
              <w:jc w:val="center"/>
              <w:rPr>
                <w:rFonts w:ascii="Garamond" w:eastAsia="Times New Roman" w:hAnsi="Garamond" w:cs="Times New Roman"/>
                <w:i/>
                <w:color w:val="000000"/>
                <w:sz w:val="20"/>
                <w:szCs w:val="20"/>
                <w:lang w:eastAsia="it-IT"/>
              </w:rPr>
            </w:pPr>
          </w:p>
        </w:tc>
      </w:tr>
      <w:tr w:rsidR="00D34C8A" w:rsidRPr="0003410E" w14:paraId="56BD505F" w14:textId="77777777" w:rsidTr="00387A1A">
        <w:trPr>
          <w:trHeight w:val="300"/>
          <w:jc w:val="center"/>
        </w:trPr>
        <w:tc>
          <w:tcPr>
            <w:tcW w:w="933" w:type="pct"/>
            <w:tcBorders>
              <w:top w:val="single" w:sz="4" w:space="0" w:color="auto"/>
              <w:left w:val="nil"/>
              <w:bottom w:val="nil"/>
              <w:right w:val="nil"/>
            </w:tcBorders>
            <w:shd w:val="clear" w:color="auto" w:fill="auto"/>
            <w:noWrap/>
            <w:vAlign w:val="bottom"/>
            <w:hideMark/>
          </w:tcPr>
          <w:p w14:paraId="59BD8BA0" w14:textId="77777777" w:rsidR="00D34C8A" w:rsidRPr="0003410E" w:rsidRDefault="00D34C8A" w:rsidP="00D34C8A">
            <w:pPr>
              <w:spacing w:after="0" w:line="240" w:lineRule="auto"/>
              <w:jc w:val="center"/>
              <w:rPr>
                <w:rFonts w:ascii="Garamond" w:eastAsia="Times New Roman" w:hAnsi="Garamond" w:cs="Times New Roman"/>
                <w:b/>
                <w:bCs/>
                <w:color w:val="000000"/>
                <w:sz w:val="20"/>
                <w:szCs w:val="20"/>
                <w:lang w:eastAsia="it-IT"/>
              </w:rPr>
            </w:pPr>
            <w:r w:rsidRPr="0003410E">
              <w:rPr>
                <w:rFonts w:ascii="Garamond" w:eastAsia="Times New Roman" w:hAnsi="Garamond" w:cs="Times New Roman"/>
                <w:b/>
                <w:bCs/>
                <w:color w:val="000000"/>
                <w:sz w:val="20"/>
                <w:szCs w:val="20"/>
                <w:lang w:eastAsia="it-IT"/>
              </w:rPr>
              <w:t>Elasticity</w:t>
            </w:r>
          </w:p>
        </w:tc>
        <w:tc>
          <w:tcPr>
            <w:tcW w:w="592" w:type="pct"/>
            <w:tcBorders>
              <w:top w:val="single" w:sz="4" w:space="0" w:color="auto"/>
              <w:left w:val="nil"/>
              <w:bottom w:val="nil"/>
              <w:right w:val="nil"/>
            </w:tcBorders>
            <w:shd w:val="clear" w:color="auto" w:fill="auto"/>
            <w:noWrap/>
            <w:vAlign w:val="bottom"/>
            <w:hideMark/>
          </w:tcPr>
          <w:p w14:paraId="57A261F3"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-0.307***</w:t>
            </w:r>
          </w:p>
        </w:tc>
        <w:tc>
          <w:tcPr>
            <w:tcW w:w="221" w:type="pct"/>
            <w:tcBorders>
              <w:top w:val="single" w:sz="4" w:space="0" w:color="auto"/>
              <w:left w:val="nil"/>
              <w:bottom w:val="nil"/>
              <w:right w:val="nil"/>
            </w:tcBorders>
          </w:tcPr>
          <w:p w14:paraId="0B94858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93</w:t>
            </w:r>
          </w:p>
        </w:tc>
        <w:tc>
          <w:tcPr>
            <w:tcW w:w="592" w:type="pct"/>
            <w:tcBorders>
              <w:top w:val="single" w:sz="4" w:space="0" w:color="auto"/>
              <w:left w:val="nil"/>
              <w:bottom w:val="nil"/>
              <w:right w:val="nil"/>
            </w:tcBorders>
            <w:shd w:val="clear" w:color="auto" w:fill="auto"/>
            <w:noWrap/>
            <w:vAlign w:val="bottom"/>
            <w:hideMark/>
          </w:tcPr>
          <w:p w14:paraId="5BD3C5F0"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-0.223***</w:t>
            </w:r>
          </w:p>
        </w:tc>
        <w:tc>
          <w:tcPr>
            <w:tcW w:w="221" w:type="pct"/>
            <w:tcBorders>
              <w:top w:val="single" w:sz="4" w:space="0" w:color="auto"/>
              <w:left w:val="nil"/>
              <w:bottom w:val="nil"/>
              <w:right w:val="nil"/>
            </w:tcBorders>
          </w:tcPr>
          <w:p w14:paraId="665D7AF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89</w:t>
            </w:r>
          </w:p>
        </w:tc>
        <w:tc>
          <w:tcPr>
            <w:tcW w:w="592" w:type="pct"/>
            <w:tcBorders>
              <w:top w:val="single" w:sz="4" w:space="0" w:color="auto"/>
              <w:left w:val="nil"/>
              <w:bottom w:val="nil"/>
              <w:right w:val="nil"/>
            </w:tcBorders>
            <w:shd w:val="clear" w:color="auto" w:fill="auto"/>
            <w:noWrap/>
            <w:vAlign w:val="bottom"/>
            <w:hideMark/>
          </w:tcPr>
          <w:p w14:paraId="2B43AD27"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-0.348***</w:t>
            </w:r>
          </w:p>
        </w:tc>
        <w:tc>
          <w:tcPr>
            <w:tcW w:w="221" w:type="pct"/>
            <w:tcBorders>
              <w:top w:val="single" w:sz="4" w:space="0" w:color="auto"/>
              <w:left w:val="nil"/>
              <w:bottom w:val="nil"/>
              <w:right w:val="nil"/>
            </w:tcBorders>
          </w:tcPr>
          <w:p w14:paraId="5E566CF6"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91</w:t>
            </w:r>
          </w:p>
        </w:tc>
        <w:tc>
          <w:tcPr>
            <w:tcW w:w="592" w:type="pct"/>
            <w:tcBorders>
              <w:top w:val="single" w:sz="4" w:space="0" w:color="auto"/>
              <w:left w:val="nil"/>
              <w:bottom w:val="nil"/>
              <w:right w:val="nil"/>
            </w:tcBorders>
            <w:shd w:val="clear" w:color="auto" w:fill="auto"/>
            <w:noWrap/>
            <w:vAlign w:val="bottom"/>
            <w:hideMark/>
          </w:tcPr>
          <w:p w14:paraId="349EF142"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-0.209***</w:t>
            </w:r>
          </w:p>
        </w:tc>
        <w:tc>
          <w:tcPr>
            <w:tcW w:w="221" w:type="pct"/>
            <w:tcBorders>
              <w:top w:val="single" w:sz="4" w:space="0" w:color="auto"/>
              <w:left w:val="nil"/>
              <w:bottom w:val="nil"/>
              <w:right w:val="nil"/>
            </w:tcBorders>
          </w:tcPr>
          <w:p w14:paraId="509A4D4A"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86</w:t>
            </w:r>
          </w:p>
        </w:tc>
        <w:tc>
          <w:tcPr>
            <w:tcW w:w="592" w:type="pct"/>
            <w:tcBorders>
              <w:top w:val="single" w:sz="4" w:space="0" w:color="auto"/>
              <w:left w:val="nil"/>
              <w:bottom w:val="nil"/>
              <w:right w:val="nil"/>
            </w:tcBorders>
            <w:shd w:val="clear" w:color="auto" w:fill="auto"/>
            <w:noWrap/>
            <w:vAlign w:val="bottom"/>
            <w:hideMark/>
          </w:tcPr>
          <w:p w14:paraId="4A93E154"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-0.069*</w:t>
            </w:r>
          </w:p>
        </w:tc>
        <w:tc>
          <w:tcPr>
            <w:tcW w:w="221" w:type="pct"/>
            <w:tcBorders>
              <w:top w:val="single" w:sz="4" w:space="0" w:color="auto"/>
              <w:left w:val="nil"/>
              <w:bottom w:val="nil"/>
              <w:right w:val="nil"/>
            </w:tcBorders>
          </w:tcPr>
          <w:p w14:paraId="26383E5E" w14:textId="77777777" w:rsidR="00D34C8A" w:rsidRPr="0003410E" w:rsidRDefault="00D34C8A" w:rsidP="00D34C8A">
            <w:pPr>
              <w:spacing w:after="0" w:line="240" w:lineRule="auto"/>
              <w:jc w:val="center"/>
              <w:rPr>
                <w:rFonts w:ascii="Garamond" w:eastAsia="Times New Roman" w:hAnsi="Garamond" w:cs="Times New Roman"/>
                <w:color w:val="000000"/>
                <w:sz w:val="20"/>
                <w:szCs w:val="20"/>
                <w:lang w:eastAsia="it-IT"/>
              </w:rPr>
            </w:pPr>
            <w:r w:rsidRPr="0003410E">
              <w:rPr>
                <w:rFonts w:ascii="Garamond" w:eastAsia="Times New Roman" w:hAnsi="Garamond" w:cs="Times New Roman"/>
                <w:color w:val="000000"/>
                <w:sz w:val="20"/>
                <w:szCs w:val="20"/>
                <w:lang w:eastAsia="it-IT"/>
              </w:rPr>
              <w:t>68</w:t>
            </w:r>
          </w:p>
        </w:tc>
      </w:tr>
      <w:tr w:rsidR="00D34C8A" w:rsidRPr="0003410E" w14:paraId="6FDCD364" w14:textId="77777777" w:rsidTr="00387A1A">
        <w:trPr>
          <w:trHeight w:val="300"/>
          <w:jc w:val="center"/>
        </w:trPr>
        <w:tc>
          <w:tcPr>
            <w:tcW w:w="933" w:type="pct"/>
            <w:tcBorders>
              <w:top w:val="nil"/>
              <w:left w:val="nil"/>
              <w:bottom w:val="single" w:sz="4" w:space="0" w:color="auto"/>
              <w:right w:val="nil"/>
            </w:tcBorders>
            <w:shd w:val="clear" w:color="auto" w:fill="auto"/>
            <w:noWrap/>
            <w:vAlign w:val="bottom"/>
            <w:hideMark/>
          </w:tcPr>
          <w:p w14:paraId="37C13D81"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0B615469"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0.014</w:t>
            </w:r>
          </w:p>
        </w:tc>
        <w:tc>
          <w:tcPr>
            <w:tcW w:w="221" w:type="pct"/>
            <w:tcBorders>
              <w:top w:val="nil"/>
              <w:left w:val="nil"/>
              <w:bottom w:val="single" w:sz="4" w:space="0" w:color="auto"/>
              <w:right w:val="nil"/>
            </w:tcBorders>
          </w:tcPr>
          <w:p w14:paraId="2FEFEBC1"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22341A04"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0.014</w:t>
            </w:r>
          </w:p>
        </w:tc>
        <w:tc>
          <w:tcPr>
            <w:tcW w:w="221" w:type="pct"/>
            <w:tcBorders>
              <w:top w:val="nil"/>
              <w:left w:val="nil"/>
              <w:bottom w:val="single" w:sz="4" w:space="0" w:color="auto"/>
              <w:right w:val="nil"/>
            </w:tcBorders>
          </w:tcPr>
          <w:p w14:paraId="43D6C932"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21F1506B"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0.018</w:t>
            </w:r>
          </w:p>
        </w:tc>
        <w:tc>
          <w:tcPr>
            <w:tcW w:w="221" w:type="pct"/>
            <w:tcBorders>
              <w:top w:val="nil"/>
              <w:left w:val="nil"/>
              <w:bottom w:val="single" w:sz="4" w:space="0" w:color="auto"/>
              <w:right w:val="nil"/>
            </w:tcBorders>
          </w:tcPr>
          <w:p w14:paraId="41A6D6C3"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3889D207"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0.028</w:t>
            </w:r>
          </w:p>
        </w:tc>
        <w:tc>
          <w:tcPr>
            <w:tcW w:w="221" w:type="pct"/>
            <w:tcBorders>
              <w:top w:val="nil"/>
              <w:left w:val="nil"/>
              <w:bottom w:val="single" w:sz="4" w:space="0" w:color="auto"/>
              <w:right w:val="nil"/>
            </w:tcBorders>
          </w:tcPr>
          <w:p w14:paraId="1A4B328F"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c>
          <w:tcPr>
            <w:tcW w:w="592" w:type="pct"/>
            <w:tcBorders>
              <w:top w:val="nil"/>
              <w:left w:val="nil"/>
              <w:bottom w:val="single" w:sz="4" w:space="0" w:color="auto"/>
              <w:right w:val="nil"/>
            </w:tcBorders>
            <w:shd w:val="clear" w:color="auto" w:fill="auto"/>
            <w:noWrap/>
            <w:vAlign w:val="bottom"/>
            <w:hideMark/>
          </w:tcPr>
          <w:p w14:paraId="51DF4D86"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r w:rsidRPr="0003410E">
              <w:rPr>
                <w:rFonts w:ascii="Garamond" w:eastAsia="Times New Roman" w:hAnsi="Garamond" w:cs="Times New Roman"/>
                <w:bCs/>
                <w:i/>
                <w:color w:val="000000"/>
                <w:sz w:val="20"/>
                <w:szCs w:val="20"/>
                <w:lang w:eastAsia="it-IT"/>
              </w:rPr>
              <w:t>0.039</w:t>
            </w:r>
          </w:p>
        </w:tc>
        <w:tc>
          <w:tcPr>
            <w:tcW w:w="221" w:type="pct"/>
            <w:tcBorders>
              <w:top w:val="nil"/>
              <w:left w:val="nil"/>
              <w:bottom w:val="single" w:sz="4" w:space="0" w:color="auto"/>
              <w:right w:val="nil"/>
            </w:tcBorders>
          </w:tcPr>
          <w:p w14:paraId="7EADE2A5" w14:textId="77777777" w:rsidR="00D34C8A" w:rsidRPr="0003410E" w:rsidRDefault="00D34C8A" w:rsidP="00D34C8A">
            <w:pPr>
              <w:spacing w:after="0" w:line="240" w:lineRule="auto"/>
              <w:jc w:val="center"/>
              <w:rPr>
                <w:rFonts w:ascii="Garamond" w:eastAsia="Times New Roman" w:hAnsi="Garamond" w:cs="Times New Roman"/>
                <w:bCs/>
                <w:i/>
                <w:color w:val="000000"/>
                <w:sz w:val="20"/>
                <w:szCs w:val="20"/>
                <w:lang w:eastAsia="it-IT"/>
              </w:rPr>
            </w:pPr>
          </w:p>
        </w:tc>
      </w:tr>
    </w:tbl>
    <w:p w14:paraId="05A6A27C" w14:textId="77777777" w:rsidR="00E72489" w:rsidRPr="00267BC6" w:rsidRDefault="005F761C" w:rsidP="00E72489">
      <w:pPr>
        <w:jc w:val="both"/>
        <w:rPr>
          <w:rFonts w:ascii="Garamond" w:hAnsi="Garamond"/>
          <w:sz w:val="16"/>
          <w:szCs w:val="16"/>
        </w:rPr>
      </w:pPr>
      <w:r w:rsidRPr="005568B0">
        <w:rPr>
          <w:rFonts w:ascii="Garamond" w:hAnsi="Garamond"/>
          <w:i/>
          <w:sz w:val="16"/>
          <w:szCs w:val="16"/>
        </w:rPr>
        <w:t>Standard Errors in Italics</w:t>
      </w:r>
      <w:r>
        <w:rPr>
          <w:rFonts w:ascii="Garamond" w:hAnsi="Garamond"/>
          <w:i/>
          <w:sz w:val="16"/>
          <w:szCs w:val="16"/>
        </w:rPr>
        <w:t xml:space="preserve"> </w:t>
      </w:r>
      <w:r w:rsidRPr="005568B0">
        <w:rPr>
          <w:rFonts w:ascii="Garamond" w:hAnsi="Garamond"/>
          <w:sz w:val="16"/>
          <w:szCs w:val="16"/>
        </w:rPr>
        <w:t>; ***, **, * indicate significance at 1%, 5% and 10%, respectively</w:t>
      </w:r>
      <w:r>
        <w:rPr>
          <w:rFonts w:ascii="Garamond" w:hAnsi="Garamond"/>
          <w:sz w:val="16"/>
          <w:szCs w:val="16"/>
        </w:rPr>
        <w:t>.</w:t>
      </w:r>
    </w:p>
    <w:p w14:paraId="64B42BF6" w14:textId="77777777" w:rsidR="00D34C8A" w:rsidRPr="00CE67AB" w:rsidRDefault="00D34C8A" w:rsidP="00D34C8A">
      <w:pPr>
        <w:jc w:val="both"/>
        <w:rPr>
          <w:rFonts w:ascii="Garamond" w:hAnsi="Garamond"/>
          <w:b/>
        </w:rPr>
      </w:pPr>
      <w:r>
        <w:rPr>
          <w:rFonts w:ascii="Garamond" w:hAnsi="Garamond"/>
          <w:b/>
        </w:rPr>
        <w:t xml:space="preserve">Table 10. </w:t>
      </w:r>
      <w:r w:rsidRPr="00CE67AB">
        <w:rPr>
          <w:rFonts w:ascii="Garamond" w:hAnsi="Garamond"/>
          <w:b/>
        </w:rPr>
        <w:t>Oaxaca-Blin</w:t>
      </w:r>
      <w:r>
        <w:rPr>
          <w:rFonts w:ascii="Garamond" w:hAnsi="Garamond"/>
          <w:b/>
        </w:rPr>
        <w:t>der Decomposition of gender differentials in Ferritin</w:t>
      </w:r>
    </w:p>
    <w:tbl>
      <w:tblPr>
        <w:tblW w:w="5000" w:type="pct"/>
        <w:tblCellMar>
          <w:left w:w="70" w:type="dxa"/>
          <w:right w:w="70" w:type="dxa"/>
        </w:tblCellMar>
        <w:tblLook w:val="04A0" w:firstRow="1" w:lastRow="0" w:firstColumn="1" w:lastColumn="0" w:noHBand="0" w:noVBand="1"/>
      </w:tblPr>
      <w:tblGrid>
        <w:gridCol w:w="1284"/>
        <w:gridCol w:w="754"/>
        <w:gridCol w:w="433"/>
        <w:gridCol w:w="751"/>
        <w:gridCol w:w="604"/>
        <w:gridCol w:w="755"/>
        <w:gridCol w:w="605"/>
        <w:gridCol w:w="843"/>
        <w:gridCol w:w="602"/>
        <w:gridCol w:w="843"/>
        <w:gridCol w:w="602"/>
      </w:tblGrid>
      <w:tr w:rsidR="00CB2C63" w:rsidRPr="0003410E" w14:paraId="7ADB8AF1" w14:textId="77777777" w:rsidTr="00387A1A">
        <w:trPr>
          <w:trHeight w:val="315"/>
        </w:trPr>
        <w:tc>
          <w:tcPr>
            <w:tcW w:w="805" w:type="pct"/>
            <w:tcBorders>
              <w:top w:val="single" w:sz="4" w:space="0" w:color="auto"/>
              <w:left w:val="nil"/>
              <w:bottom w:val="single" w:sz="4" w:space="0" w:color="auto"/>
              <w:right w:val="nil"/>
            </w:tcBorders>
            <w:shd w:val="clear" w:color="auto" w:fill="auto"/>
            <w:noWrap/>
            <w:vAlign w:val="bottom"/>
            <w:hideMark/>
          </w:tcPr>
          <w:p w14:paraId="6F07700E" w14:textId="77777777" w:rsidR="00D34C8A" w:rsidRPr="0003410E" w:rsidRDefault="00D34C8A" w:rsidP="00D34C8A">
            <w:pPr>
              <w:spacing w:after="0" w:line="240" w:lineRule="auto"/>
              <w:jc w:val="center"/>
              <w:rPr>
                <w:rFonts w:ascii="Calibri" w:eastAsia="Times New Roman" w:hAnsi="Calibri" w:cs="Times New Roman"/>
                <w:color w:val="000000"/>
                <w:sz w:val="18"/>
                <w:szCs w:val="18"/>
                <w:lang w:eastAsia="it-IT"/>
              </w:rPr>
            </w:pPr>
          </w:p>
        </w:tc>
        <w:tc>
          <w:tcPr>
            <w:tcW w:w="477" w:type="pct"/>
            <w:tcBorders>
              <w:top w:val="single" w:sz="4" w:space="0" w:color="auto"/>
              <w:left w:val="nil"/>
              <w:bottom w:val="single" w:sz="4" w:space="0" w:color="auto"/>
              <w:right w:val="nil"/>
            </w:tcBorders>
            <w:shd w:val="clear" w:color="auto" w:fill="auto"/>
            <w:noWrap/>
            <w:vAlign w:val="bottom"/>
            <w:hideMark/>
          </w:tcPr>
          <w:p w14:paraId="0B62B450"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Q25</w:t>
            </w:r>
          </w:p>
        </w:tc>
        <w:tc>
          <w:tcPr>
            <w:tcW w:w="276" w:type="pct"/>
            <w:tcBorders>
              <w:top w:val="single" w:sz="4" w:space="0" w:color="auto"/>
              <w:left w:val="nil"/>
              <w:bottom w:val="single" w:sz="4" w:space="0" w:color="auto"/>
              <w:right w:val="nil"/>
            </w:tcBorders>
          </w:tcPr>
          <w:p w14:paraId="64AC11D7" w14:textId="77777777" w:rsidR="00D34C8A" w:rsidRPr="0003410E" w:rsidRDefault="00D34C8A" w:rsidP="0003410E">
            <w:pPr>
              <w:spacing w:after="0" w:line="240" w:lineRule="auto"/>
              <w:jc w:val="both"/>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w:t>
            </w:r>
          </w:p>
        </w:tc>
        <w:tc>
          <w:tcPr>
            <w:tcW w:w="477" w:type="pct"/>
            <w:tcBorders>
              <w:top w:val="single" w:sz="4" w:space="0" w:color="auto"/>
              <w:left w:val="nil"/>
              <w:bottom w:val="single" w:sz="4" w:space="0" w:color="auto"/>
              <w:right w:val="nil"/>
            </w:tcBorders>
            <w:shd w:val="clear" w:color="auto" w:fill="auto"/>
            <w:noWrap/>
            <w:vAlign w:val="bottom"/>
            <w:hideMark/>
          </w:tcPr>
          <w:p w14:paraId="38354876"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Q50</w:t>
            </w:r>
          </w:p>
        </w:tc>
        <w:tc>
          <w:tcPr>
            <w:tcW w:w="384" w:type="pct"/>
            <w:tcBorders>
              <w:top w:val="single" w:sz="4" w:space="0" w:color="auto"/>
              <w:left w:val="nil"/>
              <w:bottom w:val="single" w:sz="4" w:space="0" w:color="auto"/>
              <w:right w:val="nil"/>
            </w:tcBorders>
          </w:tcPr>
          <w:p w14:paraId="6F29AB29"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w:t>
            </w:r>
          </w:p>
        </w:tc>
        <w:tc>
          <w:tcPr>
            <w:tcW w:w="477" w:type="pct"/>
            <w:tcBorders>
              <w:top w:val="single" w:sz="4" w:space="0" w:color="auto"/>
              <w:left w:val="nil"/>
              <w:bottom w:val="single" w:sz="4" w:space="0" w:color="auto"/>
              <w:right w:val="nil"/>
            </w:tcBorders>
            <w:shd w:val="clear" w:color="auto" w:fill="auto"/>
            <w:noWrap/>
            <w:vAlign w:val="bottom"/>
            <w:hideMark/>
          </w:tcPr>
          <w:p w14:paraId="2C982AFF"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Q75</w:t>
            </w:r>
          </w:p>
        </w:tc>
        <w:tc>
          <w:tcPr>
            <w:tcW w:w="384" w:type="pct"/>
            <w:tcBorders>
              <w:top w:val="single" w:sz="4" w:space="0" w:color="auto"/>
              <w:left w:val="nil"/>
              <w:bottom w:val="single" w:sz="4" w:space="0" w:color="auto"/>
              <w:right w:val="nil"/>
            </w:tcBorders>
          </w:tcPr>
          <w:p w14:paraId="64B65013"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w:t>
            </w:r>
          </w:p>
        </w:tc>
        <w:tc>
          <w:tcPr>
            <w:tcW w:w="531" w:type="pct"/>
            <w:tcBorders>
              <w:top w:val="single" w:sz="4" w:space="0" w:color="auto"/>
              <w:left w:val="nil"/>
              <w:bottom w:val="single" w:sz="4" w:space="0" w:color="auto"/>
              <w:right w:val="nil"/>
            </w:tcBorders>
            <w:shd w:val="clear" w:color="auto" w:fill="auto"/>
            <w:noWrap/>
            <w:vAlign w:val="bottom"/>
            <w:hideMark/>
          </w:tcPr>
          <w:p w14:paraId="412AE821"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Q90</w:t>
            </w:r>
          </w:p>
        </w:tc>
        <w:tc>
          <w:tcPr>
            <w:tcW w:w="330" w:type="pct"/>
            <w:tcBorders>
              <w:top w:val="single" w:sz="4" w:space="0" w:color="auto"/>
              <w:left w:val="nil"/>
              <w:bottom w:val="single" w:sz="4" w:space="0" w:color="auto"/>
              <w:right w:val="nil"/>
            </w:tcBorders>
          </w:tcPr>
          <w:p w14:paraId="2618242A"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w:t>
            </w:r>
          </w:p>
        </w:tc>
        <w:tc>
          <w:tcPr>
            <w:tcW w:w="531" w:type="pct"/>
            <w:tcBorders>
              <w:top w:val="single" w:sz="4" w:space="0" w:color="auto"/>
              <w:left w:val="nil"/>
              <w:bottom w:val="single" w:sz="4" w:space="0" w:color="auto"/>
              <w:right w:val="nil"/>
            </w:tcBorders>
            <w:shd w:val="clear" w:color="auto" w:fill="auto"/>
            <w:noWrap/>
            <w:vAlign w:val="bottom"/>
            <w:hideMark/>
          </w:tcPr>
          <w:p w14:paraId="07302180"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Q95</w:t>
            </w:r>
          </w:p>
        </w:tc>
        <w:tc>
          <w:tcPr>
            <w:tcW w:w="328" w:type="pct"/>
            <w:tcBorders>
              <w:top w:val="single" w:sz="4" w:space="0" w:color="auto"/>
              <w:left w:val="nil"/>
              <w:bottom w:val="single" w:sz="4" w:space="0" w:color="auto"/>
              <w:right w:val="nil"/>
            </w:tcBorders>
          </w:tcPr>
          <w:p w14:paraId="5C81CE7D"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w:t>
            </w:r>
          </w:p>
        </w:tc>
      </w:tr>
      <w:tr w:rsidR="00CB2C63" w:rsidRPr="0003410E" w14:paraId="693DE682" w14:textId="77777777" w:rsidTr="00387A1A">
        <w:trPr>
          <w:trHeight w:val="300"/>
        </w:trPr>
        <w:tc>
          <w:tcPr>
            <w:tcW w:w="805" w:type="pct"/>
            <w:tcBorders>
              <w:top w:val="single" w:sz="4" w:space="0" w:color="auto"/>
              <w:left w:val="nil"/>
              <w:bottom w:val="nil"/>
              <w:right w:val="nil"/>
            </w:tcBorders>
            <w:shd w:val="clear" w:color="auto" w:fill="auto"/>
            <w:noWrap/>
            <w:vAlign w:val="bottom"/>
            <w:hideMark/>
          </w:tcPr>
          <w:p w14:paraId="536E3137"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Δ</w:t>
            </w:r>
            <w:r w:rsidRPr="0003410E">
              <w:rPr>
                <w:rFonts w:ascii="Garamond" w:eastAsia="Times New Roman" w:hAnsi="Garamond" w:cs="Times New Roman"/>
                <w:b/>
                <w:bCs/>
                <w:color w:val="000000"/>
                <w:sz w:val="18"/>
                <w:szCs w:val="18"/>
                <w:vertAlign w:val="subscript"/>
                <w:lang w:eastAsia="it-IT"/>
              </w:rPr>
              <w:t>M-F</w:t>
            </w:r>
          </w:p>
        </w:tc>
        <w:tc>
          <w:tcPr>
            <w:tcW w:w="477" w:type="pct"/>
            <w:tcBorders>
              <w:top w:val="single" w:sz="4" w:space="0" w:color="auto"/>
              <w:left w:val="nil"/>
              <w:bottom w:val="nil"/>
              <w:right w:val="nil"/>
            </w:tcBorders>
            <w:shd w:val="clear" w:color="auto" w:fill="auto"/>
            <w:noWrap/>
            <w:vAlign w:val="bottom"/>
            <w:hideMark/>
          </w:tcPr>
          <w:p w14:paraId="4562F9F3" w14:textId="54FB0C36" w:rsidR="00D34C8A" w:rsidRPr="0003410E" w:rsidRDefault="0008683F"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0.288</w:t>
            </w:r>
            <w:r w:rsidR="00D34C8A" w:rsidRPr="0003410E">
              <w:rPr>
                <w:rFonts w:ascii="Garamond" w:eastAsia="Times New Roman" w:hAnsi="Garamond" w:cs="Times New Roman"/>
                <w:color w:val="000000"/>
                <w:sz w:val="18"/>
                <w:szCs w:val="18"/>
                <w:lang w:eastAsia="it-IT"/>
              </w:rPr>
              <w:t>***</w:t>
            </w:r>
          </w:p>
        </w:tc>
        <w:tc>
          <w:tcPr>
            <w:tcW w:w="276" w:type="pct"/>
            <w:tcBorders>
              <w:top w:val="single" w:sz="4" w:space="0" w:color="auto"/>
              <w:left w:val="nil"/>
              <w:bottom w:val="nil"/>
              <w:right w:val="nil"/>
            </w:tcBorders>
          </w:tcPr>
          <w:p w14:paraId="011BB97F" w14:textId="77777777" w:rsidR="00D34C8A" w:rsidRPr="0003410E" w:rsidRDefault="00D34C8A" w:rsidP="0003410E">
            <w:pPr>
              <w:spacing w:after="0" w:line="240" w:lineRule="auto"/>
              <w:jc w:val="both"/>
              <w:rPr>
                <w:rFonts w:ascii="Garamond" w:eastAsia="Times New Roman" w:hAnsi="Garamond" w:cs="Times New Roman"/>
                <w:color w:val="000000"/>
                <w:sz w:val="18"/>
                <w:szCs w:val="18"/>
                <w:lang w:eastAsia="it-IT"/>
              </w:rPr>
            </w:pPr>
          </w:p>
        </w:tc>
        <w:tc>
          <w:tcPr>
            <w:tcW w:w="477" w:type="pct"/>
            <w:tcBorders>
              <w:top w:val="single" w:sz="4" w:space="0" w:color="auto"/>
              <w:left w:val="nil"/>
              <w:bottom w:val="nil"/>
              <w:right w:val="nil"/>
            </w:tcBorders>
            <w:shd w:val="clear" w:color="auto" w:fill="auto"/>
            <w:noWrap/>
            <w:vAlign w:val="bottom"/>
            <w:hideMark/>
          </w:tcPr>
          <w:p w14:paraId="1FA7E4ED" w14:textId="3DD4F25A"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0.539</w:t>
            </w:r>
            <w:r w:rsidR="00D34C8A" w:rsidRPr="0003410E">
              <w:rPr>
                <w:rFonts w:ascii="Garamond" w:eastAsia="Times New Roman" w:hAnsi="Garamond" w:cs="Times New Roman"/>
                <w:color w:val="000000"/>
                <w:sz w:val="18"/>
                <w:szCs w:val="18"/>
                <w:lang w:eastAsia="it-IT"/>
              </w:rPr>
              <w:t>***</w:t>
            </w:r>
          </w:p>
        </w:tc>
        <w:tc>
          <w:tcPr>
            <w:tcW w:w="384" w:type="pct"/>
            <w:tcBorders>
              <w:top w:val="single" w:sz="4" w:space="0" w:color="auto"/>
              <w:left w:val="nil"/>
              <w:bottom w:val="nil"/>
              <w:right w:val="nil"/>
            </w:tcBorders>
          </w:tcPr>
          <w:p w14:paraId="07061CE3" w14:textId="77777777" w:rsidR="00D34C8A" w:rsidRPr="0003410E" w:rsidRDefault="00D34C8A" w:rsidP="00D34C8A">
            <w:pPr>
              <w:spacing w:after="0" w:line="240" w:lineRule="auto"/>
              <w:jc w:val="center"/>
              <w:rPr>
                <w:rFonts w:ascii="Garamond" w:eastAsia="Times New Roman" w:hAnsi="Garamond" w:cs="Times New Roman"/>
                <w:color w:val="000000"/>
                <w:sz w:val="18"/>
                <w:szCs w:val="18"/>
                <w:lang w:eastAsia="it-IT"/>
              </w:rPr>
            </w:pPr>
          </w:p>
        </w:tc>
        <w:tc>
          <w:tcPr>
            <w:tcW w:w="477" w:type="pct"/>
            <w:tcBorders>
              <w:top w:val="single" w:sz="4" w:space="0" w:color="auto"/>
              <w:left w:val="nil"/>
              <w:bottom w:val="nil"/>
              <w:right w:val="nil"/>
            </w:tcBorders>
            <w:shd w:val="clear" w:color="auto" w:fill="auto"/>
            <w:noWrap/>
            <w:vAlign w:val="bottom"/>
            <w:hideMark/>
          </w:tcPr>
          <w:p w14:paraId="108EE5B4" w14:textId="28F68C18"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0.847</w:t>
            </w:r>
            <w:r w:rsidR="00D34C8A" w:rsidRPr="0003410E">
              <w:rPr>
                <w:rFonts w:ascii="Garamond" w:eastAsia="Times New Roman" w:hAnsi="Garamond" w:cs="Times New Roman"/>
                <w:color w:val="000000"/>
                <w:sz w:val="18"/>
                <w:szCs w:val="18"/>
                <w:lang w:eastAsia="it-IT"/>
              </w:rPr>
              <w:t>***</w:t>
            </w:r>
          </w:p>
        </w:tc>
        <w:tc>
          <w:tcPr>
            <w:tcW w:w="384" w:type="pct"/>
            <w:tcBorders>
              <w:top w:val="single" w:sz="4" w:space="0" w:color="auto"/>
              <w:left w:val="nil"/>
              <w:bottom w:val="nil"/>
              <w:right w:val="nil"/>
            </w:tcBorders>
          </w:tcPr>
          <w:p w14:paraId="550EF32F" w14:textId="77777777" w:rsidR="00D34C8A" w:rsidRPr="0003410E" w:rsidRDefault="00D34C8A" w:rsidP="00D34C8A">
            <w:pPr>
              <w:spacing w:after="0" w:line="240" w:lineRule="auto"/>
              <w:jc w:val="center"/>
              <w:rPr>
                <w:rFonts w:ascii="Garamond" w:eastAsia="Times New Roman" w:hAnsi="Garamond" w:cs="Times New Roman"/>
                <w:color w:val="000000"/>
                <w:sz w:val="18"/>
                <w:szCs w:val="18"/>
                <w:lang w:eastAsia="it-IT"/>
              </w:rPr>
            </w:pPr>
          </w:p>
        </w:tc>
        <w:tc>
          <w:tcPr>
            <w:tcW w:w="531" w:type="pct"/>
            <w:tcBorders>
              <w:top w:val="single" w:sz="4" w:space="0" w:color="auto"/>
              <w:left w:val="nil"/>
              <w:bottom w:val="nil"/>
              <w:right w:val="nil"/>
            </w:tcBorders>
            <w:shd w:val="clear" w:color="auto" w:fill="auto"/>
            <w:noWrap/>
            <w:vAlign w:val="bottom"/>
            <w:hideMark/>
          </w:tcPr>
          <w:p w14:paraId="39942A87" w14:textId="04808042"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1.250</w:t>
            </w:r>
            <w:r w:rsidR="00D34C8A" w:rsidRPr="0003410E">
              <w:rPr>
                <w:rFonts w:ascii="Garamond" w:eastAsia="Times New Roman" w:hAnsi="Garamond" w:cs="Times New Roman"/>
                <w:color w:val="000000"/>
                <w:sz w:val="18"/>
                <w:szCs w:val="18"/>
                <w:lang w:eastAsia="it-IT"/>
              </w:rPr>
              <w:t>***</w:t>
            </w:r>
          </w:p>
        </w:tc>
        <w:tc>
          <w:tcPr>
            <w:tcW w:w="330" w:type="pct"/>
            <w:tcBorders>
              <w:top w:val="single" w:sz="4" w:space="0" w:color="auto"/>
              <w:left w:val="nil"/>
              <w:bottom w:val="nil"/>
              <w:right w:val="nil"/>
            </w:tcBorders>
          </w:tcPr>
          <w:p w14:paraId="0430541D" w14:textId="77777777" w:rsidR="00D34C8A" w:rsidRPr="0003410E" w:rsidRDefault="00D34C8A" w:rsidP="00D34C8A">
            <w:pPr>
              <w:spacing w:after="0" w:line="240" w:lineRule="auto"/>
              <w:jc w:val="center"/>
              <w:rPr>
                <w:rFonts w:ascii="Garamond" w:eastAsia="Times New Roman" w:hAnsi="Garamond" w:cs="Times New Roman"/>
                <w:color w:val="000000"/>
                <w:sz w:val="18"/>
                <w:szCs w:val="18"/>
                <w:lang w:eastAsia="it-IT"/>
              </w:rPr>
            </w:pPr>
          </w:p>
        </w:tc>
        <w:tc>
          <w:tcPr>
            <w:tcW w:w="531" w:type="pct"/>
            <w:tcBorders>
              <w:top w:val="single" w:sz="4" w:space="0" w:color="auto"/>
              <w:left w:val="nil"/>
              <w:bottom w:val="nil"/>
              <w:right w:val="nil"/>
            </w:tcBorders>
            <w:shd w:val="clear" w:color="auto" w:fill="auto"/>
            <w:noWrap/>
            <w:vAlign w:val="bottom"/>
            <w:hideMark/>
          </w:tcPr>
          <w:p w14:paraId="4D17928F" w14:textId="607A8289" w:rsidR="00D34C8A" w:rsidRPr="0003410E" w:rsidRDefault="00CB2C63"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1.591</w:t>
            </w:r>
            <w:r w:rsidR="00D34C8A" w:rsidRPr="0003410E">
              <w:rPr>
                <w:rFonts w:ascii="Garamond" w:eastAsia="Times New Roman" w:hAnsi="Garamond" w:cs="Times New Roman"/>
                <w:color w:val="000000"/>
                <w:sz w:val="18"/>
                <w:szCs w:val="18"/>
                <w:lang w:eastAsia="it-IT"/>
              </w:rPr>
              <w:t>***</w:t>
            </w:r>
          </w:p>
        </w:tc>
        <w:tc>
          <w:tcPr>
            <w:tcW w:w="328" w:type="pct"/>
            <w:tcBorders>
              <w:top w:val="single" w:sz="4" w:space="0" w:color="auto"/>
              <w:left w:val="nil"/>
              <w:bottom w:val="nil"/>
              <w:right w:val="nil"/>
            </w:tcBorders>
          </w:tcPr>
          <w:p w14:paraId="1C5E505E" w14:textId="77777777" w:rsidR="00D34C8A" w:rsidRPr="0003410E" w:rsidRDefault="00D34C8A" w:rsidP="00D34C8A">
            <w:pPr>
              <w:spacing w:after="0" w:line="240" w:lineRule="auto"/>
              <w:rPr>
                <w:rFonts w:ascii="Garamond" w:eastAsia="Times New Roman" w:hAnsi="Garamond" w:cs="Times New Roman"/>
                <w:color w:val="000000"/>
                <w:sz w:val="18"/>
                <w:szCs w:val="18"/>
                <w:lang w:eastAsia="it-IT"/>
              </w:rPr>
            </w:pPr>
          </w:p>
        </w:tc>
      </w:tr>
      <w:tr w:rsidR="00CB2C63" w:rsidRPr="0003410E" w14:paraId="13414E37" w14:textId="77777777" w:rsidTr="00387A1A">
        <w:trPr>
          <w:trHeight w:val="300"/>
        </w:trPr>
        <w:tc>
          <w:tcPr>
            <w:tcW w:w="805" w:type="pct"/>
            <w:tcBorders>
              <w:top w:val="nil"/>
              <w:left w:val="nil"/>
              <w:bottom w:val="single" w:sz="4" w:space="0" w:color="auto"/>
              <w:right w:val="nil"/>
            </w:tcBorders>
            <w:shd w:val="clear" w:color="auto" w:fill="auto"/>
            <w:noWrap/>
            <w:vAlign w:val="bottom"/>
            <w:hideMark/>
          </w:tcPr>
          <w:p w14:paraId="06C10A8E" w14:textId="77777777" w:rsidR="00D34C8A" w:rsidRPr="0003410E" w:rsidRDefault="00D34C8A" w:rsidP="00D34C8A">
            <w:pPr>
              <w:spacing w:after="0" w:line="240" w:lineRule="auto"/>
              <w:jc w:val="center"/>
              <w:rPr>
                <w:rFonts w:ascii="Garamond" w:eastAsia="Times New Roman" w:hAnsi="Garamond" w:cs="Times New Roman"/>
                <w:b/>
                <w:bCs/>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36BEB0B2" w14:textId="7A7EB5E1" w:rsidR="00D34C8A" w:rsidRPr="0003410E" w:rsidRDefault="0008683F"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0.010</w:t>
            </w:r>
          </w:p>
        </w:tc>
        <w:tc>
          <w:tcPr>
            <w:tcW w:w="276" w:type="pct"/>
            <w:tcBorders>
              <w:top w:val="nil"/>
              <w:left w:val="nil"/>
              <w:bottom w:val="single" w:sz="4" w:space="0" w:color="auto"/>
              <w:right w:val="nil"/>
            </w:tcBorders>
          </w:tcPr>
          <w:p w14:paraId="4C8D5E9A" w14:textId="77777777" w:rsidR="00D34C8A" w:rsidRPr="0003410E" w:rsidRDefault="00D34C8A" w:rsidP="0003410E">
            <w:pPr>
              <w:spacing w:after="0" w:line="240" w:lineRule="auto"/>
              <w:jc w:val="both"/>
              <w:rPr>
                <w:rFonts w:ascii="Garamond" w:eastAsia="Times New Roman" w:hAnsi="Garamond" w:cs="Times New Roman"/>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66730DCA" w14:textId="2E77CC40" w:rsidR="00D34C8A" w:rsidRPr="0003410E" w:rsidRDefault="00D34C8A" w:rsidP="00B82611">
            <w:pPr>
              <w:spacing w:after="0" w:line="240" w:lineRule="auto"/>
              <w:jc w:val="center"/>
              <w:rPr>
                <w:rFonts w:ascii="Garamond" w:eastAsia="Times New Roman" w:hAnsi="Garamond" w:cs="Times New Roman"/>
                <w:i/>
                <w:color w:val="000000"/>
                <w:sz w:val="18"/>
                <w:szCs w:val="18"/>
                <w:lang w:eastAsia="it-IT"/>
              </w:rPr>
            </w:pPr>
            <w:r w:rsidRPr="0003410E">
              <w:rPr>
                <w:rFonts w:ascii="Garamond" w:eastAsia="Times New Roman" w:hAnsi="Garamond" w:cs="Times New Roman"/>
                <w:i/>
                <w:color w:val="000000"/>
                <w:sz w:val="18"/>
                <w:szCs w:val="18"/>
                <w:lang w:eastAsia="it-IT"/>
              </w:rPr>
              <w:t>0.</w:t>
            </w:r>
            <w:r w:rsidR="00B82611">
              <w:rPr>
                <w:rFonts w:ascii="Garamond" w:eastAsia="Times New Roman" w:hAnsi="Garamond" w:cs="Times New Roman"/>
                <w:i/>
                <w:color w:val="000000"/>
                <w:sz w:val="18"/>
                <w:szCs w:val="18"/>
                <w:lang w:eastAsia="it-IT"/>
              </w:rPr>
              <w:t>015</w:t>
            </w:r>
          </w:p>
        </w:tc>
        <w:tc>
          <w:tcPr>
            <w:tcW w:w="384" w:type="pct"/>
            <w:tcBorders>
              <w:top w:val="nil"/>
              <w:left w:val="nil"/>
              <w:bottom w:val="single" w:sz="4" w:space="0" w:color="auto"/>
              <w:right w:val="nil"/>
            </w:tcBorders>
          </w:tcPr>
          <w:p w14:paraId="66E4E209"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75C0636F" w14:textId="5F66E5BB" w:rsidR="00D34C8A" w:rsidRPr="0003410E" w:rsidRDefault="00B82611"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0.023</w:t>
            </w:r>
          </w:p>
        </w:tc>
        <w:tc>
          <w:tcPr>
            <w:tcW w:w="384" w:type="pct"/>
            <w:tcBorders>
              <w:top w:val="nil"/>
              <w:left w:val="nil"/>
              <w:bottom w:val="single" w:sz="4" w:space="0" w:color="auto"/>
              <w:right w:val="nil"/>
            </w:tcBorders>
          </w:tcPr>
          <w:p w14:paraId="70B3964D"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c>
          <w:tcPr>
            <w:tcW w:w="531" w:type="pct"/>
            <w:tcBorders>
              <w:top w:val="nil"/>
              <w:left w:val="nil"/>
              <w:bottom w:val="single" w:sz="4" w:space="0" w:color="auto"/>
              <w:right w:val="nil"/>
            </w:tcBorders>
            <w:shd w:val="clear" w:color="auto" w:fill="auto"/>
            <w:noWrap/>
            <w:vAlign w:val="bottom"/>
            <w:hideMark/>
          </w:tcPr>
          <w:p w14:paraId="349A0747" w14:textId="31B4AAC0" w:rsidR="00D34C8A" w:rsidRPr="0003410E" w:rsidRDefault="00D34C8A" w:rsidP="00B82611">
            <w:pPr>
              <w:spacing w:after="0" w:line="240" w:lineRule="auto"/>
              <w:jc w:val="center"/>
              <w:rPr>
                <w:rFonts w:ascii="Garamond" w:eastAsia="Times New Roman" w:hAnsi="Garamond" w:cs="Times New Roman"/>
                <w:i/>
                <w:color w:val="000000"/>
                <w:sz w:val="18"/>
                <w:szCs w:val="18"/>
                <w:lang w:eastAsia="it-IT"/>
              </w:rPr>
            </w:pPr>
            <w:r w:rsidRPr="0003410E">
              <w:rPr>
                <w:rFonts w:ascii="Garamond" w:eastAsia="Times New Roman" w:hAnsi="Garamond" w:cs="Times New Roman"/>
                <w:i/>
                <w:color w:val="000000"/>
                <w:sz w:val="18"/>
                <w:szCs w:val="18"/>
                <w:lang w:eastAsia="it-IT"/>
              </w:rPr>
              <w:t>0.</w:t>
            </w:r>
            <w:r w:rsidR="00B82611">
              <w:rPr>
                <w:rFonts w:ascii="Garamond" w:eastAsia="Times New Roman" w:hAnsi="Garamond" w:cs="Times New Roman"/>
                <w:i/>
                <w:color w:val="000000"/>
                <w:sz w:val="18"/>
                <w:szCs w:val="18"/>
                <w:lang w:eastAsia="it-IT"/>
              </w:rPr>
              <w:t>050</w:t>
            </w:r>
          </w:p>
        </w:tc>
        <w:tc>
          <w:tcPr>
            <w:tcW w:w="330" w:type="pct"/>
            <w:tcBorders>
              <w:top w:val="nil"/>
              <w:left w:val="nil"/>
              <w:bottom w:val="single" w:sz="4" w:space="0" w:color="auto"/>
              <w:right w:val="nil"/>
            </w:tcBorders>
          </w:tcPr>
          <w:p w14:paraId="1415F9A6"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c>
          <w:tcPr>
            <w:tcW w:w="531" w:type="pct"/>
            <w:tcBorders>
              <w:top w:val="nil"/>
              <w:left w:val="nil"/>
              <w:bottom w:val="single" w:sz="4" w:space="0" w:color="auto"/>
              <w:right w:val="nil"/>
            </w:tcBorders>
            <w:shd w:val="clear" w:color="auto" w:fill="auto"/>
            <w:noWrap/>
            <w:vAlign w:val="bottom"/>
            <w:hideMark/>
          </w:tcPr>
          <w:p w14:paraId="2A171A64" w14:textId="1E389A4A" w:rsidR="00D34C8A" w:rsidRPr="0003410E" w:rsidRDefault="00CB2C63"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0.069</w:t>
            </w:r>
          </w:p>
        </w:tc>
        <w:tc>
          <w:tcPr>
            <w:tcW w:w="328" w:type="pct"/>
            <w:tcBorders>
              <w:top w:val="nil"/>
              <w:left w:val="nil"/>
              <w:bottom w:val="single" w:sz="4" w:space="0" w:color="auto"/>
              <w:right w:val="nil"/>
            </w:tcBorders>
          </w:tcPr>
          <w:p w14:paraId="535C33F0"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r>
      <w:tr w:rsidR="00CB2C63" w:rsidRPr="0003410E" w14:paraId="6DBFAFE2" w14:textId="77777777" w:rsidTr="00387A1A">
        <w:trPr>
          <w:trHeight w:val="300"/>
        </w:trPr>
        <w:tc>
          <w:tcPr>
            <w:tcW w:w="805" w:type="pct"/>
            <w:tcBorders>
              <w:top w:val="single" w:sz="4" w:space="0" w:color="auto"/>
              <w:left w:val="nil"/>
              <w:bottom w:val="nil"/>
              <w:right w:val="nil"/>
            </w:tcBorders>
            <w:shd w:val="clear" w:color="auto" w:fill="auto"/>
            <w:noWrap/>
            <w:vAlign w:val="bottom"/>
            <w:hideMark/>
          </w:tcPr>
          <w:p w14:paraId="4B624728"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Compositional</w:t>
            </w:r>
          </w:p>
        </w:tc>
        <w:tc>
          <w:tcPr>
            <w:tcW w:w="477" w:type="pct"/>
            <w:tcBorders>
              <w:top w:val="single" w:sz="4" w:space="0" w:color="auto"/>
              <w:left w:val="nil"/>
              <w:bottom w:val="nil"/>
              <w:right w:val="nil"/>
            </w:tcBorders>
            <w:shd w:val="clear" w:color="auto" w:fill="auto"/>
            <w:noWrap/>
            <w:vAlign w:val="bottom"/>
            <w:hideMark/>
          </w:tcPr>
          <w:p w14:paraId="1450A5B2" w14:textId="2B15BD91" w:rsidR="00D34C8A" w:rsidRPr="0003410E" w:rsidRDefault="0008683F"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0.000</w:t>
            </w:r>
          </w:p>
        </w:tc>
        <w:tc>
          <w:tcPr>
            <w:tcW w:w="276" w:type="pct"/>
            <w:tcBorders>
              <w:top w:val="single" w:sz="4" w:space="0" w:color="auto"/>
              <w:left w:val="nil"/>
              <w:bottom w:val="nil"/>
              <w:right w:val="nil"/>
            </w:tcBorders>
          </w:tcPr>
          <w:p w14:paraId="74F1612C" w14:textId="0F6D85FB" w:rsidR="00D34C8A" w:rsidRPr="0003410E" w:rsidRDefault="00D34C8A" w:rsidP="0003410E">
            <w:pPr>
              <w:spacing w:after="0" w:line="240" w:lineRule="auto"/>
              <w:jc w:val="both"/>
              <w:rPr>
                <w:rFonts w:ascii="Garamond" w:eastAsia="Times New Roman" w:hAnsi="Garamond" w:cs="Times New Roman"/>
                <w:color w:val="000000"/>
                <w:sz w:val="18"/>
                <w:szCs w:val="18"/>
                <w:lang w:eastAsia="it-IT"/>
              </w:rPr>
            </w:pPr>
            <w:r w:rsidRPr="0003410E">
              <w:rPr>
                <w:rFonts w:ascii="Garamond" w:eastAsia="Times New Roman" w:hAnsi="Garamond" w:cs="Times New Roman"/>
                <w:color w:val="000000"/>
                <w:sz w:val="18"/>
                <w:szCs w:val="18"/>
                <w:lang w:eastAsia="it-IT"/>
              </w:rPr>
              <w:t>0.</w:t>
            </w:r>
            <w:r w:rsidR="00822E7D">
              <w:rPr>
                <w:rFonts w:ascii="Garamond" w:eastAsia="Times New Roman" w:hAnsi="Garamond" w:cs="Times New Roman"/>
                <w:color w:val="000000"/>
                <w:sz w:val="18"/>
                <w:szCs w:val="18"/>
                <w:lang w:eastAsia="it-IT"/>
              </w:rPr>
              <w:t>0</w:t>
            </w:r>
            <w:r w:rsidR="0008683F">
              <w:rPr>
                <w:rFonts w:ascii="Garamond" w:eastAsia="Times New Roman" w:hAnsi="Garamond" w:cs="Times New Roman"/>
                <w:color w:val="000000"/>
                <w:sz w:val="18"/>
                <w:szCs w:val="18"/>
                <w:lang w:eastAsia="it-IT"/>
              </w:rPr>
              <w:t>0</w:t>
            </w:r>
          </w:p>
        </w:tc>
        <w:tc>
          <w:tcPr>
            <w:tcW w:w="477" w:type="pct"/>
            <w:tcBorders>
              <w:top w:val="single" w:sz="4" w:space="0" w:color="auto"/>
              <w:left w:val="nil"/>
              <w:bottom w:val="nil"/>
              <w:right w:val="nil"/>
            </w:tcBorders>
            <w:shd w:val="clear" w:color="auto" w:fill="auto"/>
            <w:noWrap/>
            <w:vAlign w:val="bottom"/>
            <w:hideMark/>
          </w:tcPr>
          <w:p w14:paraId="6B29C812" w14:textId="2C4C3561"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-0.003</w:t>
            </w:r>
          </w:p>
        </w:tc>
        <w:tc>
          <w:tcPr>
            <w:tcW w:w="384" w:type="pct"/>
            <w:tcBorders>
              <w:top w:val="single" w:sz="4" w:space="0" w:color="auto"/>
              <w:left w:val="nil"/>
              <w:bottom w:val="nil"/>
              <w:right w:val="nil"/>
            </w:tcBorders>
          </w:tcPr>
          <w:p w14:paraId="3CED5ABE" w14:textId="573B0B99"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-0.55</w:t>
            </w:r>
          </w:p>
        </w:tc>
        <w:tc>
          <w:tcPr>
            <w:tcW w:w="477" w:type="pct"/>
            <w:tcBorders>
              <w:top w:val="single" w:sz="4" w:space="0" w:color="auto"/>
              <w:left w:val="nil"/>
              <w:bottom w:val="nil"/>
              <w:right w:val="nil"/>
            </w:tcBorders>
            <w:shd w:val="clear" w:color="auto" w:fill="auto"/>
            <w:noWrap/>
            <w:vAlign w:val="bottom"/>
            <w:hideMark/>
          </w:tcPr>
          <w:p w14:paraId="78BEFCC4" w14:textId="2F873B8F"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-0.009</w:t>
            </w:r>
            <w:r w:rsidR="00D34C8A" w:rsidRPr="0003410E">
              <w:rPr>
                <w:rFonts w:ascii="Garamond" w:eastAsia="Times New Roman" w:hAnsi="Garamond" w:cs="Times New Roman"/>
                <w:color w:val="000000"/>
                <w:sz w:val="18"/>
                <w:szCs w:val="18"/>
                <w:lang w:eastAsia="it-IT"/>
              </w:rPr>
              <w:t xml:space="preserve"> </w:t>
            </w:r>
          </w:p>
        </w:tc>
        <w:tc>
          <w:tcPr>
            <w:tcW w:w="384" w:type="pct"/>
            <w:tcBorders>
              <w:top w:val="single" w:sz="4" w:space="0" w:color="auto"/>
              <w:left w:val="nil"/>
              <w:bottom w:val="nil"/>
              <w:right w:val="nil"/>
            </w:tcBorders>
          </w:tcPr>
          <w:p w14:paraId="51F3F1EC" w14:textId="4FB94324"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-1.06</w:t>
            </w:r>
          </w:p>
        </w:tc>
        <w:tc>
          <w:tcPr>
            <w:tcW w:w="531" w:type="pct"/>
            <w:tcBorders>
              <w:top w:val="single" w:sz="4" w:space="0" w:color="auto"/>
              <w:left w:val="nil"/>
              <w:bottom w:val="nil"/>
              <w:right w:val="nil"/>
            </w:tcBorders>
            <w:shd w:val="clear" w:color="auto" w:fill="auto"/>
            <w:noWrap/>
            <w:vAlign w:val="bottom"/>
            <w:hideMark/>
          </w:tcPr>
          <w:p w14:paraId="1694DB5B" w14:textId="2ABA800C"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-0.018</w:t>
            </w:r>
          </w:p>
        </w:tc>
        <w:tc>
          <w:tcPr>
            <w:tcW w:w="330" w:type="pct"/>
            <w:tcBorders>
              <w:top w:val="single" w:sz="4" w:space="0" w:color="auto"/>
              <w:left w:val="nil"/>
              <w:bottom w:val="nil"/>
              <w:right w:val="nil"/>
            </w:tcBorders>
          </w:tcPr>
          <w:p w14:paraId="67AFE5C2" w14:textId="29F2ADB8"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-1.44</w:t>
            </w:r>
          </w:p>
        </w:tc>
        <w:tc>
          <w:tcPr>
            <w:tcW w:w="531" w:type="pct"/>
            <w:tcBorders>
              <w:top w:val="single" w:sz="4" w:space="0" w:color="auto"/>
              <w:left w:val="nil"/>
              <w:bottom w:val="nil"/>
              <w:right w:val="nil"/>
            </w:tcBorders>
            <w:shd w:val="clear" w:color="auto" w:fill="auto"/>
            <w:noWrap/>
            <w:vAlign w:val="bottom"/>
            <w:hideMark/>
          </w:tcPr>
          <w:p w14:paraId="620E2A0D" w14:textId="357B0738" w:rsidR="00D34C8A" w:rsidRPr="0003410E" w:rsidRDefault="00CB2C63"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-0.018</w:t>
            </w:r>
          </w:p>
        </w:tc>
        <w:tc>
          <w:tcPr>
            <w:tcW w:w="328" w:type="pct"/>
            <w:tcBorders>
              <w:top w:val="single" w:sz="4" w:space="0" w:color="auto"/>
              <w:left w:val="nil"/>
              <w:bottom w:val="nil"/>
              <w:right w:val="nil"/>
            </w:tcBorders>
          </w:tcPr>
          <w:p w14:paraId="5470281C" w14:textId="1B8EBE20" w:rsidR="00D34C8A" w:rsidRPr="0003410E" w:rsidRDefault="00CB2C63"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w:t>
            </w:r>
            <w:r w:rsidR="00D34C8A" w:rsidRPr="0003410E">
              <w:rPr>
                <w:rFonts w:ascii="Garamond" w:eastAsia="Times New Roman" w:hAnsi="Garamond" w:cs="Times New Roman"/>
                <w:color w:val="000000"/>
                <w:sz w:val="18"/>
                <w:szCs w:val="18"/>
                <w:lang w:eastAsia="it-IT"/>
              </w:rPr>
              <w:t>.</w:t>
            </w:r>
            <w:r>
              <w:rPr>
                <w:rFonts w:ascii="Garamond" w:eastAsia="Times New Roman" w:hAnsi="Garamond" w:cs="Times New Roman"/>
                <w:color w:val="000000"/>
                <w:sz w:val="18"/>
                <w:szCs w:val="18"/>
                <w:lang w:eastAsia="it-IT"/>
              </w:rPr>
              <w:t>13</w:t>
            </w:r>
          </w:p>
        </w:tc>
      </w:tr>
      <w:tr w:rsidR="00CB2C63" w:rsidRPr="0003410E" w14:paraId="35F4DABB" w14:textId="77777777" w:rsidTr="00387A1A">
        <w:trPr>
          <w:trHeight w:val="300"/>
        </w:trPr>
        <w:tc>
          <w:tcPr>
            <w:tcW w:w="805" w:type="pct"/>
            <w:tcBorders>
              <w:top w:val="nil"/>
              <w:left w:val="nil"/>
              <w:bottom w:val="single" w:sz="4" w:space="0" w:color="auto"/>
              <w:right w:val="nil"/>
            </w:tcBorders>
            <w:shd w:val="clear" w:color="auto" w:fill="auto"/>
            <w:noWrap/>
            <w:vAlign w:val="bottom"/>
            <w:hideMark/>
          </w:tcPr>
          <w:p w14:paraId="6DCB58A6" w14:textId="77777777" w:rsidR="00D34C8A" w:rsidRPr="0003410E" w:rsidRDefault="00D34C8A" w:rsidP="00D34C8A">
            <w:pPr>
              <w:spacing w:after="0" w:line="240" w:lineRule="auto"/>
              <w:jc w:val="center"/>
              <w:rPr>
                <w:rFonts w:ascii="Garamond" w:eastAsia="Times New Roman" w:hAnsi="Garamond" w:cs="Times New Roman"/>
                <w:b/>
                <w:bCs/>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2D14D9B5" w14:textId="3FED922A" w:rsidR="00D34C8A" w:rsidRPr="0003410E" w:rsidRDefault="0008683F"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0.001</w:t>
            </w:r>
          </w:p>
        </w:tc>
        <w:tc>
          <w:tcPr>
            <w:tcW w:w="276" w:type="pct"/>
            <w:tcBorders>
              <w:top w:val="nil"/>
              <w:left w:val="nil"/>
              <w:bottom w:val="single" w:sz="4" w:space="0" w:color="auto"/>
              <w:right w:val="nil"/>
            </w:tcBorders>
          </w:tcPr>
          <w:p w14:paraId="13F0C2E8" w14:textId="77777777" w:rsidR="00D34C8A" w:rsidRPr="0003410E" w:rsidRDefault="00D34C8A" w:rsidP="0003410E">
            <w:pPr>
              <w:spacing w:after="0" w:line="240" w:lineRule="auto"/>
              <w:jc w:val="both"/>
              <w:rPr>
                <w:rFonts w:ascii="Garamond" w:eastAsia="Times New Roman" w:hAnsi="Garamond" w:cs="Times New Roman"/>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16720311" w14:textId="2E6C20D0" w:rsidR="00D34C8A" w:rsidRPr="0003410E" w:rsidRDefault="00B82611"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0.003</w:t>
            </w:r>
          </w:p>
        </w:tc>
        <w:tc>
          <w:tcPr>
            <w:tcW w:w="384" w:type="pct"/>
            <w:tcBorders>
              <w:top w:val="nil"/>
              <w:left w:val="nil"/>
              <w:bottom w:val="single" w:sz="4" w:space="0" w:color="auto"/>
              <w:right w:val="nil"/>
            </w:tcBorders>
          </w:tcPr>
          <w:p w14:paraId="2EEC7347"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400F24F0" w14:textId="73081D10" w:rsidR="00D34C8A" w:rsidRPr="0003410E" w:rsidRDefault="00B82611"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0.006</w:t>
            </w:r>
          </w:p>
        </w:tc>
        <w:tc>
          <w:tcPr>
            <w:tcW w:w="384" w:type="pct"/>
            <w:tcBorders>
              <w:top w:val="nil"/>
              <w:left w:val="nil"/>
              <w:bottom w:val="single" w:sz="4" w:space="0" w:color="auto"/>
              <w:right w:val="nil"/>
            </w:tcBorders>
          </w:tcPr>
          <w:p w14:paraId="2008E33B"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c>
          <w:tcPr>
            <w:tcW w:w="531" w:type="pct"/>
            <w:tcBorders>
              <w:top w:val="nil"/>
              <w:left w:val="nil"/>
              <w:bottom w:val="single" w:sz="4" w:space="0" w:color="auto"/>
              <w:right w:val="nil"/>
            </w:tcBorders>
            <w:shd w:val="clear" w:color="auto" w:fill="auto"/>
            <w:noWrap/>
            <w:vAlign w:val="bottom"/>
            <w:hideMark/>
          </w:tcPr>
          <w:p w14:paraId="10021252" w14:textId="044587BA" w:rsidR="00D34C8A" w:rsidRPr="0003410E" w:rsidRDefault="00CB2C63"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0.011</w:t>
            </w:r>
          </w:p>
        </w:tc>
        <w:tc>
          <w:tcPr>
            <w:tcW w:w="330" w:type="pct"/>
            <w:tcBorders>
              <w:top w:val="nil"/>
              <w:left w:val="nil"/>
              <w:bottom w:val="single" w:sz="4" w:space="0" w:color="auto"/>
              <w:right w:val="nil"/>
            </w:tcBorders>
          </w:tcPr>
          <w:p w14:paraId="3A859CFF"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c>
          <w:tcPr>
            <w:tcW w:w="531" w:type="pct"/>
            <w:tcBorders>
              <w:top w:val="nil"/>
              <w:left w:val="nil"/>
              <w:bottom w:val="single" w:sz="4" w:space="0" w:color="auto"/>
              <w:right w:val="nil"/>
            </w:tcBorders>
            <w:shd w:val="clear" w:color="auto" w:fill="auto"/>
            <w:noWrap/>
            <w:vAlign w:val="bottom"/>
            <w:hideMark/>
          </w:tcPr>
          <w:p w14:paraId="32E4A7DF" w14:textId="01720632" w:rsidR="00D34C8A" w:rsidRPr="0003410E" w:rsidRDefault="00CB2C63" w:rsidP="00D34C8A">
            <w:pPr>
              <w:spacing w:after="0" w:line="240" w:lineRule="auto"/>
              <w:jc w:val="center"/>
              <w:rPr>
                <w:rFonts w:ascii="Garamond" w:eastAsia="Times New Roman" w:hAnsi="Garamond" w:cs="Times New Roman"/>
                <w:i/>
                <w:color w:val="000000"/>
                <w:sz w:val="18"/>
                <w:szCs w:val="18"/>
                <w:lang w:eastAsia="it-IT"/>
              </w:rPr>
            </w:pPr>
            <w:r>
              <w:rPr>
                <w:rFonts w:ascii="Garamond" w:eastAsia="Times New Roman" w:hAnsi="Garamond" w:cs="Times New Roman"/>
                <w:i/>
                <w:color w:val="000000"/>
                <w:sz w:val="18"/>
                <w:szCs w:val="18"/>
                <w:lang w:eastAsia="it-IT"/>
              </w:rPr>
              <w:t>0.016</w:t>
            </w:r>
          </w:p>
        </w:tc>
        <w:tc>
          <w:tcPr>
            <w:tcW w:w="328" w:type="pct"/>
            <w:tcBorders>
              <w:top w:val="nil"/>
              <w:left w:val="nil"/>
              <w:bottom w:val="single" w:sz="4" w:space="0" w:color="auto"/>
              <w:right w:val="nil"/>
            </w:tcBorders>
          </w:tcPr>
          <w:p w14:paraId="0908E98F" w14:textId="77777777" w:rsidR="00D34C8A" w:rsidRPr="0003410E" w:rsidRDefault="00D34C8A" w:rsidP="00D34C8A">
            <w:pPr>
              <w:spacing w:after="0" w:line="240" w:lineRule="auto"/>
              <w:jc w:val="center"/>
              <w:rPr>
                <w:rFonts w:ascii="Garamond" w:eastAsia="Times New Roman" w:hAnsi="Garamond" w:cs="Times New Roman"/>
                <w:i/>
                <w:color w:val="000000"/>
                <w:sz w:val="18"/>
                <w:szCs w:val="18"/>
                <w:lang w:eastAsia="it-IT"/>
              </w:rPr>
            </w:pPr>
          </w:p>
        </w:tc>
      </w:tr>
      <w:tr w:rsidR="00CB2C63" w:rsidRPr="0003410E" w14:paraId="4D867F05" w14:textId="77777777" w:rsidTr="00387A1A">
        <w:trPr>
          <w:trHeight w:val="300"/>
        </w:trPr>
        <w:tc>
          <w:tcPr>
            <w:tcW w:w="805" w:type="pct"/>
            <w:tcBorders>
              <w:top w:val="single" w:sz="4" w:space="0" w:color="auto"/>
              <w:left w:val="nil"/>
              <w:bottom w:val="nil"/>
              <w:right w:val="nil"/>
            </w:tcBorders>
            <w:shd w:val="clear" w:color="auto" w:fill="auto"/>
            <w:noWrap/>
            <w:vAlign w:val="bottom"/>
            <w:hideMark/>
          </w:tcPr>
          <w:p w14:paraId="0D78123A" w14:textId="77777777" w:rsidR="00D34C8A" w:rsidRPr="0003410E" w:rsidRDefault="00D34C8A" w:rsidP="00D34C8A">
            <w:pPr>
              <w:spacing w:after="0" w:line="240" w:lineRule="auto"/>
              <w:jc w:val="center"/>
              <w:rPr>
                <w:rFonts w:ascii="Garamond" w:eastAsia="Times New Roman" w:hAnsi="Garamond" w:cs="Times New Roman"/>
                <w:b/>
                <w:bCs/>
                <w:color w:val="000000"/>
                <w:sz w:val="18"/>
                <w:szCs w:val="18"/>
                <w:lang w:eastAsia="it-IT"/>
              </w:rPr>
            </w:pPr>
            <w:r w:rsidRPr="0003410E">
              <w:rPr>
                <w:rFonts w:ascii="Garamond" w:eastAsia="Times New Roman" w:hAnsi="Garamond" w:cs="Times New Roman"/>
                <w:b/>
                <w:bCs/>
                <w:color w:val="000000"/>
                <w:sz w:val="18"/>
                <w:szCs w:val="18"/>
                <w:lang w:eastAsia="it-IT"/>
              </w:rPr>
              <w:t>Elasticity</w:t>
            </w:r>
          </w:p>
        </w:tc>
        <w:tc>
          <w:tcPr>
            <w:tcW w:w="477" w:type="pct"/>
            <w:tcBorders>
              <w:top w:val="single" w:sz="4" w:space="0" w:color="auto"/>
              <w:left w:val="nil"/>
              <w:bottom w:val="nil"/>
              <w:right w:val="nil"/>
            </w:tcBorders>
            <w:shd w:val="clear" w:color="auto" w:fill="auto"/>
            <w:noWrap/>
            <w:vAlign w:val="bottom"/>
            <w:hideMark/>
          </w:tcPr>
          <w:p w14:paraId="525FE9D3" w14:textId="3EAF9DF2" w:rsidR="00D34C8A" w:rsidRPr="0003410E" w:rsidRDefault="0008683F"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0.288</w:t>
            </w:r>
            <w:r w:rsidR="00D34C8A" w:rsidRPr="0003410E">
              <w:rPr>
                <w:rFonts w:ascii="Garamond" w:eastAsia="Times New Roman" w:hAnsi="Garamond" w:cs="Times New Roman"/>
                <w:color w:val="000000"/>
                <w:sz w:val="18"/>
                <w:szCs w:val="18"/>
                <w:lang w:eastAsia="it-IT"/>
              </w:rPr>
              <w:t>***</w:t>
            </w:r>
          </w:p>
        </w:tc>
        <w:tc>
          <w:tcPr>
            <w:tcW w:w="276" w:type="pct"/>
            <w:tcBorders>
              <w:top w:val="single" w:sz="4" w:space="0" w:color="auto"/>
              <w:left w:val="nil"/>
              <w:bottom w:val="nil"/>
              <w:right w:val="nil"/>
            </w:tcBorders>
          </w:tcPr>
          <w:p w14:paraId="449A2AAE" w14:textId="04DCBBB0" w:rsidR="00D34C8A" w:rsidRPr="0003410E" w:rsidRDefault="0008683F" w:rsidP="0003410E">
            <w:pPr>
              <w:spacing w:after="0" w:line="240" w:lineRule="auto"/>
              <w:jc w:val="both"/>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100</w:t>
            </w:r>
          </w:p>
        </w:tc>
        <w:tc>
          <w:tcPr>
            <w:tcW w:w="477" w:type="pct"/>
            <w:tcBorders>
              <w:top w:val="single" w:sz="4" w:space="0" w:color="auto"/>
              <w:left w:val="nil"/>
              <w:bottom w:val="nil"/>
              <w:right w:val="nil"/>
            </w:tcBorders>
            <w:shd w:val="clear" w:color="auto" w:fill="auto"/>
            <w:noWrap/>
            <w:vAlign w:val="bottom"/>
            <w:hideMark/>
          </w:tcPr>
          <w:p w14:paraId="696425AF" w14:textId="2560C001"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0.542</w:t>
            </w:r>
            <w:r w:rsidR="00D34C8A" w:rsidRPr="0003410E">
              <w:rPr>
                <w:rFonts w:ascii="Garamond" w:eastAsia="Times New Roman" w:hAnsi="Garamond" w:cs="Times New Roman"/>
                <w:color w:val="000000"/>
                <w:sz w:val="18"/>
                <w:szCs w:val="18"/>
                <w:lang w:eastAsia="it-IT"/>
              </w:rPr>
              <w:t>***</w:t>
            </w:r>
          </w:p>
        </w:tc>
        <w:tc>
          <w:tcPr>
            <w:tcW w:w="384" w:type="pct"/>
            <w:tcBorders>
              <w:top w:val="single" w:sz="4" w:space="0" w:color="auto"/>
              <w:left w:val="nil"/>
              <w:bottom w:val="nil"/>
              <w:right w:val="nil"/>
            </w:tcBorders>
          </w:tcPr>
          <w:p w14:paraId="4206878F" w14:textId="678CCF4C"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100.55</w:t>
            </w:r>
          </w:p>
        </w:tc>
        <w:tc>
          <w:tcPr>
            <w:tcW w:w="477" w:type="pct"/>
            <w:tcBorders>
              <w:top w:val="single" w:sz="4" w:space="0" w:color="auto"/>
              <w:left w:val="nil"/>
              <w:bottom w:val="nil"/>
              <w:right w:val="nil"/>
            </w:tcBorders>
            <w:shd w:val="clear" w:color="auto" w:fill="auto"/>
            <w:noWrap/>
            <w:vAlign w:val="bottom"/>
            <w:hideMark/>
          </w:tcPr>
          <w:p w14:paraId="0F8B62C0" w14:textId="6561F29D"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0.856</w:t>
            </w:r>
            <w:r w:rsidR="00D34C8A" w:rsidRPr="0003410E">
              <w:rPr>
                <w:rFonts w:ascii="Garamond" w:eastAsia="Times New Roman" w:hAnsi="Garamond" w:cs="Times New Roman"/>
                <w:color w:val="000000"/>
                <w:sz w:val="18"/>
                <w:szCs w:val="18"/>
                <w:lang w:eastAsia="it-IT"/>
              </w:rPr>
              <w:t xml:space="preserve">*** </w:t>
            </w:r>
          </w:p>
        </w:tc>
        <w:tc>
          <w:tcPr>
            <w:tcW w:w="384" w:type="pct"/>
            <w:tcBorders>
              <w:top w:val="single" w:sz="4" w:space="0" w:color="auto"/>
              <w:left w:val="nil"/>
              <w:bottom w:val="nil"/>
              <w:right w:val="nil"/>
            </w:tcBorders>
          </w:tcPr>
          <w:p w14:paraId="71582581" w14:textId="0F8E760D" w:rsidR="00D34C8A" w:rsidRPr="0003410E" w:rsidRDefault="00B82611" w:rsidP="00B82611">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101</w:t>
            </w:r>
            <w:r w:rsidR="00D34C8A" w:rsidRPr="0003410E">
              <w:rPr>
                <w:rFonts w:ascii="Garamond" w:eastAsia="Times New Roman" w:hAnsi="Garamond" w:cs="Times New Roman"/>
                <w:color w:val="000000"/>
                <w:sz w:val="18"/>
                <w:szCs w:val="18"/>
                <w:lang w:eastAsia="it-IT"/>
              </w:rPr>
              <w:t>.</w:t>
            </w:r>
            <w:r>
              <w:rPr>
                <w:rFonts w:ascii="Garamond" w:eastAsia="Times New Roman" w:hAnsi="Garamond" w:cs="Times New Roman"/>
                <w:color w:val="000000"/>
                <w:sz w:val="18"/>
                <w:szCs w:val="18"/>
                <w:lang w:eastAsia="it-IT"/>
              </w:rPr>
              <w:t>06</w:t>
            </w:r>
          </w:p>
        </w:tc>
        <w:tc>
          <w:tcPr>
            <w:tcW w:w="531" w:type="pct"/>
            <w:tcBorders>
              <w:top w:val="single" w:sz="4" w:space="0" w:color="auto"/>
              <w:left w:val="nil"/>
              <w:bottom w:val="nil"/>
              <w:right w:val="nil"/>
            </w:tcBorders>
            <w:shd w:val="clear" w:color="auto" w:fill="auto"/>
            <w:noWrap/>
            <w:vAlign w:val="bottom"/>
            <w:hideMark/>
          </w:tcPr>
          <w:p w14:paraId="5DA3CA2F" w14:textId="5849EC16"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1.269</w:t>
            </w:r>
            <w:r w:rsidR="00D34C8A" w:rsidRPr="0003410E">
              <w:rPr>
                <w:rFonts w:ascii="Garamond" w:eastAsia="Times New Roman" w:hAnsi="Garamond" w:cs="Times New Roman"/>
                <w:color w:val="000000"/>
                <w:sz w:val="18"/>
                <w:szCs w:val="18"/>
                <w:lang w:eastAsia="it-IT"/>
              </w:rPr>
              <w:t>***</w:t>
            </w:r>
          </w:p>
        </w:tc>
        <w:tc>
          <w:tcPr>
            <w:tcW w:w="330" w:type="pct"/>
            <w:tcBorders>
              <w:top w:val="single" w:sz="4" w:space="0" w:color="auto"/>
              <w:left w:val="nil"/>
              <w:bottom w:val="nil"/>
              <w:right w:val="nil"/>
            </w:tcBorders>
          </w:tcPr>
          <w:p w14:paraId="6F9064E2" w14:textId="742E9345" w:rsidR="00D34C8A" w:rsidRPr="0003410E" w:rsidRDefault="00B82611"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101</w:t>
            </w:r>
            <w:r w:rsidR="00D34C8A" w:rsidRPr="0003410E">
              <w:rPr>
                <w:rFonts w:ascii="Garamond" w:eastAsia="Times New Roman" w:hAnsi="Garamond" w:cs="Times New Roman"/>
                <w:color w:val="000000"/>
                <w:sz w:val="18"/>
                <w:szCs w:val="18"/>
                <w:lang w:eastAsia="it-IT"/>
              </w:rPr>
              <w:t>.</w:t>
            </w:r>
            <w:r>
              <w:rPr>
                <w:rFonts w:ascii="Garamond" w:eastAsia="Times New Roman" w:hAnsi="Garamond" w:cs="Times New Roman"/>
                <w:color w:val="000000"/>
                <w:sz w:val="18"/>
                <w:szCs w:val="18"/>
                <w:lang w:eastAsia="it-IT"/>
              </w:rPr>
              <w:t>44</w:t>
            </w:r>
          </w:p>
        </w:tc>
        <w:tc>
          <w:tcPr>
            <w:tcW w:w="531" w:type="pct"/>
            <w:tcBorders>
              <w:top w:val="single" w:sz="4" w:space="0" w:color="auto"/>
              <w:left w:val="nil"/>
              <w:bottom w:val="nil"/>
              <w:right w:val="nil"/>
            </w:tcBorders>
            <w:shd w:val="clear" w:color="auto" w:fill="auto"/>
            <w:noWrap/>
            <w:vAlign w:val="bottom"/>
            <w:hideMark/>
          </w:tcPr>
          <w:p w14:paraId="117B1CF4" w14:textId="365F9FE5" w:rsidR="00D34C8A" w:rsidRPr="0003410E" w:rsidRDefault="00CB2C63"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1.609</w:t>
            </w:r>
            <w:r w:rsidR="00D34C8A" w:rsidRPr="0003410E">
              <w:rPr>
                <w:rFonts w:ascii="Garamond" w:eastAsia="Times New Roman" w:hAnsi="Garamond" w:cs="Times New Roman"/>
                <w:color w:val="000000"/>
                <w:sz w:val="18"/>
                <w:szCs w:val="18"/>
                <w:lang w:eastAsia="it-IT"/>
              </w:rPr>
              <w:t>***</w:t>
            </w:r>
          </w:p>
        </w:tc>
        <w:tc>
          <w:tcPr>
            <w:tcW w:w="328" w:type="pct"/>
            <w:tcBorders>
              <w:top w:val="single" w:sz="4" w:space="0" w:color="auto"/>
              <w:left w:val="nil"/>
              <w:bottom w:val="nil"/>
              <w:right w:val="nil"/>
            </w:tcBorders>
          </w:tcPr>
          <w:p w14:paraId="3B127104" w14:textId="098F64B3" w:rsidR="00D34C8A" w:rsidRPr="0003410E" w:rsidRDefault="00CB2C63" w:rsidP="00D34C8A">
            <w:pPr>
              <w:spacing w:after="0" w:line="240" w:lineRule="auto"/>
              <w:jc w:val="center"/>
              <w:rPr>
                <w:rFonts w:ascii="Garamond" w:eastAsia="Times New Roman" w:hAnsi="Garamond" w:cs="Times New Roman"/>
                <w:color w:val="000000"/>
                <w:sz w:val="18"/>
                <w:szCs w:val="18"/>
                <w:lang w:eastAsia="it-IT"/>
              </w:rPr>
            </w:pPr>
            <w:r>
              <w:rPr>
                <w:rFonts w:ascii="Garamond" w:eastAsia="Times New Roman" w:hAnsi="Garamond" w:cs="Times New Roman"/>
                <w:color w:val="000000"/>
                <w:sz w:val="18"/>
                <w:szCs w:val="18"/>
                <w:lang w:eastAsia="it-IT"/>
              </w:rPr>
              <w:t>101</w:t>
            </w:r>
            <w:r w:rsidR="00D34C8A" w:rsidRPr="0003410E">
              <w:rPr>
                <w:rFonts w:ascii="Garamond" w:eastAsia="Times New Roman" w:hAnsi="Garamond" w:cs="Times New Roman"/>
                <w:color w:val="000000"/>
                <w:sz w:val="18"/>
                <w:szCs w:val="18"/>
                <w:lang w:eastAsia="it-IT"/>
              </w:rPr>
              <w:t>.</w:t>
            </w:r>
            <w:r>
              <w:rPr>
                <w:rFonts w:ascii="Garamond" w:eastAsia="Times New Roman" w:hAnsi="Garamond" w:cs="Times New Roman"/>
                <w:color w:val="000000"/>
                <w:sz w:val="18"/>
                <w:szCs w:val="18"/>
                <w:lang w:eastAsia="it-IT"/>
              </w:rPr>
              <w:t>13</w:t>
            </w:r>
          </w:p>
        </w:tc>
      </w:tr>
      <w:tr w:rsidR="00CB2C63" w:rsidRPr="0003410E" w14:paraId="43A6BE5C" w14:textId="77777777" w:rsidTr="00387A1A">
        <w:trPr>
          <w:trHeight w:val="300"/>
        </w:trPr>
        <w:tc>
          <w:tcPr>
            <w:tcW w:w="805" w:type="pct"/>
            <w:tcBorders>
              <w:top w:val="nil"/>
              <w:left w:val="nil"/>
              <w:bottom w:val="single" w:sz="4" w:space="0" w:color="auto"/>
              <w:right w:val="nil"/>
            </w:tcBorders>
            <w:shd w:val="clear" w:color="auto" w:fill="auto"/>
            <w:noWrap/>
            <w:vAlign w:val="bottom"/>
            <w:hideMark/>
          </w:tcPr>
          <w:p w14:paraId="3BC3B11E" w14:textId="77777777" w:rsidR="00D34C8A" w:rsidRPr="0003410E" w:rsidRDefault="00D34C8A" w:rsidP="00D34C8A">
            <w:pPr>
              <w:spacing w:after="0" w:line="240" w:lineRule="auto"/>
              <w:jc w:val="center"/>
              <w:rPr>
                <w:rFonts w:ascii="Garamond" w:eastAsia="Times New Roman" w:hAnsi="Garamond" w:cs="Times New Roman"/>
                <w:bCs/>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5D6E9E9E" w14:textId="2CC3ED72" w:rsidR="00D34C8A" w:rsidRPr="0003410E" w:rsidRDefault="0008683F" w:rsidP="00D34C8A">
            <w:pPr>
              <w:spacing w:after="0" w:line="240" w:lineRule="auto"/>
              <w:jc w:val="center"/>
              <w:rPr>
                <w:rFonts w:ascii="Garamond" w:eastAsia="Times New Roman" w:hAnsi="Garamond" w:cs="Times New Roman"/>
                <w:bCs/>
                <w:i/>
                <w:color w:val="000000"/>
                <w:sz w:val="18"/>
                <w:szCs w:val="18"/>
                <w:lang w:eastAsia="it-IT"/>
              </w:rPr>
            </w:pPr>
            <w:r>
              <w:rPr>
                <w:rFonts w:ascii="Garamond" w:eastAsia="Times New Roman" w:hAnsi="Garamond" w:cs="Times New Roman"/>
                <w:bCs/>
                <w:i/>
                <w:color w:val="000000"/>
                <w:sz w:val="18"/>
                <w:szCs w:val="18"/>
                <w:lang w:eastAsia="it-IT"/>
              </w:rPr>
              <w:t>0.100</w:t>
            </w:r>
          </w:p>
        </w:tc>
        <w:tc>
          <w:tcPr>
            <w:tcW w:w="276" w:type="pct"/>
            <w:tcBorders>
              <w:top w:val="nil"/>
              <w:left w:val="nil"/>
              <w:bottom w:val="single" w:sz="4" w:space="0" w:color="auto"/>
              <w:right w:val="nil"/>
            </w:tcBorders>
          </w:tcPr>
          <w:p w14:paraId="77C8019D" w14:textId="77777777" w:rsidR="00D34C8A" w:rsidRPr="0003410E" w:rsidRDefault="00D34C8A" w:rsidP="0003410E">
            <w:pPr>
              <w:spacing w:after="0" w:line="240" w:lineRule="auto"/>
              <w:jc w:val="both"/>
              <w:rPr>
                <w:rFonts w:ascii="Garamond" w:eastAsia="Times New Roman" w:hAnsi="Garamond" w:cs="Times New Roman"/>
                <w:bCs/>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4EF2EBA8" w14:textId="52FD9C06" w:rsidR="00D34C8A" w:rsidRPr="0003410E" w:rsidRDefault="00B82611" w:rsidP="00D34C8A">
            <w:pPr>
              <w:spacing w:after="0" w:line="240" w:lineRule="auto"/>
              <w:jc w:val="center"/>
              <w:rPr>
                <w:rFonts w:ascii="Garamond" w:eastAsia="Times New Roman" w:hAnsi="Garamond" w:cs="Times New Roman"/>
                <w:bCs/>
                <w:i/>
                <w:color w:val="000000"/>
                <w:sz w:val="18"/>
                <w:szCs w:val="18"/>
                <w:lang w:eastAsia="it-IT"/>
              </w:rPr>
            </w:pPr>
            <w:r>
              <w:rPr>
                <w:rFonts w:ascii="Garamond" w:eastAsia="Times New Roman" w:hAnsi="Garamond" w:cs="Times New Roman"/>
                <w:bCs/>
                <w:i/>
                <w:color w:val="000000"/>
                <w:sz w:val="18"/>
                <w:szCs w:val="18"/>
                <w:lang w:eastAsia="it-IT"/>
              </w:rPr>
              <w:t>0.014</w:t>
            </w:r>
          </w:p>
        </w:tc>
        <w:tc>
          <w:tcPr>
            <w:tcW w:w="384" w:type="pct"/>
            <w:tcBorders>
              <w:top w:val="nil"/>
              <w:left w:val="nil"/>
              <w:bottom w:val="single" w:sz="4" w:space="0" w:color="auto"/>
              <w:right w:val="nil"/>
            </w:tcBorders>
          </w:tcPr>
          <w:p w14:paraId="58475D2D" w14:textId="77777777" w:rsidR="00D34C8A" w:rsidRPr="0003410E" w:rsidRDefault="00D34C8A" w:rsidP="00D34C8A">
            <w:pPr>
              <w:spacing w:after="0" w:line="240" w:lineRule="auto"/>
              <w:jc w:val="center"/>
              <w:rPr>
                <w:rFonts w:ascii="Garamond" w:eastAsia="Times New Roman" w:hAnsi="Garamond" w:cs="Times New Roman"/>
                <w:bCs/>
                <w:i/>
                <w:color w:val="000000"/>
                <w:sz w:val="18"/>
                <w:szCs w:val="18"/>
                <w:lang w:eastAsia="it-IT"/>
              </w:rPr>
            </w:pPr>
          </w:p>
        </w:tc>
        <w:tc>
          <w:tcPr>
            <w:tcW w:w="477" w:type="pct"/>
            <w:tcBorders>
              <w:top w:val="nil"/>
              <w:left w:val="nil"/>
              <w:bottom w:val="single" w:sz="4" w:space="0" w:color="auto"/>
              <w:right w:val="nil"/>
            </w:tcBorders>
            <w:shd w:val="clear" w:color="auto" w:fill="auto"/>
            <w:noWrap/>
            <w:vAlign w:val="bottom"/>
            <w:hideMark/>
          </w:tcPr>
          <w:p w14:paraId="44CE7CAF" w14:textId="6810EAF6" w:rsidR="00D34C8A" w:rsidRPr="0003410E" w:rsidRDefault="00B82611" w:rsidP="00D34C8A">
            <w:pPr>
              <w:spacing w:after="0" w:line="240" w:lineRule="auto"/>
              <w:jc w:val="center"/>
              <w:rPr>
                <w:rFonts w:ascii="Garamond" w:eastAsia="Times New Roman" w:hAnsi="Garamond" w:cs="Times New Roman"/>
                <w:bCs/>
                <w:i/>
                <w:color w:val="000000"/>
                <w:sz w:val="18"/>
                <w:szCs w:val="18"/>
                <w:lang w:eastAsia="it-IT"/>
              </w:rPr>
            </w:pPr>
            <w:r>
              <w:rPr>
                <w:rFonts w:ascii="Garamond" w:eastAsia="Times New Roman" w:hAnsi="Garamond" w:cs="Times New Roman"/>
                <w:bCs/>
                <w:i/>
                <w:color w:val="000000"/>
                <w:sz w:val="18"/>
                <w:szCs w:val="18"/>
                <w:lang w:eastAsia="it-IT"/>
              </w:rPr>
              <w:t>0.022</w:t>
            </w:r>
          </w:p>
        </w:tc>
        <w:tc>
          <w:tcPr>
            <w:tcW w:w="384" w:type="pct"/>
            <w:tcBorders>
              <w:top w:val="nil"/>
              <w:left w:val="nil"/>
              <w:bottom w:val="single" w:sz="4" w:space="0" w:color="auto"/>
              <w:right w:val="nil"/>
            </w:tcBorders>
          </w:tcPr>
          <w:p w14:paraId="409230A6" w14:textId="77777777" w:rsidR="00D34C8A" w:rsidRPr="0003410E" w:rsidRDefault="00D34C8A" w:rsidP="00D34C8A">
            <w:pPr>
              <w:spacing w:after="0" w:line="240" w:lineRule="auto"/>
              <w:jc w:val="center"/>
              <w:rPr>
                <w:rFonts w:ascii="Garamond" w:eastAsia="Times New Roman" w:hAnsi="Garamond" w:cs="Times New Roman"/>
                <w:bCs/>
                <w:i/>
                <w:color w:val="000000"/>
                <w:sz w:val="18"/>
                <w:szCs w:val="18"/>
                <w:lang w:eastAsia="it-IT"/>
              </w:rPr>
            </w:pPr>
          </w:p>
        </w:tc>
        <w:tc>
          <w:tcPr>
            <w:tcW w:w="531" w:type="pct"/>
            <w:tcBorders>
              <w:top w:val="nil"/>
              <w:left w:val="nil"/>
              <w:bottom w:val="single" w:sz="4" w:space="0" w:color="auto"/>
              <w:right w:val="nil"/>
            </w:tcBorders>
            <w:shd w:val="clear" w:color="auto" w:fill="auto"/>
            <w:noWrap/>
            <w:vAlign w:val="bottom"/>
            <w:hideMark/>
          </w:tcPr>
          <w:p w14:paraId="4361196F" w14:textId="51EAB63A" w:rsidR="00D34C8A" w:rsidRPr="0003410E" w:rsidRDefault="00D34C8A" w:rsidP="00B82611">
            <w:pPr>
              <w:spacing w:after="0" w:line="240" w:lineRule="auto"/>
              <w:jc w:val="center"/>
              <w:rPr>
                <w:rFonts w:ascii="Garamond" w:eastAsia="Times New Roman" w:hAnsi="Garamond" w:cs="Times New Roman"/>
                <w:bCs/>
                <w:i/>
                <w:color w:val="000000"/>
                <w:sz w:val="18"/>
                <w:szCs w:val="18"/>
                <w:lang w:eastAsia="it-IT"/>
              </w:rPr>
            </w:pPr>
            <w:r w:rsidRPr="0003410E">
              <w:rPr>
                <w:rFonts w:ascii="Garamond" w:eastAsia="Times New Roman" w:hAnsi="Garamond" w:cs="Times New Roman"/>
                <w:bCs/>
                <w:i/>
                <w:color w:val="000000"/>
                <w:sz w:val="18"/>
                <w:szCs w:val="18"/>
                <w:lang w:eastAsia="it-IT"/>
              </w:rPr>
              <w:t>0.</w:t>
            </w:r>
            <w:r w:rsidR="00B82611">
              <w:rPr>
                <w:rFonts w:ascii="Garamond" w:eastAsia="Times New Roman" w:hAnsi="Garamond" w:cs="Times New Roman"/>
                <w:bCs/>
                <w:i/>
                <w:color w:val="000000"/>
                <w:sz w:val="18"/>
                <w:szCs w:val="18"/>
                <w:lang w:eastAsia="it-IT"/>
              </w:rPr>
              <w:t>049</w:t>
            </w:r>
          </w:p>
        </w:tc>
        <w:tc>
          <w:tcPr>
            <w:tcW w:w="330" w:type="pct"/>
            <w:tcBorders>
              <w:top w:val="nil"/>
              <w:left w:val="nil"/>
              <w:bottom w:val="single" w:sz="4" w:space="0" w:color="auto"/>
              <w:right w:val="nil"/>
            </w:tcBorders>
          </w:tcPr>
          <w:p w14:paraId="7F199BF3" w14:textId="77777777" w:rsidR="00D34C8A" w:rsidRPr="0003410E" w:rsidRDefault="00D34C8A" w:rsidP="00D34C8A">
            <w:pPr>
              <w:spacing w:after="0" w:line="240" w:lineRule="auto"/>
              <w:jc w:val="center"/>
              <w:rPr>
                <w:rFonts w:ascii="Garamond" w:eastAsia="Times New Roman" w:hAnsi="Garamond" w:cs="Times New Roman"/>
                <w:bCs/>
                <w:i/>
                <w:color w:val="000000"/>
                <w:sz w:val="18"/>
                <w:szCs w:val="18"/>
                <w:lang w:eastAsia="it-IT"/>
              </w:rPr>
            </w:pPr>
          </w:p>
        </w:tc>
        <w:tc>
          <w:tcPr>
            <w:tcW w:w="531" w:type="pct"/>
            <w:tcBorders>
              <w:top w:val="nil"/>
              <w:left w:val="nil"/>
              <w:bottom w:val="single" w:sz="4" w:space="0" w:color="auto"/>
              <w:right w:val="nil"/>
            </w:tcBorders>
            <w:shd w:val="clear" w:color="auto" w:fill="auto"/>
            <w:noWrap/>
            <w:vAlign w:val="bottom"/>
            <w:hideMark/>
          </w:tcPr>
          <w:p w14:paraId="1480B74F" w14:textId="355C4C16" w:rsidR="00D34C8A" w:rsidRPr="0003410E" w:rsidRDefault="00CB2C63" w:rsidP="00D34C8A">
            <w:pPr>
              <w:spacing w:after="0" w:line="240" w:lineRule="auto"/>
              <w:jc w:val="center"/>
              <w:rPr>
                <w:rFonts w:ascii="Garamond" w:eastAsia="Times New Roman" w:hAnsi="Garamond" w:cs="Times New Roman"/>
                <w:bCs/>
                <w:i/>
                <w:color w:val="000000"/>
                <w:sz w:val="18"/>
                <w:szCs w:val="18"/>
                <w:lang w:eastAsia="it-IT"/>
              </w:rPr>
            </w:pPr>
            <w:r>
              <w:rPr>
                <w:rFonts w:ascii="Garamond" w:eastAsia="Times New Roman" w:hAnsi="Garamond" w:cs="Times New Roman"/>
                <w:bCs/>
                <w:i/>
                <w:color w:val="000000"/>
                <w:sz w:val="18"/>
                <w:szCs w:val="18"/>
                <w:lang w:eastAsia="it-IT"/>
              </w:rPr>
              <w:t>0.069</w:t>
            </w:r>
          </w:p>
        </w:tc>
        <w:tc>
          <w:tcPr>
            <w:tcW w:w="328" w:type="pct"/>
            <w:tcBorders>
              <w:top w:val="nil"/>
              <w:left w:val="nil"/>
              <w:bottom w:val="single" w:sz="4" w:space="0" w:color="auto"/>
              <w:right w:val="nil"/>
            </w:tcBorders>
          </w:tcPr>
          <w:p w14:paraId="29051942" w14:textId="77777777" w:rsidR="00D34C8A" w:rsidRPr="0003410E" w:rsidRDefault="00D34C8A" w:rsidP="00D34C8A">
            <w:pPr>
              <w:spacing w:after="0" w:line="240" w:lineRule="auto"/>
              <w:jc w:val="center"/>
              <w:rPr>
                <w:rFonts w:ascii="Garamond" w:eastAsia="Times New Roman" w:hAnsi="Garamond" w:cs="Times New Roman"/>
                <w:bCs/>
                <w:i/>
                <w:color w:val="000000"/>
                <w:sz w:val="18"/>
                <w:szCs w:val="18"/>
                <w:lang w:eastAsia="it-IT"/>
              </w:rPr>
            </w:pPr>
          </w:p>
        </w:tc>
      </w:tr>
    </w:tbl>
    <w:p w14:paraId="6EE1B0E7" w14:textId="77777777" w:rsidR="00B77A5D" w:rsidRDefault="00B77A5D" w:rsidP="00B77A5D">
      <w:pPr>
        <w:jc w:val="both"/>
        <w:rPr>
          <w:rFonts w:ascii="Garamond" w:hAnsi="Garamond"/>
          <w:sz w:val="16"/>
          <w:szCs w:val="16"/>
        </w:rPr>
      </w:pPr>
      <w:r w:rsidRPr="005568B0">
        <w:rPr>
          <w:rFonts w:ascii="Garamond" w:hAnsi="Garamond"/>
          <w:i/>
          <w:sz w:val="16"/>
          <w:szCs w:val="16"/>
        </w:rPr>
        <w:t>Standard Errors in Italics</w:t>
      </w:r>
      <w:r>
        <w:rPr>
          <w:rFonts w:ascii="Garamond" w:hAnsi="Garamond"/>
          <w:i/>
          <w:sz w:val="16"/>
          <w:szCs w:val="16"/>
        </w:rPr>
        <w:t xml:space="preserve"> </w:t>
      </w:r>
      <w:r w:rsidRPr="005568B0">
        <w:rPr>
          <w:rFonts w:ascii="Garamond" w:hAnsi="Garamond"/>
          <w:sz w:val="16"/>
          <w:szCs w:val="16"/>
        </w:rPr>
        <w:t>; ***, **, * indicate significance at 1%, 5% and 10%, respectively</w:t>
      </w:r>
      <w:r>
        <w:rPr>
          <w:rFonts w:ascii="Garamond" w:hAnsi="Garamond"/>
          <w:sz w:val="16"/>
          <w:szCs w:val="16"/>
        </w:rPr>
        <w:t>.</w:t>
      </w:r>
    </w:p>
    <w:p w14:paraId="634C73D2" w14:textId="77777777" w:rsidR="00D9120E" w:rsidRDefault="00D9120E">
      <w:pPr>
        <w:rPr>
          <w:rFonts w:ascii="Garamond" w:hAnsi="Garamond"/>
          <w:b/>
        </w:rPr>
      </w:pPr>
      <w:r>
        <w:rPr>
          <w:rFonts w:ascii="Garamond" w:hAnsi="Garamond"/>
          <w:b/>
        </w:rPr>
        <w:br w:type="page"/>
      </w:r>
    </w:p>
    <w:p w14:paraId="07041A55" w14:textId="77777777" w:rsidR="00D9120E" w:rsidRDefault="00D9120E" w:rsidP="00D9120E">
      <w:pPr>
        <w:autoSpaceDE w:val="0"/>
        <w:autoSpaceDN w:val="0"/>
        <w:adjustRightInd w:val="0"/>
        <w:spacing w:after="0"/>
        <w:jc w:val="both"/>
        <w:rPr>
          <w:rFonts w:ascii="Garamond" w:hAnsi="Garamond"/>
        </w:rPr>
      </w:pPr>
    </w:p>
    <w:p w14:paraId="4372D697" w14:textId="77777777" w:rsidR="00832EC5" w:rsidRDefault="00832EC5">
      <w:pPr>
        <w:rPr>
          <w:rFonts w:ascii="Garamond" w:hAnsi="Garamond"/>
          <w:b/>
        </w:rPr>
      </w:pPr>
    </w:p>
    <w:p w14:paraId="279F4309" w14:textId="54AB7585" w:rsidR="00E72489" w:rsidRDefault="00D9120E" w:rsidP="001264A8">
      <w:pPr>
        <w:jc w:val="center"/>
        <w:rPr>
          <w:rFonts w:ascii="Garamond" w:hAnsi="Garamond"/>
          <w:b/>
        </w:rPr>
      </w:pPr>
      <w:r>
        <w:rPr>
          <w:rFonts w:ascii="Garamond" w:hAnsi="Garamond"/>
          <w:b/>
        </w:rPr>
        <w:t xml:space="preserve">Figure </w:t>
      </w:r>
      <w:r w:rsidR="00B41E8D">
        <w:rPr>
          <w:rFonts w:ascii="Garamond" w:hAnsi="Garamond"/>
          <w:b/>
        </w:rPr>
        <w:t>1</w:t>
      </w:r>
      <w:r>
        <w:rPr>
          <w:rFonts w:ascii="Garamond" w:hAnsi="Garamond"/>
          <w:b/>
        </w:rPr>
        <w:t xml:space="preserve">. Income Coefficient of </w:t>
      </w:r>
      <w:r w:rsidR="00336276">
        <w:rPr>
          <w:rFonts w:ascii="Garamond" w:hAnsi="Garamond"/>
          <w:b/>
        </w:rPr>
        <w:t>OLS and RIF regression</w:t>
      </w:r>
      <w:r>
        <w:rPr>
          <w:rFonts w:ascii="Garamond" w:hAnsi="Garamond"/>
          <w:b/>
        </w:rPr>
        <w:t>. Cholesterol</w:t>
      </w:r>
    </w:p>
    <w:p w14:paraId="23DB847E" w14:textId="2CEF78EB" w:rsidR="00D9120E" w:rsidRDefault="00105C3B" w:rsidP="00D9120E">
      <w:pPr>
        <w:jc w:val="center"/>
        <w:rPr>
          <w:rFonts w:ascii="Garamond" w:hAnsi="Garamond"/>
          <w:b/>
        </w:rPr>
      </w:pPr>
      <w:r w:rsidRPr="00006F5C">
        <w:rPr>
          <w:rFonts w:ascii="BookAntiqua" w:hAnsi="BookAntiqua" w:cs="BookAntiqua"/>
          <w:noProof/>
          <w:sz w:val="24"/>
          <w:szCs w:val="24"/>
          <w:lang w:val="en-GB" w:eastAsia="en-GB"/>
        </w:rPr>
        <w:drawing>
          <wp:inline distT="0" distB="0" distL="0" distR="0" wp14:anchorId="1A34446D" wp14:editId="48D33F81">
            <wp:extent cx="3990875" cy="291640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2027" cy="2917251"/>
                    </a:xfrm>
                    <a:prstGeom prst="rect">
                      <a:avLst/>
                    </a:prstGeom>
                    <a:noFill/>
                    <a:ln>
                      <a:noFill/>
                    </a:ln>
                  </pic:spPr>
                </pic:pic>
              </a:graphicData>
            </a:graphic>
          </wp:inline>
        </w:drawing>
      </w:r>
    </w:p>
    <w:p w14:paraId="37768F8B" w14:textId="77777777" w:rsidR="008A71FD" w:rsidRDefault="008A71FD" w:rsidP="001264A8">
      <w:pPr>
        <w:jc w:val="center"/>
        <w:rPr>
          <w:rFonts w:ascii="Garamond" w:hAnsi="Garamond"/>
          <w:b/>
        </w:rPr>
      </w:pPr>
    </w:p>
    <w:p w14:paraId="5A6DA30F" w14:textId="77777777" w:rsidR="008A71FD" w:rsidRDefault="008A71FD" w:rsidP="001264A8">
      <w:pPr>
        <w:jc w:val="center"/>
        <w:rPr>
          <w:rFonts w:ascii="Garamond" w:hAnsi="Garamond"/>
          <w:b/>
        </w:rPr>
      </w:pPr>
    </w:p>
    <w:p w14:paraId="3B154EF1" w14:textId="50C8470F" w:rsidR="00E72489" w:rsidRDefault="00D9120E" w:rsidP="001264A8">
      <w:pPr>
        <w:jc w:val="center"/>
        <w:rPr>
          <w:rFonts w:ascii="Garamond" w:hAnsi="Garamond"/>
          <w:b/>
        </w:rPr>
      </w:pPr>
      <w:r>
        <w:rPr>
          <w:rFonts w:ascii="Garamond" w:hAnsi="Garamond"/>
          <w:b/>
        </w:rPr>
        <w:t xml:space="preserve">Figure </w:t>
      </w:r>
      <w:r w:rsidR="00B41E8D">
        <w:rPr>
          <w:rFonts w:ascii="Garamond" w:hAnsi="Garamond"/>
          <w:b/>
        </w:rPr>
        <w:t>2</w:t>
      </w:r>
      <w:r>
        <w:rPr>
          <w:rFonts w:ascii="Garamond" w:hAnsi="Garamond"/>
          <w:b/>
        </w:rPr>
        <w:t xml:space="preserve">.  Income Coefficient of </w:t>
      </w:r>
      <w:r w:rsidR="00336276">
        <w:rPr>
          <w:rFonts w:ascii="Garamond" w:hAnsi="Garamond"/>
          <w:b/>
        </w:rPr>
        <w:t xml:space="preserve">OLS and </w:t>
      </w:r>
      <w:r>
        <w:rPr>
          <w:rFonts w:ascii="Garamond" w:hAnsi="Garamond"/>
          <w:b/>
        </w:rPr>
        <w:t>RIF regression. Glycated Haemoglobin</w:t>
      </w:r>
    </w:p>
    <w:p w14:paraId="3B823AE2" w14:textId="669B81BB" w:rsidR="00D9120E" w:rsidRDefault="00105C3B" w:rsidP="00D9120E">
      <w:pPr>
        <w:jc w:val="center"/>
        <w:rPr>
          <w:rFonts w:ascii="Garamond" w:hAnsi="Garamond"/>
          <w:b/>
        </w:rPr>
      </w:pPr>
      <w:r>
        <w:rPr>
          <w:rFonts w:ascii="BookAntiqua" w:hAnsi="BookAntiqua" w:cs="BookAntiqua"/>
          <w:noProof/>
          <w:sz w:val="24"/>
          <w:szCs w:val="24"/>
          <w:lang w:val="en-GB" w:eastAsia="en-GB"/>
        </w:rPr>
        <w:drawing>
          <wp:inline distT="0" distB="0" distL="0" distR="0" wp14:anchorId="76CCD426" wp14:editId="5ECEE2B4">
            <wp:extent cx="3832860" cy="2800936"/>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35016" cy="2802512"/>
                    </a:xfrm>
                    <a:prstGeom prst="rect">
                      <a:avLst/>
                    </a:prstGeom>
                    <a:noFill/>
                    <a:ln>
                      <a:noFill/>
                    </a:ln>
                  </pic:spPr>
                </pic:pic>
              </a:graphicData>
            </a:graphic>
          </wp:inline>
        </w:drawing>
      </w:r>
    </w:p>
    <w:p w14:paraId="0E19C6F2" w14:textId="77777777" w:rsidR="00D9120E" w:rsidRDefault="00D9120E">
      <w:pPr>
        <w:rPr>
          <w:rFonts w:ascii="Garamond" w:hAnsi="Garamond"/>
          <w:b/>
        </w:rPr>
      </w:pPr>
      <w:r>
        <w:rPr>
          <w:rFonts w:ascii="Garamond" w:hAnsi="Garamond"/>
          <w:b/>
        </w:rPr>
        <w:br w:type="page"/>
      </w:r>
    </w:p>
    <w:p w14:paraId="0DF1F966" w14:textId="2E5AD8D3" w:rsidR="00D9120E" w:rsidRDefault="00D9120E" w:rsidP="00D9120E">
      <w:pPr>
        <w:jc w:val="center"/>
        <w:rPr>
          <w:rFonts w:ascii="Garamond" w:hAnsi="Garamond"/>
          <w:b/>
        </w:rPr>
      </w:pPr>
      <w:r>
        <w:rPr>
          <w:rFonts w:ascii="Garamond" w:hAnsi="Garamond"/>
          <w:b/>
        </w:rPr>
        <w:lastRenderedPageBreak/>
        <w:t xml:space="preserve">Figure </w:t>
      </w:r>
      <w:r w:rsidR="00B41E8D">
        <w:rPr>
          <w:rFonts w:ascii="Garamond" w:hAnsi="Garamond"/>
          <w:b/>
        </w:rPr>
        <w:t>3</w:t>
      </w:r>
      <w:r>
        <w:rPr>
          <w:rFonts w:ascii="Garamond" w:hAnsi="Garamond"/>
          <w:b/>
        </w:rPr>
        <w:t xml:space="preserve">.  Income Coefficient of </w:t>
      </w:r>
      <w:r w:rsidR="00336276">
        <w:rPr>
          <w:rFonts w:ascii="Garamond" w:hAnsi="Garamond"/>
          <w:b/>
        </w:rPr>
        <w:t xml:space="preserve">OLS and </w:t>
      </w:r>
      <w:r>
        <w:rPr>
          <w:rFonts w:ascii="Garamond" w:hAnsi="Garamond"/>
          <w:b/>
        </w:rPr>
        <w:t>RIF regression. Fibrinogen</w:t>
      </w:r>
    </w:p>
    <w:p w14:paraId="16F97C79" w14:textId="5A2D533B" w:rsidR="00D9120E" w:rsidRDefault="00105C3B" w:rsidP="00D9120E">
      <w:pPr>
        <w:jc w:val="center"/>
        <w:rPr>
          <w:rFonts w:ascii="Garamond" w:hAnsi="Garamond"/>
          <w:b/>
        </w:rPr>
      </w:pPr>
      <w:r>
        <w:rPr>
          <w:rFonts w:ascii="BookAntiqua" w:hAnsi="BookAntiqua" w:cs="BookAntiqua"/>
          <w:noProof/>
          <w:sz w:val="24"/>
          <w:szCs w:val="24"/>
          <w:lang w:val="en-GB" w:eastAsia="en-GB"/>
        </w:rPr>
        <w:drawing>
          <wp:inline distT="0" distB="0" distL="0" distR="0" wp14:anchorId="17DED847" wp14:editId="5B3C060A">
            <wp:extent cx="3741821" cy="2734409"/>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6349" cy="2737718"/>
                    </a:xfrm>
                    <a:prstGeom prst="rect">
                      <a:avLst/>
                    </a:prstGeom>
                    <a:noFill/>
                    <a:ln>
                      <a:noFill/>
                    </a:ln>
                  </pic:spPr>
                </pic:pic>
              </a:graphicData>
            </a:graphic>
          </wp:inline>
        </w:drawing>
      </w:r>
    </w:p>
    <w:p w14:paraId="7C28ED31" w14:textId="77777777" w:rsidR="00D9120E" w:rsidRDefault="00D9120E" w:rsidP="00D9120E">
      <w:pPr>
        <w:jc w:val="center"/>
        <w:rPr>
          <w:rFonts w:ascii="Garamond" w:hAnsi="Garamond"/>
          <w:b/>
        </w:rPr>
      </w:pPr>
    </w:p>
    <w:p w14:paraId="49207CB1" w14:textId="5A5C8812" w:rsidR="00D9120E" w:rsidRDefault="00D9120E" w:rsidP="00D9120E">
      <w:pPr>
        <w:jc w:val="center"/>
        <w:rPr>
          <w:rFonts w:ascii="Garamond" w:hAnsi="Garamond"/>
          <w:b/>
        </w:rPr>
      </w:pPr>
      <w:r>
        <w:rPr>
          <w:rFonts w:ascii="Garamond" w:hAnsi="Garamond"/>
          <w:b/>
        </w:rPr>
        <w:t xml:space="preserve">Figure </w:t>
      </w:r>
      <w:r w:rsidR="00B41E8D">
        <w:rPr>
          <w:rFonts w:ascii="Garamond" w:hAnsi="Garamond"/>
          <w:b/>
        </w:rPr>
        <w:t>4</w:t>
      </w:r>
      <w:r>
        <w:rPr>
          <w:rFonts w:ascii="Garamond" w:hAnsi="Garamond"/>
          <w:b/>
        </w:rPr>
        <w:t>.  Income Coefficient of</w:t>
      </w:r>
      <w:r w:rsidR="00336276">
        <w:rPr>
          <w:rFonts w:ascii="Garamond" w:hAnsi="Garamond"/>
          <w:b/>
        </w:rPr>
        <w:t xml:space="preserve"> OLS and</w:t>
      </w:r>
      <w:r>
        <w:rPr>
          <w:rFonts w:ascii="Garamond" w:hAnsi="Garamond"/>
          <w:b/>
        </w:rPr>
        <w:t xml:space="preserve"> RIF regression. </w:t>
      </w:r>
      <w:r w:rsidR="00EA2973">
        <w:rPr>
          <w:rFonts w:ascii="Garamond" w:hAnsi="Garamond"/>
          <w:b/>
        </w:rPr>
        <w:t>Ferritin</w:t>
      </w:r>
    </w:p>
    <w:p w14:paraId="5AB441D1" w14:textId="504B01BD" w:rsidR="001F7F3F" w:rsidRDefault="001F7F3F" w:rsidP="00D9120E">
      <w:pPr>
        <w:jc w:val="center"/>
        <w:rPr>
          <w:rFonts w:ascii="Garamond" w:hAnsi="Garamond"/>
          <w:b/>
        </w:rPr>
      </w:pPr>
      <w:r w:rsidRPr="00CB2C63">
        <w:rPr>
          <w:rFonts w:ascii="Garamond" w:hAnsi="Garamond"/>
          <w:b/>
          <w:noProof/>
          <w:lang w:val="en-GB" w:eastAsia="en-GB"/>
        </w:rPr>
        <w:drawing>
          <wp:inline distT="0" distB="0" distL="0" distR="0" wp14:anchorId="21062F7F" wp14:editId="7F097693">
            <wp:extent cx="3940382" cy="2881204"/>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0063" cy="2880971"/>
                    </a:xfrm>
                    <a:prstGeom prst="rect">
                      <a:avLst/>
                    </a:prstGeom>
                    <a:noFill/>
                    <a:ln>
                      <a:noFill/>
                    </a:ln>
                  </pic:spPr>
                </pic:pic>
              </a:graphicData>
            </a:graphic>
          </wp:inline>
        </w:drawing>
      </w:r>
    </w:p>
    <w:p w14:paraId="7E5C70EF" w14:textId="30DFBDDC" w:rsidR="00D9120E" w:rsidRDefault="00D9120E" w:rsidP="00D9120E">
      <w:pPr>
        <w:jc w:val="center"/>
        <w:rPr>
          <w:rFonts w:ascii="Garamond" w:hAnsi="Garamond"/>
          <w:b/>
        </w:rPr>
      </w:pPr>
    </w:p>
    <w:p w14:paraId="3B656A79" w14:textId="77777777" w:rsidR="00D9120E" w:rsidRDefault="00D9120E">
      <w:pPr>
        <w:rPr>
          <w:rFonts w:ascii="Garamond" w:hAnsi="Garamond"/>
          <w:b/>
        </w:rPr>
      </w:pPr>
      <w:r>
        <w:rPr>
          <w:rFonts w:ascii="Garamond" w:hAnsi="Garamond"/>
          <w:b/>
        </w:rPr>
        <w:br w:type="page"/>
      </w:r>
    </w:p>
    <w:p w14:paraId="3CB2824B" w14:textId="77777777" w:rsidR="00D34C8A" w:rsidRDefault="00D34C8A" w:rsidP="001728FA">
      <w:pPr>
        <w:jc w:val="center"/>
        <w:rPr>
          <w:rFonts w:ascii="Garamond" w:hAnsi="Garamond"/>
          <w:b/>
        </w:rPr>
      </w:pPr>
    </w:p>
    <w:p w14:paraId="748DBF7C" w14:textId="0A1E6E5E" w:rsidR="00D34C8A" w:rsidRDefault="00D34C8A" w:rsidP="008F29BC">
      <w:pPr>
        <w:jc w:val="center"/>
        <w:rPr>
          <w:rFonts w:ascii="Garamond" w:hAnsi="Garamond"/>
          <w:b/>
        </w:rPr>
      </w:pPr>
      <w:r>
        <w:rPr>
          <w:rFonts w:ascii="Garamond" w:hAnsi="Garamond"/>
          <w:b/>
        </w:rPr>
        <w:t xml:space="preserve">Figure </w:t>
      </w:r>
      <w:r w:rsidR="00D27D0A">
        <w:rPr>
          <w:rFonts w:ascii="Garamond" w:hAnsi="Garamond"/>
          <w:b/>
        </w:rPr>
        <w:t>5</w:t>
      </w:r>
      <w:r>
        <w:rPr>
          <w:rFonts w:ascii="Garamond" w:hAnsi="Garamond"/>
          <w:b/>
        </w:rPr>
        <w:t>. Detailed Decomposition of gender differentials- Cholesterol</w:t>
      </w:r>
    </w:p>
    <w:p w14:paraId="7CF7DCBF" w14:textId="77777777" w:rsidR="00D34C8A" w:rsidRDefault="00D34C8A" w:rsidP="00D9120E">
      <w:pPr>
        <w:jc w:val="center"/>
        <w:rPr>
          <w:rFonts w:ascii="Garamond" w:hAnsi="Garamond"/>
          <w:b/>
        </w:rPr>
      </w:pPr>
      <w:r w:rsidRPr="00D34C8A">
        <w:rPr>
          <w:rFonts w:ascii="Garamond" w:hAnsi="Garamond"/>
          <w:b/>
          <w:noProof/>
          <w:lang w:val="en-GB" w:eastAsia="en-GB"/>
        </w:rPr>
        <w:drawing>
          <wp:inline distT="0" distB="0" distL="0" distR="0" wp14:anchorId="1F52A731" wp14:editId="40E4C171">
            <wp:extent cx="4143208" cy="3027727"/>
            <wp:effectExtent l="0" t="0" r="0" b="0"/>
            <wp:docPr id="2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136680" cy="3022957"/>
                    </a:xfrm>
                    <a:prstGeom prst="rect">
                      <a:avLst/>
                    </a:prstGeom>
                    <a:noFill/>
                    <a:ln w="9525">
                      <a:noFill/>
                      <a:miter lim="800000"/>
                      <a:headEnd/>
                      <a:tailEnd/>
                    </a:ln>
                  </pic:spPr>
                </pic:pic>
              </a:graphicData>
            </a:graphic>
          </wp:inline>
        </w:drawing>
      </w:r>
    </w:p>
    <w:p w14:paraId="4BDC9062" w14:textId="77777777" w:rsidR="00D34C8A" w:rsidRDefault="00D34C8A" w:rsidP="00D34C8A">
      <w:pPr>
        <w:jc w:val="center"/>
        <w:rPr>
          <w:rFonts w:ascii="Garamond" w:hAnsi="Garamond"/>
          <w:b/>
        </w:rPr>
      </w:pPr>
    </w:p>
    <w:p w14:paraId="679BE953" w14:textId="77777777" w:rsidR="00D34C8A" w:rsidRDefault="00D34C8A" w:rsidP="00D34C8A">
      <w:pPr>
        <w:jc w:val="center"/>
        <w:rPr>
          <w:rFonts w:ascii="Garamond" w:hAnsi="Garamond"/>
          <w:b/>
        </w:rPr>
      </w:pPr>
      <w:r>
        <w:rPr>
          <w:rFonts w:ascii="Garamond" w:hAnsi="Garamond"/>
          <w:b/>
        </w:rPr>
        <w:t xml:space="preserve">Figure </w:t>
      </w:r>
      <w:r w:rsidR="00D27D0A">
        <w:rPr>
          <w:rFonts w:ascii="Garamond" w:hAnsi="Garamond"/>
          <w:b/>
        </w:rPr>
        <w:t>6</w:t>
      </w:r>
      <w:r>
        <w:rPr>
          <w:rFonts w:ascii="Garamond" w:hAnsi="Garamond"/>
          <w:b/>
        </w:rPr>
        <w:t>. Detailed Decomposition of gender differentials- Glycated Haemoglobin</w:t>
      </w:r>
    </w:p>
    <w:p w14:paraId="6352FA4E" w14:textId="77777777" w:rsidR="00D34C8A" w:rsidRDefault="00D34C8A" w:rsidP="00D9120E">
      <w:pPr>
        <w:jc w:val="center"/>
        <w:rPr>
          <w:rFonts w:ascii="Garamond" w:hAnsi="Garamond"/>
          <w:b/>
        </w:rPr>
      </w:pPr>
      <w:r w:rsidRPr="00D34C8A">
        <w:rPr>
          <w:rFonts w:ascii="Garamond" w:hAnsi="Garamond"/>
          <w:b/>
          <w:noProof/>
          <w:lang w:val="en-GB" w:eastAsia="en-GB"/>
        </w:rPr>
        <w:drawing>
          <wp:inline distT="0" distB="0" distL="0" distR="0" wp14:anchorId="22DDE033" wp14:editId="34EEB754">
            <wp:extent cx="4309645" cy="3149354"/>
            <wp:effectExtent l="0" t="0" r="0" b="0"/>
            <wp:docPr id="2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309633" cy="3149345"/>
                    </a:xfrm>
                    <a:prstGeom prst="rect">
                      <a:avLst/>
                    </a:prstGeom>
                    <a:noFill/>
                    <a:ln w="9525">
                      <a:noFill/>
                      <a:miter lim="800000"/>
                      <a:headEnd/>
                      <a:tailEnd/>
                    </a:ln>
                  </pic:spPr>
                </pic:pic>
              </a:graphicData>
            </a:graphic>
          </wp:inline>
        </w:drawing>
      </w:r>
    </w:p>
    <w:p w14:paraId="0159646C" w14:textId="77777777" w:rsidR="00C6364B" w:rsidRDefault="00C6364B" w:rsidP="00D9120E">
      <w:pPr>
        <w:jc w:val="center"/>
        <w:rPr>
          <w:rFonts w:ascii="Garamond" w:hAnsi="Garamond"/>
          <w:b/>
        </w:rPr>
      </w:pPr>
    </w:p>
    <w:p w14:paraId="5D6E2DCB" w14:textId="77777777" w:rsidR="00C6364B" w:rsidRDefault="00C6364B" w:rsidP="00C6364B">
      <w:pPr>
        <w:jc w:val="center"/>
        <w:rPr>
          <w:rFonts w:ascii="Garamond" w:hAnsi="Garamond"/>
          <w:b/>
        </w:rPr>
      </w:pPr>
      <w:r>
        <w:rPr>
          <w:rFonts w:ascii="Garamond" w:hAnsi="Garamond"/>
          <w:b/>
        </w:rPr>
        <w:lastRenderedPageBreak/>
        <w:t xml:space="preserve">Figure </w:t>
      </w:r>
      <w:r w:rsidR="00D27D0A">
        <w:rPr>
          <w:rFonts w:ascii="Garamond" w:hAnsi="Garamond"/>
          <w:b/>
        </w:rPr>
        <w:t>7</w:t>
      </w:r>
      <w:r>
        <w:rPr>
          <w:rFonts w:ascii="Garamond" w:hAnsi="Garamond"/>
          <w:b/>
        </w:rPr>
        <w:t>. Detailed Decomposition of gender differentials- Fibrinogen</w:t>
      </w:r>
    </w:p>
    <w:p w14:paraId="66DFA52E" w14:textId="77777777" w:rsidR="00C6364B" w:rsidRDefault="00C6364B" w:rsidP="00C6364B">
      <w:pPr>
        <w:jc w:val="center"/>
        <w:rPr>
          <w:rFonts w:ascii="Garamond" w:hAnsi="Garamond"/>
          <w:b/>
        </w:rPr>
      </w:pPr>
      <w:r w:rsidRPr="00C6364B">
        <w:rPr>
          <w:rFonts w:ascii="Garamond" w:hAnsi="Garamond"/>
          <w:b/>
          <w:noProof/>
          <w:lang w:val="en-GB" w:eastAsia="en-GB"/>
        </w:rPr>
        <w:drawing>
          <wp:inline distT="0" distB="0" distL="0" distR="0" wp14:anchorId="44FBF133" wp14:editId="106109A5">
            <wp:extent cx="4409239" cy="3222136"/>
            <wp:effectExtent l="0" t="0" r="0" b="0"/>
            <wp:docPr id="2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405461" cy="3219375"/>
                    </a:xfrm>
                    <a:prstGeom prst="rect">
                      <a:avLst/>
                    </a:prstGeom>
                    <a:noFill/>
                    <a:ln w="9525">
                      <a:noFill/>
                      <a:miter lim="800000"/>
                      <a:headEnd/>
                      <a:tailEnd/>
                    </a:ln>
                  </pic:spPr>
                </pic:pic>
              </a:graphicData>
            </a:graphic>
          </wp:inline>
        </w:drawing>
      </w:r>
    </w:p>
    <w:p w14:paraId="2CD0B240" w14:textId="77777777" w:rsidR="00C6364B" w:rsidRDefault="00C6364B" w:rsidP="00D9120E">
      <w:pPr>
        <w:jc w:val="center"/>
        <w:rPr>
          <w:rFonts w:ascii="Garamond" w:hAnsi="Garamond"/>
          <w:b/>
        </w:rPr>
      </w:pPr>
    </w:p>
    <w:p w14:paraId="54635FA5" w14:textId="2E1F842D" w:rsidR="00C6364B" w:rsidRDefault="00C6364B" w:rsidP="008F29BC">
      <w:pPr>
        <w:jc w:val="center"/>
        <w:rPr>
          <w:rFonts w:ascii="Garamond" w:hAnsi="Garamond"/>
          <w:b/>
        </w:rPr>
      </w:pPr>
      <w:r>
        <w:rPr>
          <w:rFonts w:ascii="Garamond" w:hAnsi="Garamond"/>
          <w:b/>
        </w:rPr>
        <w:t xml:space="preserve">Figure </w:t>
      </w:r>
      <w:r w:rsidR="00D27D0A">
        <w:rPr>
          <w:rFonts w:ascii="Garamond" w:hAnsi="Garamond"/>
          <w:b/>
        </w:rPr>
        <w:t>8</w:t>
      </w:r>
      <w:r>
        <w:rPr>
          <w:rFonts w:ascii="Garamond" w:hAnsi="Garamond"/>
          <w:b/>
        </w:rPr>
        <w:t>. Detailed Decomposition of gender differentials- Fer</w:t>
      </w:r>
      <w:r w:rsidR="008F29BC">
        <w:rPr>
          <w:rFonts w:ascii="Garamond" w:hAnsi="Garamond"/>
          <w:b/>
        </w:rPr>
        <w:t>ritin</w:t>
      </w:r>
    </w:p>
    <w:p w14:paraId="035918A8" w14:textId="0D052C13" w:rsidR="00C6364B" w:rsidRPr="00D9120E" w:rsidRDefault="00550796" w:rsidP="00D9120E">
      <w:pPr>
        <w:jc w:val="center"/>
        <w:rPr>
          <w:rFonts w:ascii="Garamond" w:hAnsi="Garamond"/>
          <w:b/>
        </w:rPr>
      </w:pPr>
      <w:r>
        <w:rPr>
          <w:rFonts w:ascii="Garamond" w:hAnsi="Garamond"/>
          <w:b/>
          <w:noProof/>
          <w:lang w:val="en-GB" w:eastAsia="en-GB"/>
        </w:rPr>
        <w:drawing>
          <wp:inline distT="0" distB="0" distL="0" distR="0" wp14:anchorId="475E0AD6" wp14:editId="74ACB785">
            <wp:extent cx="4267200" cy="3118337"/>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8984" cy="3119641"/>
                    </a:xfrm>
                    <a:prstGeom prst="rect">
                      <a:avLst/>
                    </a:prstGeom>
                    <a:noFill/>
                    <a:ln>
                      <a:noFill/>
                    </a:ln>
                  </pic:spPr>
                </pic:pic>
              </a:graphicData>
            </a:graphic>
          </wp:inline>
        </w:drawing>
      </w:r>
      <w:bookmarkStart w:id="0" w:name="_GoBack"/>
      <w:bookmarkEnd w:id="0"/>
    </w:p>
    <w:sectPr w:rsidR="00C6364B" w:rsidRPr="00D9120E" w:rsidSect="001A6FF6">
      <w:footerReference w:type="default" r:id="rId20"/>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2332B" w14:textId="77777777" w:rsidR="007E04FE" w:rsidRDefault="007E04FE" w:rsidP="00080AC1">
      <w:pPr>
        <w:spacing w:after="0" w:line="240" w:lineRule="auto"/>
      </w:pPr>
      <w:r>
        <w:separator/>
      </w:r>
    </w:p>
  </w:endnote>
  <w:endnote w:type="continuationSeparator" w:id="0">
    <w:p w14:paraId="0AC1A771" w14:textId="77777777" w:rsidR="007E04FE" w:rsidRDefault="007E04FE" w:rsidP="0008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P7B6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r12">
    <w:altName w:val="Arial"/>
    <w:panose1 w:val="020B0500000000000000"/>
    <w:charset w:val="00"/>
    <w:family w:val="swiss"/>
    <w:pitch w:val="variable"/>
    <w:sig w:usb0="00000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08594"/>
      <w:docPartObj>
        <w:docPartGallery w:val="Page Numbers (Bottom of Page)"/>
        <w:docPartUnique/>
      </w:docPartObj>
    </w:sdtPr>
    <w:sdtEndPr>
      <w:rPr>
        <w:rFonts w:ascii="Garamond" w:hAnsi="Garamond"/>
        <w:noProof/>
      </w:rPr>
    </w:sdtEndPr>
    <w:sdtContent>
      <w:p w14:paraId="2AFACF8C" w14:textId="77777777" w:rsidR="0008683F" w:rsidRDefault="0008683F">
        <w:pPr>
          <w:pStyle w:val="Footer"/>
          <w:jc w:val="center"/>
        </w:pPr>
        <w:r w:rsidRPr="00A164EC">
          <w:rPr>
            <w:rFonts w:ascii="Garamond" w:hAnsi="Garamond"/>
          </w:rPr>
          <w:fldChar w:fldCharType="begin"/>
        </w:r>
        <w:r w:rsidRPr="00A164EC">
          <w:rPr>
            <w:rFonts w:ascii="Garamond" w:hAnsi="Garamond"/>
          </w:rPr>
          <w:instrText xml:space="preserve"> PAGE   \* MERGEFORMAT </w:instrText>
        </w:r>
        <w:r w:rsidRPr="00A164EC">
          <w:rPr>
            <w:rFonts w:ascii="Garamond" w:hAnsi="Garamond"/>
          </w:rPr>
          <w:fldChar w:fldCharType="separate"/>
        </w:r>
        <w:r w:rsidR="00D85529">
          <w:rPr>
            <w:rFonts w:ascii="Garamond" w:hAnsi="Garamond"/>
            <w:noProof/>
          </w:rPr>
          <w:t>29</w:t>
        </w:r>
        <w:r w:rsidRPr="00A164EC">
          <w:rPr>
            <w:rFonts w:ascii="Garamond" w:hAnsi="Garamond"/>
            <w:noProof/>
          </w:rPr>
          <w:fldChar w:fldCharType="end"/>
        </w:r>
      </w:p>
    </w:sdtContent>
  </w:sdt>
  <w:p w14:paraId="72F8EB99" w14:textId="77777777" w:rsidR="0008683F" w:rsidRDefault="00086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1A747" w14:textId="77777777" w:rsidR="007E04FE" w:rsidRDefault="007E04FE" w:rsidP="00080AC1">
      <w:pPr>
        <w:spacing w:after="0" w:line="240" w:lineRule="auto"/>
      </w:pPr>
      <w:r>
        <w:separator/>
      </w:r>
    </w:p>
  </w:footnote>
  <w:footnote w:type="continuationSeparator" w:id="0">
    <w:p w14:paraId="79382433" w14:textId="77777777" w:rsidR="007E04FE" w:rsidRDefault="007E04FE" w:rsidP="00080AC1">
      <w:pPr>
        <w:spacing w:after="0" w:line="240" w:lineRule="auto"/>
      </w:pPr>
      <w:r>
        <w:continuationSeparator/>
      </w:r>
    </w:p>
  </w:footnote>
  <w:footnote w:id="1">
    <w:p w14:paraId="0AD09DEF" w14:textId="77777777" w:rsidR="0008683F" w:rsidRPr="00737FE6" w:rsidRDefault="0008683F" w:rsidP="000463C0">
      <w:pPr>
        <w:pStyle w:val="FootnoteText"/>
        <w:rPr>
          <w:rFonts w:ascii="Garamond" w:hAnsi="Garamond" w:cs="cmr12"/>
          <w:sz w:val="16"/>
          <w:szCs w:val="16"/>
        </w:rPr>
      </w:pPr>
      <w:r>
        <w:rPr>
          <w:rStyle w:val="FootnoteReference"/>
        </w:rPr>
        <w:footnoteRef/>
      </w:r>
      <w:r w:rsidRPr="00080AC1">
        <w:t xml:space="preserve"> </w:t>
      </w:r>
      <w:r w:rsidRPr="00737FE6">
        <w:rPr>
          <w:rFonts w:ascii="Garamond" w:hAnsi="Garamond" w:cs="cmr12"/>
          <w:sz w:val="16"/>
          <w:szCs w:val="16"/>
        </w:rPr>
        <w:t>This definition is given by</w:t>
      </w:r>
      <w:r>
        <w:rPr>
          <w:rFonts w:ascii="Garamond" w:hAnsi="Garamond" w:cs="cmr12"/>
          <w:sz w:val="16"/>
          <w:szCs w:val="16"/>
        </w:rPr>
        <w:t xml:space="preserve"> the</w:t>
      </w:r>
      <w:r w:rsidRPr="00737FE6">
        <w:rPr>
          <w:rFonts w:ascii="Garamond" w:hAnsi="Garamond" w:cs="cmr12"/>
          <w:sz w:val="16"/>
          <w:szCs w:val="16"/>
        </w:rPr>
        <w:t xml:space="preserve"> National Institute of Health Biomarkers Definitions Working Group</w:t>
      </w:r>
      <w:r>
        <w:rPr>
          <w:rFonts w:ascii="Garamond" w:hAnsi="Garamond" w:cs="cmr12"/>
          <w:sz w:val="16"/>
          <w:szCs w:val="16"/>
        </w:rPr>
        <w:t>, see Atkinson et al.</w:t>
      </w:r>
      <w:r w:rsidRPr="00737FE6">
        <w:rPr>
          <w:rFonts w:ascii="Garamond" w:hAnsi="Garamond" w:cs="cmr12"/>
          <w:sz w:val="16"/>
          <w:szCs w:val="16"/>
        </w:rPr>
        <w:t xml:space="preserve"> (2001)</w:t>
      </w:r>
      <w:r>
        <w:rPr>
          <w:rFonts w:ascii="Garamond" w:hAnsi="Garamond" w:cs="cmr12"/>
          <w:sz w:val="16"/>
          <w:szCs w:val="16"/>
        </w:rPr>
        <w:t>.</w:t>
      </w:r>
    </w:p>
  </w:footnote>
  <w:footnote w:id="2">
    <w:p w14:paraId="00478B5B" w14:textId="6F3E7A31" w:rsidR="0008683F" w:rsidRPr="00DF190A" w:rsidRDefault="0008683F" w:rsidP="009B47F3">
      <w:pPr>
        <w:pStyle w:val="FootnoteText"/>
        <w:spacing w:line="276" w:lineRule="auto"/>
        <w:rPr>
          <w:rFonts w:ascii="Garamond" w:hAnsi="Garamond" w:cs="cmr12"/>
          <w:sz w:val="16"/>
          <w:szCs w:val="16"/>
        </w:rPr>
      </w:pPr>
      <w:r>
        <w:rPr>
          <w:rStyle w:val="FootnoteReference"/>
        </w:rPr>
        <w:footnoteRef/>
      </w:r>
      <w:r w:rsidRPr="00802616">
        <w:t xml:space="preserve"> </w:t>
      </w:r>
      <w:r w:rsidRPr="00F36F25">
        <w:rPr>
          <w:rFonts w:ascii="Garamond" w:hAnsi="Garamond" w:cs="cmr12"/>
          <w:sz w:val="16"/>
          <w:szCs w:val="16"/>
        </w:rPr>
        <w:t>Empirical literature investigating the extent of reporting heterogeneity in health betw</w:t>
      </w:r>
      <w:r>
        <w:rPr>
          <w:rFonts w:ascii="Garamond" w:hAnsi="Garamond" w:cs="cmr12"/>
          <w:sz w:val="16"/>
          <w:szCs w:val="16"/>
        </w:rPr>
        <w:t xml:space="preserve">een socioeconomic groups has found </w:t>
      </w:r>
      <w:r w:rsidRPr="00F36F25">
        <w:rPr>
          <w:rFonts w:ascii="Garamond" w:hAnsi="Garamond" w:cs="cmr12"/>
          <w:sz w:val="16"/>
          <w:szCs w:val="16"/>
        </w:rPr>
        <w:t>contrasting results</w:t>
      </w:r>
      <w:r>
        <w:t xml:space="preserve">. </w:t>
      </w:r>
      <w:r w:rsidRPr="00F36F25">
        <w:rPr>
          <w:rFonts w:ascii="Garamond" w:hAnsi="Garamond" w:cs="cmr12"/>
          <w:sz w:val="16"/>
          <w:szCs w:val="16"/>
        </w:rPr>
        <w:t>Some papers (i</w:t>
      </w:r>
      <w:r>
        <w:rPr>
          <w:rFonts w:ascii="Garamond" w:hAnsi="Garamond" w:cs="cmr12"/>
          <w:sz w:val="16"/>
          <w:szCs w:val="16"/>
        </w:rPr>
        <w:t>.</w:t>
      </w:r>
      <w:r w:rsidRPr="00F36F25">
        <w:rPr>
          <w:rFonts w:ascii="Garamond" w:hAnsi="Garamond" w:cs="cmr12"/>
          <w:sz w:val="16"/>
          <w:szCs w:val="16"/>
        </w:rPr>
        <w:t>e. Sen (2002)</w:t>
      </w:r>
      <w:r>
        <w:rPr>
          <w:rFonts w:ascii="Garamond" w:hAnsi="Garamond" w:cs="cmr12"/>
          <w:sz w:val="16"/>
          <w:szCs w:val="16"/>
        </w:rPr>
        <w:t xml:space="preserve"> for India; Cawley and Choi (2015) for the educational gradient in the United States </w:t>
      </w:r>
      <w:r w:rsidRPr="00F36F25">
        <w:rPr>
          <w:rFonts w:ascii="Garamond" w:hAnsi="Garamond" w:cs="cmr12"/>
          <w:sz w:val="16"/>
          <w:szCs w:val="16"/>
        </w:rPr>
        <w:t xml:space="preserve">) show the existence of a large reporting heterogeneity. </w:t>
      </w:r>
      <w:r>
        <w:rPr>
          <w:rFonts w:ascii="Garamond" w:hAnsi="Garamond" w:cs="cmr12"/>
          <w:sz w:val="16"/>
          <w:szCs w:val="16"/>
        </w:rPr>
        <w:t>Some others</w:t>
      </w:r>
      <w:r w:rsidRPr="00594ABA">
        <w:rPr>
          <w:rFonts w:ascii="Garamond" w:hAnsi="Garamond" w:cs="cmr12"/>
          <w:sz w:val="16"/>
          <w:szCs w:val="16"/>
        </w:rPr>
        <w:t xml:space="preserve">, (i.e. </w:t>
      </w:r>
      <w:r w:rsidRPr="00DF190A">
        <w:rPr>
          <w:rFonts w:ascii="Garamond" w:hAnsi="Garamond" w:cs="cmr12"/>
          <w:sz w:val="16"/>
          <w:szCs w:val="16"/>
        </w:rPr>
        <w:t>Hernández-Quevedo</w:t>
      </w:r>
      <w:r w:rsidRPr="00594ABA">
        <w:rPr>
          <w:rFonts w:ascii="Garamond" w:hAnsi="Garamond" w:cs="cmr12"/>
          <w:sz w:val="16"/>
          <w:szCs w:val="16"/>
        </w:rPr>
        <w:t>, Jones</w:t>
      </w:r>
      <w:r w:rsidRPr="00F36F25">
        <w:rPr>
          <w:rFonts w:ascii="Garamond" w:hAnsi="Garamond" w:cs="cmr12"/>
          <w:sz w:val="16"/>
          <w:szCs w:val="16"/>
        </w:rPr>
        <w:t xml:space="preserve"> and Rice, (2004</w:t>
      </w:r>
      <w:r>
        <w:rPr>
          <w:rFonts w:ascii="Garamond" w:hAnsi="Garamond" w:cs="cmr12"/>
          <w:sz w:val="16"/>
          <w:szCs w:val="16"/>
        </w:rPr>
        <w:t>) for the United Kingdom)</w:t>
      </w:r>
      <w:r w:rsidRPr="00F36F25">
        <w:rPr>
          <w:rFonts w:ascii="Garamond" w:hAnsi="Garamond" w:cs="cmr12"/>
          <w:sz w:val="16"/>
          <w:szCs w:val="16"/>
        </w:rPr>
        <w:t xml:space="preserve"> do not </w:t>
      </w:r>
      <w:r>
        <w:rPr>
          <w:rFonts w:ascii="Garamond" w:hAnsi="Garamond" w:cs="cmr12"/>
          <w:sz w:val="16"/>
          <w:szCs w:val="16"/>
        </w:rPr>
        <w:t xml:space="preserve">find any heterogeneity </w:t>
      </w:r>
      <w:r w:rsidRPr="00F36F25">
        <w:rPr>
          <w:rFonts w:ascii="Garamond" w:hAnsi="Garamond" w:cs="cmr12"/>
          <w:sz w:val="16"/>
          <w:szCs w:val="16"/>
        </w:rPr>
        <w:t xml:space="preserve">while </w:t>
      </w:r>
      <w:r>
        <w:rPr>
          <w:rFonts w:ascii="Garamond" w:hAnsi="Garamond" w:cs="cmr12"/>
          <w:sz w:val="16"/>
          <w:szCs w:val="16"/>
        </w:rPr>
        <w:t xml:space="preserve">some others (i.e </w:t>
      </w:r>
      <w:r w:rsidRPr="00F36F25">
        <w:rPr>
          <w:rFonts w:ascii="Garamond" w:hAnsi="Garamond" w:cs="cmr12"/>
          <w:sz w:val="16"/>
          <w:szCs w:val="16"/>
        </w:rPr>
        <w:t xml:space="preserve">Bago </w:t>
      </w:r>
      <w:r>
        <w:rPr>
          <w:rFonts w:ascii="Garamond" w:hAnsi="Garamond" w:cs="cmr12"/>
          <w:sz w:val="16"/>
          <w:szCs w:val="16"/>
        </w:rPr>
        <w:t>d</w:t>
      </w:r>
      <w:r w:rsidRPr="00F36F25">
        <w:rPr>
          <w:rFonts w:ascii="Garamond" w:hAnsi="Garamond" w:cs="cmr12"/>
          <w:sz w:val="16"/>
          <w:szCs w:val="16"/>
        </w:rPr>
        <w:t>’Uva et al. (2008)</w:t>
      </w:r>
      <w:r>
        <w:rPr>
          <w:rFonts w:ascii="Garamond" w:hAnsi="Garamond" w:cs="cmr12"/>
          <w:sz w:val="16"/>
          <w:szCs w:val="16"/>
        </w:rPr>
        <w:t xml:space="preserve"> for China, Indonesia and India)</w:t>
      </w:r>
      <w:r w:rsidRPr="00F36F25">
        <w:rPr>
          <w:rFonts w:ascii="Garamond" w:hAnsi="Garamond" w:cs="cmr12"/>
          <w:sz w:val="16"/>
          <w:szCs w:val="16"/>
        </w:rPr>
        <w:t xml:space="preserve"> found only a small reporting heterogeneity</w:t>
      </w:r>
      <w:r>
        <w:rPr>
          <w:rFonts w:ascii="Garamond" w:hAnsi="Garamond" w:cs="cmr12"/>
          <w:sz w:val="16"/>
          <w:szCs w:val="16"/>
        </w:rPr>
        <w:t xml:space="preserve"> and not in all countries analysed.</w:t>
      </w:r>
    </w:p>
  </w:footnote>
  <w:footnote w:id="3">
    <w:p w14:paraId="61909F2F" w14:textId="693B2854" w:rsidR="0008683F" w:rsidRDefault="0008683F" w:rsidP="00135369">
      <w:pPr>
        <w:autoSpaceDE w:val="0"/>
        <w:autoSpaceDN w:val="0"/>
        <w:adjustRightInd w:val="0"/>
        <w:spacing w:after="0" w:line="240" w:lineRule="auto"/>
        <w:jc w:val="both"/>
        <w:rPr>
          <w:rFonts w:ascii="BookAntiqua" w:hAnsi="BookAntiqua" w:cs="BookAntiqua"/>
          <w:sz w:val="24"/>
          <w:szCs w:val="24"/>
          <w:lang w:val="en-GB"/>
        </w:rPr>
      </w:pPr>
      <w:r>
        <w:rPr>
          <w:rStyle w:val="FootnoteReference"/>
        </w:rPr>
        <w:footnoteRef/>
      </w:r>
      <w:r>
        <w:t xml:space="preserve"> </w:t>
      </w:r>
      <w:r w:rsidRPr="00135369">
        <w:rPr>
          <w:rFonts w:ascii="Garamond" w:hAnsi="Garamond" w:cs="BookAntiqua"/>
          <w:sz w:val="16"/>
          <w:szCs w:val="16"/>
          <w:lang w:val="en-GB"/>
        </w:rPr>
        <w:t xml:space="preserve">HSE data includes three main datasets (households, individuals, and individuals who give blood) and </w:t>
      </w:r>
      <w:r>
        <w:rPr>
          <w:rFonts w:ascii="Garamond" w:hAnsi="Garamond" w:cs="BookAntiqua"/>
          <w:sz w:val="16"/>
          <w:szCs w:val="16"/>
          <w:lang w:val="en-GB"/>
        </w:rPr>
        <w:t xml:space="preserve">releases three set of weights. </w:t>
      </w:r>
      <w:r w:rsidRPr="00135369">
        <w:rPr>
          <w:rFonts w:ascii="Garamond" w:hAnsi="Garamond" w:cs="BookAntiqua"/>
          <w:sz w:val="16"/>
          <w:szCs w:val="16"/>
          <w:lang w:val="en-GB"/>
        </w:rPr>
        <w:t>The aim of each set of weights is that each of the main datasets can be treated as broadly representative of t</w:t>
      </w:r>
      <w:r>
        <w:rPr>
          <w:rFonts w:ascii="Garamond" w:hAnsi="Garamond" w:cs="BookAntiqua"/>
          <w:sz w:val="16"/>
          <w:szCs w:val="16"/>
          <w:lang w:val="en-GB"/>
        </w:rPr>
        <w:t>he general household population</w:t>
      </w:r>
      <w:r w:rsidRPr="00135369">
        <w:rPr>
          <w:rFonts w:ascii="Garamond" w:hAnsi="Garamond" w:cs="BookAntiqua"/>
          <w:sz w:val="16"/>
          <w:szCs w:val="16"/>
          <w:lang w:val="en-GB"/>
        </w:rPr>
        <w:t xml:space="preserve">. </w:t>
      </w:r>
      <w:r>
        <w:rPr>
          <w:rFonts w:ascii="Garamond" w:hAnsi="Garamond" w:cs="BookAntiqua"/>
          <w:sz w:val="16"/>
          <w:szCs w:val="16"/>
          <w:lang w:val="en-GB"/>
        </w:rPr>
        <w:t>Our paper is based on the blood sample data</w:t>
      </w:r>
      <w:r w:rsidRPr="00135369">
        <w:rPr>
          <w:rFonts w:ascii="Garamond" w:hAnsi="Garamond" w:cs="BookAntiqua"/>
          <w:sz w:val="16"/>
          <w:szCs w:val="16"/>
          <w:lang w:val="en-GB"/>
        </w:rPr>
        <w:t>,</w:t>
      </w:r>
      <w:r>
        <w:rPr>
          <w:rFonts w:ascii="Garamond" w:hAnsi="Garamond" w:cs="BookAntiqua"/>
          <w:sz w:val="16"/>
          <w:szCs w:val="16"/>
          <w:lang w:val="en-GB"/>
        </w:rPr>
        <w:t xml:space="preserve"> thus</w:t>
      </w:r>
      <w:r w:rsidRPr="00135369">
        <w:rPr>
          <w:rFonts w:ascii="Garamond" w:hAnsi="Garamond" w:cs="BookAntiqua"/>
          <w:sz w:val="16"/>
          <w:szCs w:val="16"/>
          <w:lang w:val="en-GB"/>
        </w:rPr>
        <w:t xml:space="preserve"> “blood sample weights” </w:t>
      </w:r>
      <w:r>
        <w:rPr>
          <w:rFonts w:ascii="Garamond" w:hAnsi="Garamond" w:cs="BookAntiqua"/>
          <w:sz w:val="16"/>
          <w:szCs w:val="16"/>
          <w:lang w:val="en-GB"/>
        </w:rPr>
        <w:t xml:space="preserve">are used </w:t>
      </w:r>
      <w:r w:rsidRPr="00135369">
        <w:rPr>
          <w:rFonts w:ascii="Garamond" w:hAnsi="Garamond" w:cs="BookAntiqua"/>
          <w:sz w:val="16"/>
          <w:szCs w:val="16"/>
          <w:lang w:val="en-GB"/>
        </w:rPr>
        <w:t>in all analyses</w:t>
      </w:r>
      <w:r>
        <w:rPr>
          <w:rFonts w:ascii="Garamond" w:hAnsi="Garamond" w:cs="BookAntiqua"/>
          <w:sz w:val="16"/>
          <w:szCs w:val="16"/>
          <w:lang w:val="en-GB"/>
        </w:rPr>
        <w:t>.</w:t>
      </w:r>
      <w:r>
        <w:rPr>
          <w:rFonts w:ascii="BookAntiqua" w:hAnsi="BookAntiqua" w:cs="BookAntiqua"/>
          <w:sz w:val="24"/>
          <w:szCs w:val="24"/>
          <w:lang w:val="en-GB"/>
        </w:rPr>
        <w:t xml:space="preserve"> </w:t>
      </w:r>
    </w:p>
    <w:p w14:paraId="0E9713FB" w14:textId="1DF52B73" w:rsidR="0008683F" w:rsidRPr="00135369" w:rsidRDefault="0008683F">
      <w:pPr>
        <w:pStyle w:val="FootnoteText"/>
        <w:rPr>
          <w:lang w:val="it-IT"/>
        </w:rPr>
      </w:pPr>
    </w:p>
  </w:footnote>
  <w:footnote w:id="4">
    <w:p w14:paraId="6836BE14" w14:textId="1289167B" w:rsidR="0008683F" w:rsidRDefault="0008683F">
      <w:pPr>
        <w:pStyle w:val="FootnoteText"/>
      </w:pPr>
      <w:r>
        <w:rPr>
          <w:rStyle w:val="FootnoteReference"/>
        </w:rPr>
        <w:footnoteRef/>
      </w:r>
      <w:r>
        <w:t xml:space="preserve"> </w:t>
      </w:r>
      <w:r w:rsidRPr="00A879AE">
        <w:rPr>
          <w:rFonts w:ascii="Garamond" w:hAnsi="Garamond"/>
          <w:sz w:val="16"/>
          <w:szCs w:val="16"/>
        </w:rPr>
        <w:t>It is worth</w:t>
      </w:r>
      <w:r>
        <w:rPr>
          <w:rFonts w:ascii="Garamond" w:hAnsi="Garamond"/>
          <w:sz w:val="16"/>
          <w:szCs w:val="16"/>
        </w:rPr>
        <w:t xml:space="preserve"> noting that the RIF approach is not confined to estimating quantile functions. For example, a recent paper by Heckley et al. (2016) derive the RIF for the family of bivariate rank dependent indices of socioeconomic inequality in health, which includes the concentration index and other commonly used indices. Having the RIF allows a linear regression based decomposition of these indices.</w:t>
      </w:r>
    </w:p>
  </w:footnote>
  <w:footnote w:id="5">
    <w:p w14:paraId="6740E790" w14:textId="4854DAD7" w:rsidR="0008683F" w:rsidRPr="001D3092" w:rsidRDefault="0008683F" w:rsidP="001D3092">
      <w:pPr>
        <w:autoSpaceDE w:val="0"/>
        <w:autoSpaceDN w:val="0"/>
        <w:adjustRightInd w:val="0"/>
        <w:jc w:val="both"/>
        <w:rPr>
          <w:rFonts w:ascii="Garamond" w:hAnsi="Garamond" w:cs="NimbusRomNo9L-Regu"/>
          <w:sz w:val="16"/>
          <w:szCs w:val="16"/>
        </w:rPr>
      </w:pPr>
      <w:r>
        <w:rPr>
          <w:rStyle w:val="FootnoteReference"/>
        </w:rPr>
        <w:footnoteRef/>
      </w:r>
      <w:r>
        <w:rPr>
          <w:rFonts w:ascii="Garamond" w:hAnsi="Garamond"/>
          <w:sz w:val="16"/>
          <w:szCs w:val="16"/>
        </w:rPr>
        <w:t xml:space="preserve"> </w:t>
      </w:r>
      <w:r w:rsidRPr="001D3092">
        <w:rPr>
          <w:rFonts w:ascii="Garamond" w:hAnsi="Garamond"/>
          <w:sz w:val="16"/>
          <w:szCs w:val="16"/>
        </w:rPr>
        <w:t>The unexplained part (</w:t>
      </w:r>
      <m:oMath>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hAnsi="Cambria Math"/>
                <w:sz w:val="16"/>
                <w:szCs w:val="16"/>
              </w:rPr>
              <m:t>F</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M</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F</m:t>
                </m:r>
              </m:sub>
            </m:sSub>
          </m:e>
        </m:d>
      </m:oMath>
      <w:r w:rsidRPr="001D3092">
        <w:rPr>
          <w:rFonts w:ascii="Garamond" w:hAnsi="Garamond"/>
          <w:sz w:val="16"/>
          <w:szCs w:val="16"/>
        </w:rPr>
        <w:t>) in equation (3) might be conceived as the treatment effect of gender on health, or, m</w:t>
      </w:r>
      <w:r>
        <w:rPr>
          <w:rFonts w:ascii="Garamond" w:hAnsi="Garamond"/>
          <w:sz w:val="16"/>
          <w:szCs w:val="16"/>
        </w:rPr>
        <w:t>ore precisely, as the p</w:t>
      </w:r>
      <w:r w:rsidRPr="001D3092">
        <w:rPr>
          <w:rFonts w:ascii="Garamond" w:hAnsi="Garamond"/>
          <w:sz w:val="16"/>
          <w:szCs w:val="16"/>
        </w:rPr>
        <w:t xml:space="preserve">opulation </w:t>
      </w:r>
      <w:r>
        <w:rPr>
          <w:rFonts w:ascii="Garamond" w:hAnsi="Garamond"/>
          <w:sz w:val="16"/>
          <w:szCs w:val="16"/>
        </w:rPr>
        <w:t>treatment effect on the treated (Fortin, Firpo and Lemi</w:t>
      </w:r>
      <w:r w:rsidRPr="001D3092">
        <w:rPr>
          <w:rFonts w:ascii="Garamond" w:hAnsi="Garamond"/>
          <w:sz w:val="16"/>
          <w:szCs w:val="16"/>
        </w:rPr>
        <w:t>e</w:t>
      </w:r>
      <w:r>
        <w:rPr>
          <w:rFonts w:ascii="Garamond" w:hAnsi="Garamond"/>
          <w:sz w:val="16"/>
          <w:szCs w:val="16"/>
        </w:rPr>
        <w:t>u</w:t>
      </w:r>
      <w:r w:rsidRPr="001D3092">
        <w:rPr>
          <w:rFonts w:ascii="Garamond" w:hAnsi="Garamond"/>
          <w:sz w:val="16"/>
          <w:szCs w:val="16"/>
        </w:rPr>
        <w:t>x 2011).</w:t>
      </w:r>
      <w:r>
        <w:rPr>
          <w:rFonts w:ascii="Garamond" w:hAnsi="Garamond"/>
          <w:sz w:val="16"/>
          <w:szCs w:val="16"/>
        </w:rPr>
        <w:t xml:space="preserve"> </w:t>
      </w:r>
      <w:r w:rsidRPr="001D3092">
        <w:rPr>
          <w:rFonts w:ascii="Garamond" w:hAnsi="Garamond" w:cs="NimbusRomNo9L-Regu"/>
          <w:sz w:val="16"/>
          <w:szCs w:val="16"/>
        </w:rPr>
        <w:t xml:space="preserve">However, it is important to note that the interpretation of OB decomposition in causal terms is valid under the assumptions of </w:t>
      </w:r>
      <w:r w:rsidRPr="001D3092">
        <w:rPr>
          <w:rFonts w:ascii="Garamond" w:hAnsi="Garamond" w:cs="NimbusRomNo9L-Regu"/>
          <w:i/>
          <w:sz w:val="16"/>
          <w:szCs w:val="16"/>
        </w:rPr>
        <w:t xml:space="preserve">ignorability and common support </w:t>
      </w:r>
      <w:r w:rsidRPr="001D3092">
        <w:rPr>
          <w:rFonts w:ascii="Garamond" w:hAnsi="Garamond" w:cs="NimbusRomNo9L-Regu"/>
          <w:sz w:val="16"/>
          <w:szCs w:val="16"/>
        </w:rPr>
        <w:t xml:space="preserve">These assumptions are also the identifying assumptions of all the estimators mentioned above, belonging to the strand of treatment effect literature which relies on </w:t>
      </w:r>
      <w:r w:rsidRPr="001D3092">
        <w:rPr>
          <w:rFonts w:ascii="Garamond" w:hAnsi="Garamond" w:cs="NimbusRomNo9L-Regu"/>
          <w:i/>
          <w:sz w:val="16"/>
          <w:szCs w:val="16"/>
        </w:rPr>
        <w:t>selection on observables</w:t>
      </w:r>
      <w:r w:rsidRPr="001D3092">
        <w:rPr>
          <w:rFonts w:ascii="Garamond" w:hAnsi="Garamond" w:cs="NimbusRomNo9L-Regu"/>
          <w:sz w:val="16"/>
          <w:szCs w:val="16"/>
        </w:rPr>
        <w:t xml:space="preserve">. When the OB decomposition is performed on the entire outcome distribution, as in our case, these assumptions guarantee the </w:t>
      </w:r>
      <w:r w:rsidRPr="001D3092">
        <w:rPr>
          <w:rFonts w:ascii="Garamond" w:hAnsi="Garamond" w:cs="NimbusRomNo9L-Regu"/>
          <w:i/>
          <w:sz w:val="16"/>
          <w:szCs w:val="16"/>
        </w:rPr>
        <w:t>invariance of conditional</w:t>
      </w:r>
      <w:r w:rsidRPr="00A45E32">
        <w:rPr>
          <w:rFonts w:ascii="Garamond" w:hAnsi="Garamond" w:cs="NimbusRomNo9L-Regu"/>
          <w:i/>
        </w:rPr>
        <w:t xml:space="preserve"> </w:t>
      </w:r>
      <w:r w:rsidRPr="001D3092">
        <w:rPr>
          <w:rFonts w:ascii="Garamond" w:hAnsi="Garamond" w:cs="NimbusRomNo9L-Regu"/>
          <w:i/>
          <w:sz w:val="16"/>
          <w:szCs w:val="16"/>
        </w:rPr>
        <w:t>distribution</w:t>
      </w:r>
      <w:r w:rsidRPr="001D3092">
        <w:rPr>
          <w:rFonts w:ascii="Garamond" w:hAnsi="Garamond" w:cs="NimbusRomNo9L-Regu"/>
          <w:sz w:val="16"/>
          <w:szCs w:val="16"/>
        </w:rPr>
        <w:t>, namely, that</w:t>
      </w:r>
      <w:r w:rsidRPr="00A45E32">
        <w:rPr>
          <w:rFonts w:ascii="Garamond" w:hAnsi="Garamond" w:cs="NimbusRomNo9L-Regu"/>
        </w:rPr>
        <w:t xml:space="preserve"> </w:t>
      </w:r>
      <w:r w:rsidRPr="001D3092">
        <w:rPr>
          <w:rFonts w:ascii="Garamond" w:hAnsi="Garamond" w:cs="NimbusRomNo9L-Regu"/>
          <w:sz w:val="16"/>
          <w:szCs w:val="16"/>
        </w:rPr>
        <w:t xml:space="preserve">the conditional distribution of the biomarker given the control variables X remains invariant under manipulations of the marginal distribution of the X. Despite that, we prefer to not give a causal interpretation of our results essentially because of the nature of our treatment. In general, gender is not a choice or a manipulable action, as we cannot obviously conceive individuals choosing which group to belong to (see for instance the discussion in Fortin, Firpo and Lemieux, 2011 and in Holland, 1986). </w:t>
      </w:r>
    </w:p>
  </w:footnote>
  <w:footnote w:id="6">
    <w:p w14:paraId="0F426EF8" w14:textId="44B3F7C4" w:rsidR="0008683F" w:rsidRPr="007202A9" w:rsidRDefault="0008683F" w:rsidP="007202A9">
      <w:pPr>
        <w:jc w:val="both"/>
        <w:rPr>
          <w:rFonts w:ascii="Garamond" w:hAnsi="Garamond"/>
          <w:sz w:val="16"/>
          <w:szCs w:val="16"/>
        </w:rPr>
      </w:pPr>
      <w:r>
        <w:rPr>
          <w:rStyle w:val="FootnoteReference"/>
        </w:rPr>
        <w:footnoteRef/>
      </w:r>
      <w:r>
        <w:t xml:space="preserve"> </w:t>
      </w:r>
      <w:r w:rsidRPr="007202A9">
        <w:rPr>
          <w:rFonts w:ascii="Garamond" w:hAnsi="Garamond"/>
          <w:sz w:val="16"/>
          <w:szCs w:val="16"/>
        </w:rPr>
        <w:t xml:space="preserve">RIF regression </w:t>
      </w:r>
      <w:r>
        <w:rPr>
          <w:rFonts w:ascii="Garamond" w:hAnsi="Garamond"/>
          <w:sz w:val="16"/>
          <w:szCs w:val="16"/>
        </w:rPr>
        <w:t xml:space="preserve">results </w:t>
      </w:r>
      <w:r w:rsidRPr="007202A9">
        <w:rPr>
          <w:rFonts w:ascii="Garamond" w:hAnsi="Garamond"/>
          <w:sz w:val="16"/>
          <w:szCs w:val="16"/>
        </w:rPr>
        <w:t xml:space="preserve">are based on </w:t>
      </w:r>
      <w:r>
        <w:rPr>
          <w:rFonts w:ascii="Garamond" w:hAnsi="Garamond"/>
          <w:sz w:val="16"/>
          <w:szCs w:val="16"/>
        </w:rPr>
        <w:t>a</w:t>
      </w:r>
      <w:r w:rsidRPr="007202A9">
        <w:rPr>
          <w:rFonts w:ascii="Garamond" w:hAnsi="Garamond"/>
          <w:sz w:val="16"/>
          <w:szCs w:val="16"/>
        </w:rPr>
        <w:t xml:space="preserve"> Gaussian kernel </w:t>
      </w:r>
      <w:r>
        <w:rPr>
          <w:rFonts w:ascii="Garamond" w:hAnsi="Garamond"/>
          <w:sz w:val="16"/>
          <w:szCs w:val="16"/>
        </w:rPr>
        <w:t>function</w:t>
      </w:r>
      <w:r w:rsidRPr="007202A9">
        <w:rPr>
          <w:rFonts w:ascii="Garamond" w:hAnsi="Garamond"/>
          <w:sz w:val="16"/>
          <w:szCs w:val="16"/>
        </w:rPr>
        <w:t xml:space="preserve"> and a bandwidth of 0.06 which is also </w:t>
      </w:r>
      <w:r>
        <w:rPr>
          <w:rFonts w:ascii="Garamond" w:hAnsi="Garamond"/>
          <w:sz w:val="16"/>
          <w:szCs w:val="16"/>
        </w:rPr>
        <w:t>chosen</w:t>
      </w:r>
      <w:r w:rsidRPr="007202A9">
        <w:rPr>
          <w:rFonts w:ascii="Garamond" w:hAnsi="Garamond"/>
          <w:sz w:val="16"/>
          <w:szCs w:val="16"/>
        </w:rPr>
        <w:t xml:space="preserve"> by Firpo, Fortin and Lemieux (2009). In a sensitivity analysis, we also experimented using "optimal" bandwidth which would </w:t>
      </w:r>
      <w:r w:rsidRPr="00B507FD">
        <w:rPr>
          <w:rFonts w:ascii="Garamond" w:hAnsi="Garamond"/>
          <w:sz w:val="16"/>
          <w:szCs w:val="16"/>
          <w:lang w:val="en-GB"/>
        </w:rPr>
        <w:t>minimise</w:t>
      </w:r>
      <w:r w:rsidRPr="007202A9">
        <w:rPr>
          <w:rFonts w:ascii="Garamond" w:hAnsi="Garamond"/>
          <w:sz w:val="16"/>
          <w:szCs w:val="16"/>
        </w:rPr>
        <w:t xml:space="preserve"> </w:t>
      </w:r>
      <w:r>
        <w:rPr>
          <w:rFonts w:ascii="Garamond" w:hAnsi="Garamond"/>
          <w:sz w:val="16"/>
          <w:szCs w:val="16"/>
        </w:rPr>
        <w:t xml:space="preserve">the </w:t>
      </w:r>
      <w:r w:rsidRPr="007202A9">
        <w:rPr>
          <w:rFonts w:ascii="Garamond" w:hAnsi="Garamond"/>
          <w:sz w:val="16"/>
          <w:szCs w:val="16"/>
        </w:rPr>
        <w:t xml:space="preserve">mean integrated squared error if the </w:t>
      </w:r>
      <w:r>
        <w:rPr>
          <w:rFonts w:ascii="Garamond" w:hAnsi="Garamond"/>
          <w:sz w:val="16"/>
          <w:szCs w:val="16"/>
        </w:rPr>
        <w:t xml:space="preserve">true distribution if the </w:t>
      </w:r>
      <w:r w:rsidRPr="007202A9">
        <w:rPr>
          <w:rFonts w:ascii="Garamond" w:hAnsi="Garamond"/>
          <w:sz w:val="16"/>
          <w:szCs w:val="16"/>
        </w:rPr>
        <w:t xml:space="preserve">data </w:t>
      </w:r>
      <w:r>
        <w:rPr>
          <w:rFonts w:ascii="Garamond" w:hAnsi="Garamond"/>
          <w:sz w:val="16"/>
          <w:szCs w:val="16"/>
        </w:rPr>
        <w:t>was</w:t>
      </w:r>
      <w:r w:rsidRPr="007202A9">
        <w:rPr>
          <w:rFonts w:ascii="Garamond" w:hAnsi="Garamond"/>
          <w:sz w:val="16"/>
          <w:szCs w:val="16"/>
        </w:rPr>
        <w:t xml:space="preserve"> Gaussian.  This leads to  bandwidths that are a little larger than 0.06 and, when the data are skewed as they are with our biomarkers, may over-smooth the density. In practice</w:t>
      </w:r>
      <w:r>
        <w:rPr>
          <w:rFonts w:ascii="Garamond" w:hAnsi="Garamond"/>
          <w:sz w:val="16"/>
          <w:szCs w:val="16"/>
        </w:rPr>
        <w:t>,</w:t>
      </w:r>
      <w:r w:rsidRPr="007202A9">
        <w:rPr>
          <w:rFonts w:ascii="Garamond" w:hAnsi="Garamond"/>
          <w:sz w:val="16"/>
          <w:szCs w:val="16"/>
        </w:rPr>
        <w:t xml:space="preserve"> we find that there is very little difference in the RIF regression results  with the alternative bandwidths and all our conclusions are unchanged. Similarly, </w:t>
      </w:r>
      <w:r>
        <w:rPr>
          <w:rFonts w:ascii="Garamond" w:hAnsi="Garamond"/>
          <w:sz w:val="16"/>
          <w:szCs w:val="16"/>
        </w:rPr>
        <w:t xml:space="preserve">we verified that </w:t>
      </w:r>
      <w:r w:rsidRPr="007202A9">
        <w:rPr>
          <w:rFonts w:ascii="Garamond" w:hAnsi="Garamond"/>
          <w:sz w:val="16"/>
          <w:szCs w:val="16"/>
        </w:rPr>
        <w:t xml:space="preserve">all our results </w:t>
      </w:r>
      <w:r>
        <w:rPr>
          <w:rFonts w:ascii="Garamond" w:hAnsi="Garamond"/>
          <w:sz w:val="16"/>
          <w:szCs w:val="16"/>
        </w:rPr>
        <w:t>are unchanged</w:t>
      </w:r>
      <w:r w:rsidRPr="007202A9">
        <w:rPr>
          <w:rFonts w:ascii="Garamond" w:hAnsi="Garamond"/>
          <w:sz w:val="16"/>
          <w:szCs w:val="16"/>
        </w:rPr>
        <w:t xml:space="preserve"> </w:t>
      </w:r>
      <w:r>
        <w:rPr>
          <w:rFonts w:ascii="Garamond" w:hAnsi="Garamond"/>
          <w:sz w:val="16"/>
          <w:szCs w:val="16"/>
        </w:rPr>
        <w:t>using</w:t>
      </w:r>
      <w:r w:rsidRPr="007202A9">
        <w:rPr>
          <w:rFonts w:ascii="Garamond" w:hAnsi="Garamond"/>
          <w:sz w:val="16"/>
          <w:szCs w:val="16"/>
        </w:rPr>
        <w:t xml:space="preserve"> a different kernel function, </w:t>
      </w:r>
      <w:r>
        <w:rPr>
          <w:rFonts w:ascii="Garamond" w:hAnsi="Garamond"/>
          <w:sz w:val="16"/>
          <w:szCs w:val="16"/>
        </w:rPr>
        <w:t>the E</w:t>
      </w:r>
      <w:r w:rsidRPr="007202A9">
        <w:rPr>
          <w:rFonts w:ascii="Garamond" w:hAnsi="Garamond"/>
          <w:sz w:val="16"/>
          <w:szCs w:val="16"/>
        </w:rPr>
        <w:t>panech</w:t>
      </w:r>
      <w:r>
        <w:rPr>
          <w:rFonts w:ascii="Garamond" w:hAnsi="Garamond"/>
          <w:sz w:val="16"/>
          <w:szCs w:val="16"/>
        </w:rPr>
        <w:t>ni</w:t>
      </w:r>
      <w:r w:rsidRPr="007202A9">
        <w:rPr>
          <w:rFonts w:ascii="Garamond" w:hAnsi="Garamond"/>
          <w:sz w:val="16"/>
          <w:szCs w:val="16"/>
        </w:rPr>
        <w:t>kov</w:t>
      </w:r>
      <w:r>
        <w:rPr>
          <w:rFonts w:ascii="Garamond" w:hAnsi="Garamond"/>
          <w:sz w:val="16"/>
          <w:szCs w:val="16"/>
        </w:rPr>
        <w:t xml:space="preserve"> kernel</w:t>
      </w:r>
      <w:r w:rsidRPr="007202A9">
        <w:rPr>
          <w:rFonts w:ascii="Garamond" w:hAnsi="Garamond"/>
          <w:sz w:val="16"/>
          <w:szCs w:val="16"/>
        </w:rPr>
        <w:t xml:space="preserve">  </w:t>
      </w:r>
      <w:r>
        <w:rPr>
          <w:rFonts w:ascii="Garamond" w:hAnsi="Garamond"/>
          <w:sz w:val="16"/>
          <w:szCs w:val="16"/>
        </w:rPr>
        <w:t>(results available upon request)</w:t>
      </w:r>
      <w:r w:rsidRPr="007202A9">
        <w:rPr>
          <w:rFonts w:ascii="Garamond" w:hAnsi="Garamond"/>
          <w:sz w:val="16"/>
          <w:szCs w:val="16"/>
        </w:rPr>
        <w:t>.</w:t>
      </w:r>
    </w:p>
  </w:footnote>
  <w:footnote w:id="7">
    <w:p w14:paraId="028AAD24" w14:textId="3A3346CB" w:rsidR="0008683F" w:rsidRPr="00BE1F3E" w:rsidRDefault="0008683F" w:rsidP="00BE1F3E">
      <w:pPr>
        <w:pStyle w:val="FootnoteText"/>
        <w:jc w:val="both"/>
        <w:rPr>
          <w:rFonts w:ascii="Garamond" w:hAnsi="Garamond"/>
          <w:sz w:val="16"/>
          <w:szCs w:val="16"/>
        </w:rPr>
      </w:pPr>
      <w:r>
        <w:rPr>
          <w:rStyle w:val="FootnoteReference"/>
        </w:rPr>
        <w:footnoteRef/>
      </w:r>
      <w:r>
        <w:rPr>
          <w:rFonts w:ascii="Garamond" w:hAnsi="Garamond"/>
          <w:sz w:val="16"/>
          <w:szCs w:val="16"/>
        </w:rPr>
        <w:t>T</w:t>
      </w:r>
      <w:r w:rsidRPr="00A07915">
        <w:rPr>
          <w:rFonts w:ascii="Garamond" w:hAnsi="Garamond"/>
          <w:sz w:val="16"/>
          <w:szCs w:val="16"/>
        </w:rPr>
        <w:t xml:space="preserve">o </w:t>
      </w:r>
      <w:r>
        <w:rPr>
          <w:rFonts w:ascii="Garamond" w:hAnsi="Garamond"/>
          <w:sz w:val="16"/>
          <w:szCs w:val="16"/>
        </w:rPr>
        <w:t>take into account the differences in the measurement scale of ferritin with respect to other biomarkers (</w:t>
      </w:r>
      <w:r w:rsidRPr="00A07915">
        <w:rPr>
          <w:rFonts w:ascii="Garamond" w:hAnsi="Garamond"/>
          <w:sz w:val="16"/>
          <w:szCs w:val="16"/>
        </w:rPr>
        <w:t xml:space="preserve">see </w:t>
      </w:r>
      <w:r>
        <w:rPr>
          <w:rFonts w:ascii="Garamond" w:hAnsi="Garamond"/>
          <w:sz w:val="16"/>
          <w:szCs w:val="16"/>
        </w:rPr>
        <w:t xml:space="preserve">for instance Table 1), </w:t>
      </w:r>
      <w:r w:rsidRPr="00A07915">
        <w:rPr>
          <w:rFonts w:ascii="Garamond" w:hAnsi="Garamond"/>
          <w:sz w:val="16"/>
          <w:szCs w:val="16"/>
        </w:rPr>
        <w:t xml:space="preserve">we divided ferritin values by 100 in all regressions </w:t>
      </w:r>
      <w:r>
        <w:rPr>
          <w:rFonts w:ascii="Garamond" w:hAnsi="Garamond"/>
          <w:sz w:val="16"/>
          <w:szCs w:val="16"/>
        </w:rPr>
        <w:t xml:space="preserve">shown </w:t>
      </w:r>
      <w:r w:rsidRPr="00A07915">
        <w:rPr>
          <w:rFonts w:ascii="Garamond" w:hAnsi="Garamond"/>
          <w:sz w:val="16"/>
          <w:szCs w:val="16"/>
        </w:rPr>
        <w:t xml:space="preserve">in </w:t>
      </w:r>
      <w:r>
        <w:rPr>
          <w:rFonts w:ascii="Garamond" w:hAnsi="Garamond"/>
          <w:sz w:val="16"/>
          <w:szCs w:val="16"/>
        </w:rPr>
        <w:t>T</w:t>
      </w:r>
      <w:r w:rsidRPr="00A07915">
        <w:rPr>
          <w:rFonts w:ascii="Garamond" w:hAnsi="Garamond"/>
          <w:sz w:val="16"/>
          <w:szCs w:val="16"/>
        </w:rPr>
        <w:t>able 6</w:t>
      </w:r>
      <w:r w:rsidR="00CB2C63">
        <w:rPr>
          <w:rFonts w:ascii="Garamond" w:hAnsi="Garamond"/>
          <w:sz w:val="16"/>
          <w:szCs w:val="16"/>
        </w:rPr>
        <w:t xml:space="preserve"> and figure 4</w:t>
      </w:r>
      <w:r>
        <w:rPr>
          <w:rFonts w:ascii="Garamond" w:hAnsi="Garamond"/>
          <w:sz w:val="16"/>
          <w:szCs w:val="16"/>
        </w:rPr>
        <w:t xml:space="preserve">. This allows us to use the same bandwidth in the kernel density estimator and </w:t>
      </w:r>
      <w:r w:rsidRPr="00A07915">
        <w:rPr>
          <w:rFonts w:ascii="Garamond" w:hAnsi="Garamond"/>
          <w:sz w:val="16"/>
          <w:szCs w:val="16"/>
        </w:rPr>
        <w:t>make</w:t>
      </w:r>
      <w:r>
        <w:rPr>
          <w:rFonts w:ascii="Garamond" w:hAnsi="Garamond"/>
          <w:sz w:val="16"/>
          <w:szCs w:val="16"/>
        </w:rPr>
        <w:t>s</w:t>
      </w:r>
      <w:r w:rsidRPr="00A07915">
        <w:rPr>
          <w:rFonts w:ascii="Garamond" w:hAnsi="Garamond"/>
          <w:sz w:val="16"/>
          <w:szCs w:val="16"/>
        </w:rPr>
        <w:t xml:space="preserve"> </w:t>
      </w:r>
      <w:r>
        <w:rPr>
          <w:rFonts w:ascii="Garamond" w:hAnsi="Garamond"/>
          <w:sz w:val="16"/>
          <w:szCs w:val="16"/>
        </w:rPr>
        <w:t xml:space="preserve">the ferritin </w:t>
      </w:r>
      <w:r w:rsidRPr="00A07915">
        <w:rPr>
          <w:rFonts w:ascii="Garamond" w:hAnsi="Garamond"/>
          <w:sz w:val="16"/>
          <w:szCs w:val="16"/>
        </w:rPr>
        <w:t xml:space="preserve">results more comparable </w:t>
      </w:r>
      <w:r>
        <w:rPr>
          <w:rFonts w:ascii="Garamond" w:hAnsi="Garamond"/>
          <w:sz w:val="16"/>
          <w:szCs w:val="16"/>
        </w:rPr>
        <w:t>with the other</w:t>
      </w:r>
      <w:r w:rsidRPr="00A07915">
        <w:rPr>
          <w:rFonts w:ascii="Garamond" w:hAnsi="Garamond"/>
          <w:sz w:val="16"/>
          <w:szCs w:val="16"/>
        </w:rPr>
        <w:t xml:space="preserve"> biomarkers</w:t>
      </w:r>
      <w:r>
        <w:rPr>
          <w:rFonts w:ascii="Garamond" w:hAnsi="Garamond"/>
          <w:sz w:val="16"/>
          <w:szCs w:val="16"/>
        </w:rPr>
        <w:t>.</w:t>
      </w:r>
      <w:r w:rsidRPr="00BE1F3E" w:rsidDel="0010742D">
        <w:rPr>
          <w:rFonts w:ascii="Garamond" w:hAnsi="Garamond"/>
          <w:sz w:val="16"/>
          <w:szCs w:val="16"/>
        </w:rPr>
        <w:t xml:space="preserve"> </w:t>
      </w:r>
      <w:r w:rsidRPr="00BE1F3E">
        <w:rPr>
          <w:rFonts w:ascii="Garamond" w:hAnsi="Garamond"/>
          <w:sz w:val="16"/>
          <w:szCs w:val="16"/>
        </w:rPr>
        <w:t xml:space="preserve"> </w:t>
      </w:r>
    </w:p>
  </w:footnote>
  <w:footnote w:id="8">
    <w:p w14:paraId="1D20F0CF" w14:textId="77777777" w:rsidR="0008683F" w:rsidRPr="00B36F3E" w:rsidRDefault="0008683F" w:rsidP="00421DDE">
      <w:pPr>
        <w:pStyle w:val="FootnoteText"/>
        <w:rPr>
          <w:rFonts w:ascii="Garamond" w:hAnsi="Garamond"/>
        </w:rPr>
      </w:pPr>
      <w:r>
        <w:rPr>
          <w:rStyle w:val="FootnoteReference"/>
        </w:rPr>
        <w:footnoteRef/>
      </w:r>
      <w:r>
        <w:rPr>
          <w:rFonts w:ascii="Garamond" w:hAnsi="Garamond"/>
        </w:rPr>
        <w:t xml:space="preserve"> </w:t>
      </w:r>
      <w:r w:rsidRPr="002E027D">
        <w:rPr>
          <w:rFonts w:ascii="Garamond" w:hAnsi="Garamond"/>
          <w:sz w:val="16"/>
          <w:szCs w:val="16"/>
        </w:rPr>
        <w:t xml:space="preserve">The elasticity terms in equation (5) is </w:t>
      </w:r>
      <m:oMath>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hAnsi="Cambria Math"/>
                <w:sz w:val="16"/>
                <w:szCs w:val="16"/>
              </w:rPr>
              <m:t>F</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M</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F</m:t>
                </m:r>
              </m:sub>
            </m:sSub>
          </m:e>
        </m:d>
      </m:oMath>
      <w:r w:rsidRPr="002E027D">
        <w:rPr>
          <w:rFonts w:ascii="Garamond" w:hAnsi="Garamond"/>
          <w:sz w:val="16"/>
          <w:szCs w:val="16"/>
        </w:rPr>
        <w:t>. Thus,  with negative (positive) coefficients (</w:t>
      </w:r>
      <m:oMath>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F</m:t>
            </m:r>
          </m:sub>
        </m:sSub>
        <m:r>
          <w:rPr>
            <w:rFonts w:ascii="Cambria Math" w:hAnsi="Cambria Math"/>
            <w:sz w:val="16"/>
            <w:szCs w:val="16"/>
          </w:rPr>
          <m:t xml:space="preserve"> </m:t>
        </m:r>
      </m:oMath>
      <w:r w:rsidRPr="002E027D">
        <w:rPr>
          <w:rFonts w:ascii="Garamond" w:hAnsi="Garamond"/>
          <w:sz w:val="16"/>
          <w:szCs w:val="16"/>
        </w:rPr>
        <w:t xml:space="preserve">and </w:t>
      </w:r>
      <m:oMath>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M</m:t>
            </m:r>
          </m:sub>
        </m:sSub>
        <m:r>
          <w:rPr>
            <w:rFonts w:ascii="Cambria Math" w:hAnsi="Cambria Math"/>
            <w:sz w:val="16"/>
            <w:szCs w:val="16"/>
          </w:rPr>
          <m:t>&lt;0)</m:t>
        </m:r>
      </m:oMath>
      <w:r w:rsidRPr="002E027D">
        <w:rPr>
          <w:rFonts w:ascii="Garamond" w:hAnsi="Garamond"/>
          <w:sz w:val="16"/>
          <w:szCs w:val="16"/>
        </w:rPr>
        <w:t xml:space="preserve">,  a positive elasticity effect arises iff  </w:t>
      </w:r>
      <m:oMath>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F</m:t>
            </m:r>
          </m:sub>
        </m:sSub>
        <m:r>
          <w:rPr>
            <w:rFonts w:ascii="Cambria Math" w:hAnsi="Cambria Math"/>
            <w:sz w:val="16"/>
            <w:szCs w:val="16"/>
          </w:rPr>
          <m:t>&gt;</m:t>
        </m:r>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M</m:t>
            </m:r>
          </m:sub>
        </m:sSub>
      </m:oMath>
      <w:r w:rsidRPr="002E027D">
        <w:rPr>
          <w:rFonts w:ascii="Garamond" w:hAnsi="Garamond"/>
          <w:sz w:val="16"/>
          <w:szCs w:val="16"/>
        </w:rPr>
        <w:t>(</w:t>
      </w:r>
      <m:oMath>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M</m:t>
            </m:r>
          </m:sub>
        </m:sSub>
        <m:r>
          <w:rPr>
            <w:rFonts w:ascii="Cambria Math" w:hAnsi="Cambria Math"/>
            <w:sz w:val="16"/>
            <w:szCs w:val="16"/>
          </w:rPr>
          <m:t>&gt;</m:t>
        </m:r>
        <m:sSub>
          <m:sSubPr>
            <m:ctrlPr>
              <w:rPr>
                <w:rFonts w:ascii="Cambria Math" w:hAnsi="Cambria Math"/>
                <w:i/>
                <w:sz w:val="16"/>
                <w:szCs w:val="16"/>
              </w:rPr>
            </m:ctrlPr>
          </m:sSubPr>
          <m:e>
            <m:r>
              <w:rPr>
                <w:rFonts w:ascii="Cambria Math" w:hAnsi="Cambria Math"/>
                <w:sz w:val="16"/>
                <w:szCs w:val="16"/>
              </w:rPr>
              <m:t>δ</m:t>
            </m:r>
          </m:e>
          <m:sub>
            <m:r>
              <w:rPr>
                <w:rFonts w:ascii="Cambria Math" w:hAnsi="Cambria Math"/>
                <w:sz w:val="16"/>
                <w:szCs w:val="16"/>
              </w:rPr>
              <m:t>F</m:t>
            </m:r>
          </m:sub>
        </m:sSub>
      </m:oMath>
      <w:r w:rsidRPr="002E027D">
        <w:rPr>
          <w:rFonts w:ascii="Garamond" w:hAnsi="Garamond"/>
          <w:sz w:val="16"/>
          <w:szCs w:val="16"/>
        </w:rPr>
        <w:t>) being the sample mean (</w:t>
      </w:r>
      <m:oMath>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hAnsi="Cambria Math"/>
                <w:sz w:val="16"/>
                <w:szCs w:val="16"/>
              </w:rPr>
              <m:t>F</m:t>
            </m:r>
          </m:sub>
        </m:sSub>
      </m:oMath>
      <w:r w:rsidRPr="002E027D">
        <w:rPr>
          <w:rFonts w:ascii="Garamond" w:hAnsi="Garamond"/>
          <w:sz w:val="16"/>
          <w:szCs w:val="16"/>
        </w:rPr>
        <w:t>) always positive in our case.</w:t>
      </w:r>
    </w:p>
  </w:footnote>
  <w:footnote w:id="9">
    <w:p w14:paraId="59F511E8" w14:textId="0A5FB1A7" w:rsidR="00CB2C63" w:rsidRPr="00CB2C63" w:rsidRDefault="00CB2C63">
      <w:pPr>
        <w:pStyle w:val="FootnoteText"/>
        <w:rPr>
          <w:lang w:val="it-IT"/>
        </w:rPr>
      </w:pPr>
      <w:r>
        <w:rPr>
          <w:rStyle w:val="FootnoteReference"/>
        </w:rPr>
        <w:footnoteRef/>
      </w:r>
      <w:r>
        <w:rPr>
          <w:lang w:val="it-IT"/>
        </w:rPr>
        <w:t xml:space="preserve"> </w:t>
      </w:r>
      <w:r>
        <w:rPr>
          <w:rFonts w:ascii="Garamond" w:hAnsi="Garamond"/>
          <w:sz w:val="16"/>
          <w:szCs w:val="16"/>
        </w:rPr>
        <w:t>T</w:t>
      </w:r>
      <w:r w:rsidRPr="00A07915">
        <w:rPr>
          <w:rFonts w:ascii="Garamond" w:hAnsi="Garamond"/>
          <w:sz w:val="16"/>
          <w:szCs w:val="16"/>
        </w:rPr>
        <w:t xml:space="preserve">o </w:t>
      </w:r>
      <w:r>
        <w:rPr>
          <w:rFonts w:ascii="Garamond" w:hAnsi="Garamond"/>
          <w:sz w:val="16"/>
          <w:szCs w:val="16"/>
        </w:rPr>
        <w:t xml:space="preserve">take into account the differences in the measurement scale of ferritin with respect to other </w:t>
      </w:r>
      <w:r w:rsidRPr="00A07915">
        <w:rPr>
          <w:rFonts w:ascii="Garamond" w:hAnsi="Garamond"/>
          <w:sz w:val="16"/>
          <w:szCs w:val="16"/>
        </w:rPr>
        <w:t xml:space="preserve">we divided ferritin values by 100 in </w:t>
      </w:r>
      <w:r>
        <w:rPr>
          <w:rFonts w:ascii="Garamond" w:hAnsi="Garamond"/>
          <w:sz w:val="16"/>
          <w:szCs w:val="16"/>
        </w:rPr>
        <w:t xml:space="preserve">the decomposition </w:t>
      </w:r>
      <w:r w:rsidR="00550796">
        <w:rPr>
          <w:rFonts w:ascii="Garamond" w:hAnsi="Garamond"/>
          <w:sz w:val="16"/>
          <w:szCs w:val="16"/>
        </w:rPr>
        <w:t xml:space="preserve"> analysis </w:t>
      </w:r>
      <w:r w:rsidR="00FD6759">
        <w:rPr>
          <w:rFonts w:ascii="Garamond" w:hAnsi="Garamond"/>
          <w:sz w:val="16"/>
          <w:szCs w:val="16"/>
        </w:rPr>
        <w:t>shown in Table 10 and F</w:t>
      </w:r>
      <w:r>
        <w:rPr>
          <w:rFonts w:ascii="Garamond" w:hAnsi="Garamond"/>
          <w:sz w:val="16"/>
          <w:szCs w:val="16"/>
        </w:rPr>
        <w:t>igure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F6210"/>
    <w:multiLevelType w:val="hybridMultilevel"/>
    <w:tmpl w:val="46245014"/>
    <w:lvl w:ilvl="0" w:tplc="5EBE17D2">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011401B"/>
    <w:multiLevelType w:val="hybridMultilevel"/>
    <w:tmpl w:val="F7960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doNotTrackFormatting/>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15"/>
    <w:rsid w:val="00006F5C"/>
    <w:rsid w:val="000100D1"/>
    <w:rsid w:val="00010AC5"/>
    <w:rsid w:val="000117EA"/>
    <w:rsid w:val="000169C1"/>
    <w:rsid w:val="000204DF"/>
    <w:rsid w:val="0003023F"/>
    <w:rsid w:val="000334F7"/>
    <w:rsid w:val="0003410E"/>
    <w:rsid w:val="00042467"/>
    <w:rsid w:val="000463C0"/>
    <w:rsid w:val="000514AA"/>
    <w:rsid w:val="00052048"/>
    <w:rsid w:val="00053348"/>
    <w:rsid w:val="00054623"/>
    <w:rsid w:val="00064754"/>
    <w:rsid w:val="00065660"/>
    <w:rsid w:val="00067B89"/>
    <w:rsid w:val="000735E3"/>
    <w:rsid w:val="00073E55"/>
    <w:rsid w:val="00074145"/>
    <w:rsid w:val="000759D9"/>
    <w:rsid w:val="00080AC1"/>
    <w:rsid w:val="00084C6D"/>
    <w:rsid w:val="000859CA"/>
    <w:rsid w:val="0008683F"/>
    <w:rsid w:val="00087E95"/>
    <w:rsid w:val="0009720A"/>
    <w:rsid w:val="000A3247"/>
    <w:rsid w:val="000A64BD"/>
    <w:rsid w:val="000B111B"/>
    <w:rsid w:val="000C04A0"/>
    <w:rsid w:val="000C3A77"/>
    <w:rsid w:val="000C6DF4"/>
    <w:rsid w:val="000D329C"/>
    <w:rsid w:val="000D3372"/>
    <w:rsid w:val="000D68B8"/>
    <w:rsid w:val="000E2BA3"/>
    <w:rsid w:val="000E5DD0"/>
    <w:rsid w:val="000F0D18"/>
    <w:rsid w:val="000F3D4B"/>
    <w:rsid w:val="000F66AF"/>
    <w:rsid w:val="001006E3"/>
    <w:rsid w:val="001014C7"/>
    <w:rsid w:val="00105002"/>
    <w:rsid w:val="00105C3B"/>
    <w:rsid w:val="00106C84"/>
    <w:rsid w:val="0010742D"/>
    <w:rsid w:val="00112FB5"/>
    <w:rsid w:val="00113FE3"/>
    <w:rsid w:val="0011540C"/>
    <w:rsid w:val="001175D3"/>
    <w:rsid w:val="001176E5"/>
    <w:rsid w:val="00123B7A"/>
    <w:rsid w:val="00125A1C"/>
    <w:rsid w:val="001264A8"/>
    <w:rsid w:val="00135369"/>
    <w:rsid w:val="00136CD6"/>
    <w:rsid w:val="001420A3"/>
    <w:rsid w:val="0014441C"/>
    <w:rsid w:val="00147D9A"/>
    <w:rsid w:val="00151CB8"/>
    <w:rsid w:val="00160FDA"/>
    <w:rsid w:val="00162794"/>
    <w:rsid w:val="0016459E"/>
    <w:rsid w:val="0017072F"/>
    <w:rsid w:val="001728FA"/>
    <w:rsid w:val="001734AD"/>
    <w:rsid w:val="00176ABB"/>
    <w:rsid w:val="0018711D"/>
    <w:rsid w:val="0019160A"/>
    <w:rsid w:val="00192A2C"/>
    <w:rsid w:val="0019466E"/>
    <w:rsid w:val="001A1B2F"/>
    <w:rsid w:val="001A1EDF"/>
    <w:rsid w:val="001A316F"/>
    <w:rsid w:val="001A4FD6"/>
    <w:rsid w:val="001A6FF6"/>
    <w:rsid w:val="001B5D4F"/>
    <w:rsid w:val="001B7495"/>
    <w:rsid w:val="001B7B6C"/>
    <w:rsid w:val="001C1001"/>
    <w:rsid w:val="001C5A23"/>
    <w:rsid w:val="001D3092"/>
    <w:rsid w:val="001D43D1"/>
    <w:rsid w:val="001D5205"/>
    <w:rsid w:val="001D65F5"/>
    <w:rsid w:val="001E34FC"/>
    <w:rsid w:val="001E70E2"/>
    <w:rsid w:val="001E7FAD"/>
    <w:rsid w:val="001F7E74"/>
    <w:rsid w:val="001F7F3F"/>
    <w:rsid w:val="0020119C"/>
    <w:rsid w:val="00206127"/>
    <w:rsid w:val="00207870"/>
    <w:rsid w:val="00217C83"/>
    <w:rsid w:val="0022100A"/>
    <w:rsid w:val="00222603"/>
    <w:rsid w:val="002258F5"/>
    <w:rsid w:val="00230FA7"/>
    <w:rsid w:val="002344C5"/>
    <w:rsid w:val="00234D79"/>
    <w:rsid w:val="00235430"/>
    <w:rsid w:val="00237ED3"/>
    <w:rsid w:val="00242462"/>
    <w:rsid w:val="002451D8"/>
    <w:rsid w:val="00247A03"/>
    <w:rsid w:val="002507CC"/>
    <w:rsid w:val="002648D5"/>
    <w:rsid w:val="00264DBD"/>
    <w:rsid w:val="00265136"/>
    <w:rsid w:val="00267454"/>
    <w:rsid w:val="00267BC6"/>
    <w:rsid w:val="00267FEA"/>
    <w:rsid w:val="00270836"/>
    <w:rsid w:val="002778E5"/>
    <w:rsid w:val="002815B4"/>
    <w:rsid w:val="00282C15"/>
    <w:rsid w:val="002840FC"/>
    <w:rsid w:val="00286B78"/>
    <w:rsid w:val="002904E2"/>
    <w:rsid w:val="00292857"/>
    <w:rsid w:val="0029679C"/>
    <w:rsid w:val="002977EC"/>
    <w:rsid w:val="002A3E5C"/>
    <w:rsid w:val="002A45A7"/>
    <w:rsid w:val="002A5644"/>
    <w:rsid w:val="002B001E"/>
    <w:rsid w:val="002B12F2"/>
    <w:rsid w:val="002B22AE"/>
    <w:rsid w:val="002B35A0"/>
    <w:rsid w:val="002B380B"/>
    <w:rsid w:val="002B71F2"/>
    <w:rsid w:val="002C425D"/>
    <w:rsid w:val="002C6C68"/>
    <w:rsid w:val="002C7DA5"/>
    <w:rsid w:val="002C7FEE"/>
    <w:rsid w:val="002D00AC"/>
    <w:rsid w:val="002D0F1B"/>
    <w:rsid w:val="002D1571"/>
    <w:rsid w:val="002D191E"/>
    <w:rsid w:val="002D1E85"/>
    <w:rsid w:val="002D244F"/>
    <w:rsid w:val="002D4ED9"/>
    <w:rsid w:val="002E027D"/>
    <w:rsid w:val="002E23BC"/>
    <w:rsid w:val="002E4351"/>
    <w:rsid w:val="002E7237"/>
    <w:rsid w:val="002E7459"/>
    <w:rsid w:val="002E7FFE"/>
    <w:rsid w:val="002F54D1"/>
    <w:rsid w:val="00300241"/>
    <w:rsid w:val="00301758"/>
    <w:rsid w:val="00313D52"/>
    <w:rsid w:val="003154BB"/>
    <w:rsid w:val="0031599D"/>
    <w:rsid w:val="0031764D"/>
    <w:rsid w:val="003176CA"/>
    <w:rsid w:val="00321ED4"/>
    <w:rsid w:val="0032228C"/>
    <w:rsid w:val="00323126"/>
    <w:rsid w:val="00323EBD"/>
    <w:rsid w:val="00326EB7"/>
    <w:rsid w:val="003355A8"/>
    <w:rsid w:val="00336276"/>
    <w:rsid w:val="003366A8"/>
    <w:rsid w:val="003407E0"/>
    <w:rsid w:val="00341BE3"/>
    <w:rsid w:val="00344C71"/>
    <w:rsid w:val="00346C5A"/>
    <w:rsid w:val="00352E4F"/>
    <w:rsid w:val="003534B7"/>
    <w:rsid w:val="00354AF3"/>
    <w:rsid w:val="00354BCD"/>
    <w:rsid w:val="0035788F"/>
    <w:rsid w:val="00361598"/>
    <w:rsid w:val="0036447D"/>
    <w:rsid w:val="00364EC2"/>
    <w:rsid w:val="00365F95"/>
    <w:rsid w:val="0036634E"/>
    <w:rsid w:val="00366CC3"/>
    <w:rsid w:val="003678E9"/>
    <w:rsid w:val="003713DB"/>
    <w:rsid w:val="00372392"/>
    <w:rsid w:val="00377D62"/>
    <w:rsid w:val="00387A1A"/>
    <w:rsid w:val="0039035B"/>
    <w:rsid w:val="00390813"/>
    <w:rsid w:val="00391C51"/>
    <w:rsid w:val="00391EDE"/>
    <w:rsid w:val="003954DB"/>
    <w:rsid w:val="003976F5"/>
    <w:rsid w:val="003A050E"/>
    <w:rsid w:val="003A12B0"/>
    <w:rsid w:val="003A576B"/>
    <w:rsid w:val="003A61BF"/>
    <w:rsid w:val="003B12AB"/>
    <w:rsid w:val="003B15DA"/>
    <w:rsid w:val="003B33DB"/>
    <w:rsid w:val="003B413D"/>
    <w:rsid w:val="003B4DA7"/>
    <w:rsid w:val="003B6C28"/>
    <w:rsid w:val="003C00F0"/>
    <w:rsid w:val="003C5A1A"/>
    <w:rsid w:val="003C5BFA"/>
    <w:rsid w:val="003C680C"/>
    <w:rsid w:val="003C7062"/>
    <w:rsid w:val="003C78EE"/>
    <w:rsid w:val="003D460B"/>
    <w:rsid w:val="003D4A8F"/>
    <w:rsid w:val="003D5924"/>
    <w:rsid w:val="003E0F9B"/>
    <w:rsid w:val="003E2641"/>
    <w:rsid w:val="003E4386"/>
    <w:rsid w:val="003E6EBA"/>
    <w:rsid w:val="003F0ACE"/>
    <w:rsid w:val="00400575"/>
    <w:rsid w:val="004033FE"/>
    <w:rsid w:val="00405814"/>
    <w:rsid w:val="00405CA9"/>
    <w:rsid w:val="00407365"/>
    <w:rsid w:val="00407515"/>
    <w:rsid w:val="00407E15"/>
    <w:rsid w:val="00411623"/>
    <w:rsid w:val="00413A3D"/>
    <w:rsid w:val="00413D1B"/>
    <w:rsid w:val="00415BCE"/>
    <w:rsid w:val="00416A5D"/>
    <w:rsid w:val="00417640"/>
    <w:rsid w:val="00420E6A"/>
    <w:rsid w:val="00421DDE"/>
    <w:rsid w:val="00423870"/>
    <w:rsid w:val="00424D7D"/>
    <w:rsid w:val="00426CE0"/>
    <w:rsid w:val="00427B9C"/>
    <w:rsid w:val="00427CFE"/>
    <w:rsid w:val="00430AB4"/>
    <w:rsid w:val="004322E2"/>
    <w:rsid w:val="00432FBF"/>
    <w:rsid w:val="00435944"/>
    <w:rsid w:val="00436969"/>
    <w:rsid w:val="00440D84"/>
    <w:rsid w:val="004460A3"/>
    <w:rsid w:val="00446DBB"/>
    <w:rsid w:val="00456287"/>
    <w:rsid w:val="004600EB"/>
    <w:rsid w:val="00461D12"/>
    <w:rsid w:val="004631AE"/>
    <w:rsid w:val="004631EC"/>
    <w:rsid w:val="00463618"/>
    <w:rsid w:val="00467E3A"/>
    <w:rsid w:val="00471B83"/>
    <w:rsid w:val="00472D07"/>
    <w:rsid w:val="004740C5"/>
    <w:rsid w:val="00474222"/>
    <w:rsid w:val="004751FE"/>
    <w:rsid w:val="00477033"/>
    <w:rsid w:val="00483C0F"/>
    <w:rsid w:val="00483FA5"/>
    <w:rsid w:val="0048563C"/>
    <w:rsid w:val="00485996"/>
    <w:rsid w:val="00485B50"/>
    <w:rsid w:val="00487038"/>
    <w:rsid w:val="00493505"/>
    <w:rsid w:val="004A4E41"/>
    <w:rsid w:val="004C0D09"/>
    <w:rsid w:val="004C69FD"/>
    <w:rsid w:val="004D1284"/>
    <w:rsid w:val="004D196E"/>
    <w:rsid w:val="004D5BE7"/>
    <w:rsid w:val="004E64B5"/>
    <w:rsid w:val="004E7A87"/>
    <w:rsid w:val="004F0BA0"/>
    <w:rsid w:val="004F2805"/>
    <w:rsid w:val="004F77EC"/>
    <w:rsid w:val="0050190D"/>
    <w:rsid w:val="00505782"/>
    <w:rsid w:val="00505BAB"/>
    <w:rsid w:val="00510ABF"/>
    <w:rsid w:val="0051424C"/>
    <w:rsid w:val="005162C4"/>
    <w:rsid w:val="00516DD0"/>
    <w:rsid w:val="00520EB2"/>
    <w:rsid w:val="005230A1"/>
    <w:rsid w:val="00523650"/>
    <w:rsid w:val="00523776"/>
    <w:rsid w:val="00525251"/>
    <w:rsid w:val="00536515"/>
    <w:rsid w:val="00537832"/>
    <w:rsid w:val="005378EF"/>
    <w:rsid w:val="005404D7"/>
    <w:rsid w:val="00540DAF"/>
    <w:rsid w:val="00542D24"/>
    <w:rsid w:val="00544EA4"/>
    <w:rsid w:val="00544EFC"/>
    <w:rsid w:val="005451D3"/>
    <w:rsid w:val="005455FD"/>
    <w:rsid w:val="005465BC"/>
    <w:rsid w:val="005472F1"/>
    <w:rsid w:val="00550796"/>
    <w:rsid w:val="00550B70"/>
    <w:rsid w:val="00550D2A"/>
    <w:rsid w:val="00550DDA"/>
    <w:rsid w:val="00551A67"/>
    <w:rsid w:val="00556073"/>
    <w:rsid w:val="005568B0"/>
    <w:rsid w:val="00560417"/>
    <w:rsid w:val="00561701"/>
    <w:rsid w:val="00563EB6"/>
    <w:rsid w:val="00564421"/>
    <w:rsid w:val="00565162"/>
    <w:rsid w:val="005656F4"/>
    <w:rsid w:val="0056702D"/>
    <w:rsid w:val="00570A20"/>
    <w:rsid w:val="00573537"/>
    <w:rsid w:val="0057440F"/>
    <w:rsid w:val="00576478"/>
    <w:rsid w:val="00577E52"/>
    <w:rsid w:val="005848AE"/>
    <w:rsid w:val="0059039D"/>
    <w:rsid w:val="005916D9"/>
    <w:rsid w:val="00592ED1"/>
    <w:rsid w:val="00594ABA"/>
    <w:rsid w:val="00594B5D"/>
    <w:rsid w:val="00596297"/>
    <w:rsid w:val="005A01CC"/>
    <w:rsid w:val="005A06E2"/>
    <w:rsid w:val="005A16C4"/>
    <w:rsid w:val="005B09FD"/>
    <w:rsid w:val="005B4A8A"/>
    <w:rsid w:val="005B771A"/>
    <w:rsid w:val="005C4CFF"/>
    <w:rsid w:val="005C6112"/>
    <w:rsid w:val="005C6EB8"/>
    <w:rsid w:val="005C77CD"/>
    <w:rsid w:val="005C7BBE"/>
    <w:rsid w:val="005D0883"/>
    <w:rsid w:val="005D0E1A"/>
    <w:rsid w:val="005D136E"/>
    <w:rsid w:val="005D2B95"/>
    <w:rsid w:val="005D41BB"/>
    <w:rsid w:val="005D59ED"/>
    <w:rsid w:val="005D668E"/>
    <w:rsid w:val="005D7330"/>
    <w:rsid w:val="005E0252"/>
    <w:rsid w:val="005E6895"/>
    <w:rsid w:val="005E73A3"/>
    <w:rsid w:val="005F1385"/>
    <w:rsid w:val="005F5A97"/>
    <w:rsid w:val="005F5C4D"/>
    <w:rsid w:val="005F5D81"/>
    <w:rsid w:val="005F6273"/>
    <w:rsid w:val="005F761C"/>
    <w:rsid w:val="00601BE5"/>
    <w:rsid w:val="00603654"/>
    <w:rsid w:val="00607DFB"/>
    <w:rsid w:val="006112F0"/>
    <w:rsid w:val="006137BC"/>
    <w:rsid w:val="00615ED9"/>
    <w:rsid w:val="006229CB"/>
    <w:rsid w:val="00625BE6"/>
    <w:rsid w:val="006306B0"/>
    <w:rsid w:val="00631E25"/>
    <w:rsid w:val="00634DBB"/>
    <w:rsid w:val="00640903"/>
    <w:rsid w:val="00640EE9"/>
    <w:rsid w:val="00642D93"/>
    <w:rsid w:val="00646F36"/>
    <w:rsid w:val="006523E6"/>
    <w:rsid w:val="0065287C"/>
    <w:rsid w:val="006536D3"/>
    <w:rsid w:val="00657158"/>
    <w:rsid w:val="006615FE"/>
    <w:rsid w:val="00661BBB"/>
    <w:rsid w:val="00663250"/>
    <w:rsid w:val="00663BAA"/>
    <w:rsid w:val="0066652D"/>
    <w:rsid w:val="0066788B"/>
    <w:rsid w:val="00667C7F"/>
    <w:rsid w:val="00670AE9"/>
    <w:rsid w:val="006721FF"/>
    <w:rsid w:val="00676D94"/>
    <w:rsid w:val="006801F5"/>
    <w:rsid w:val="00681769"/>
    <w:rsid w:val="006924F5"/>
    <w:rsid w:val="0069666A"/>
    <w:rsid w:val="006A1ACB"/>
    <w:rsid w:val="006A1DF6"/>
    <w:rsid w:val="006A7C9B"/>
    <w:rsid w:val="006C27AA"/>
    <w:rsid w:val="006C2C58"/>
    <w:rsid w:val="006C4062"/>
    <w:rsid w:val="006C60F1"/>
    <w:rsid w:val="006D2339"/>
    <w:rsid w:val="006D32D9"/>
    <w:rsid w:val="006D3C74"/>
    <w:rsid w:val="006D5C84"/>
    <w:rsid w:val="006E00DE"/>
    <w:rsid w:val="006E0C25"/>
    <w:rsid w:val="006E2871"/>
    <w:rsid w:val="006E452C"/>
    <w:rsid w:val="006E7118"/>
    <w:rsid w:val="006F0861"/>
    <w:rsid w:val="007005D7"/>
    <w:rsid w:val="00700E89"/>
    <w:rsid w:val="00701641"/>
    <w:rsid w:val="00713D20"/>
    <w:rsid w:val="00717E2E"/>
    <w:rsid w:val="007202A9"/>
    <w:rsid w:val="00721E84"/>
    <w:rsid w:val="00730756"/>
    <w:rsid w:val="00733C3F"/>
    <w:rsid w:val="00737156"/>
    <w:rsid w:val="00737FE6"/>
    <w:rsid w:val="00743D6C"/>
    <w:rsid w:val="00745F89"/>
    <w:rsid w:val="00746423"/>
    <w:rsid w:val="00746CFE"/>
    <w:rsid w:val="0075362C"/>
    <w:rsid w:val="00757AB7"/>
    <w:rsid w:val="00761CFE"/>
    <w:rsid w:val="00770EA9"/>
    <w:rsid w:val="00771684"/>
    <w:rsid w:val="00772B46"/>
    <w:rsid w:val="007742D6"/>
    <w:rsid w:val="00776048"/>
    <w:rsid w:val="00781366"/>
    <w:rsid w:val="00790C5C"/>
    <w:rsid w:val="0079435A"/>
    <w:rsid w:val="00796621"/>
    <w:rsid w:val="007976A1"/>
    <w:rsid w:val="007A108E"/>
    <w:rsid w:val="007A3EA8"/>
    <w:rsid w:val="007A63DC"/>
    <w:rsid w:val="007B08AA"/>
    <w:rsid w:val="007B11FC"/>
    <w:rsid w:val="007B5586"/>
    <w:rsid w:val="007C48DA"/>
    <w:rsid w:val="007C6FFC"/>
    <w:rsid w:val="007D143F"/>
    <w:rsid w:val="007D34F9"/>
    <w:rsid w:val="007D3522"/>
    <w:rsid w:val="007D3FCF"/>
    <w:rsid w:val="007D52E1"/>
    <w:rsid w:val="007D6C83"/>
    <w:rsid w:val="007E04FE"/>
    <w:rsid w:val="007E11FE"/>
    <w:rsid w:val="007E373B"/>
    <w:rsid w:val="007E3BDE"/>
    <w:rsid w:val="007E72BC"/>
    <w:rsid w:val="007F5F25"/>
    <w:rsid w:val="00802616"/>
    <w:rsid w:val="0080366D"/>
    <w:rsid w:val="00811F94"/>
    <w:rsid w:val="00813BAB"/>
    <w:rsid w:val="00814DB7"/>
    <w:rsid w:val="00816D97"/>
    <w:rsid w:val="00817D81"/>
    <w:rsid w:val="00821892"/>
    <w:rsid w:val="00822690"/>
    <w:rsid w:val="00822B16"/>
    <w:rsid w:val="00822E7D"/>
    <w:rsid w:val="00826413"/>
    <w:rsid w:val="00827602"/>
    <w:rsid w:val="008313AE"/>
    <w:rsid w:val="008328AB"/>
    <w:rsid w:val="00832EC5"/>
    <w:rsid w:val="00833282"/>
    <w:rsid w:val="00835A02"/>
    <w:rsid w:val="0083624D"/>
    <w:rsid w:val="00842A89"/>
    <w:rsid w:val="008453BD"/>
    <w:rsid w:val="00846598"/>
    <w:rsid w:val="00847ED6"/>
    <w:rsid w:val="00850C6E"/>
    <w:rsid w:val="00851C53"/>
    <w:rsid w:val="0085514D"/>
    <w:rsid w:val="0085646F"/>
    <w:rsid w:val="008570A8"/>
    <w:rsid w:val="00857A82"/>
    <w:rsid w:val="008627B2"/>
    <w:rsid w:val="00863316"/>
    <w:rsid w:val="008635DA"/>
    <w:rsid w:val="0087075E"/>
    <w:rsid w:val="008708C4"/>
    <w:rsid w:val="0087530A"/>
    <w:rsid w:val="00883ED2"/>
    <w:rsid w:val="00887B73"/>
    <w:rsid w:val="00890088"/>
    <w:rsid w:val="0089196A"/>
    <w:rsid w:val="00894D03"/>
    <w:rsid w:val="008A0A45"/>
    <w:rsid w:val="008A2083"/>
    <w:rsid w:val="008A71FD"/>
    <w:rsid w:val="008A7DF2"/>
    <w:rsid w:val="008B1BAD"/>
    <w:rsid w:val="008B553B"/>
    <w:rsid w:val="008B759C"/>
    <w:rsid w:val="008C0BDF"/>
    <w:rsid w:val="008C47A8"/>
    <w:rsid w:val="008D0C3B"/>
    <w:rsid w:val="008E0F30"/>
    <w:rsid w:val="008E14BB"/>
    <w:rsid w:val="008E4163"/>
    <w:rsid w:val="008E64EC"/>
    <w:rsid w:val="008E7FAF"/>
    <w:rsid w:val="008F094F"/>
    <w:rsid w:val="008F29BC"/>
    <w:rsid w:val="008F3A1F"/>
    <w:rsid w:val="008F3CA4"/>
    <w:rsid w:val="008F4201"/>
    <w:rsid w:val="008F670B"/>
    <w:rsid w:val="008F6FF0"/>
    <w:rsid w:val="009004E3"/>
    <w:rsid w:val="00903BE0"/>
    <w:rsid w:val="009051F1"/>
    <w:rsid w:val="0090604A"/>
    <w:rsid w:val="0090704C"/>
    <w:rsid w:val="00910FF9"/>
    <w:rsid w:val="009144E0"/>
    <w:rsid w:val="00914538"/>
    <w:rsid w:val="00916F2D"/>
    <w:rsid w:val="009202DA"/>
    <w:rsid w:val="00922AC6"/>
    <w:rsid w:val="00933402"/>
    <w:rsid w:val="00933583"/>
    <w:rsid w:val="0093534E"/>
    <w:rsid w:val="009355F6"/>
    <w:rsid w:val="00936539"/>
    <w:rsid w:val="00937B10"/>
    <w:rsid w:val="0095284B"/>
    <w:rsid w:val="00957F00"/>
    <w:rsid w:val="00963F2E"/>
    <w:rsid w:val="00964E6B"/>
    <w:rsid w:val="00977B54"/>
    <w:rsid w:val="0098092D"/>
    <w:rsid w:val="00983B7B"/>
    <w:rsid w:val="0099024E"/>
    <w:rsid w:val="00991A3E"/>
    <w:rsid w:val="0099362C"/>
    <w:rsid w:val="00993B35"/>
    <w:rsid w:val="009964C7"/>
    <w:rsid w:val="0099669F"/>
    <w:rsid w:val="00996A54"/>
    <w:rsid w:val="009A08D8"/>
    <w:rsid w:val="009A0B70"/>
    <w:rsid w:val="009A19A3"/>
    <w:rsid w:val="009A732F"/>
    <w:rsid w:val="009B10A8"/>
    <w:rsid w:val="009B23DA"/>
    <w:rsid w:val="009B47F3"/>
    <w:rsid w:val="009C2F79"/>
    <w:rsid w:val="009C30C3"/>
    <w:rsid w:val="009C3DE1"/>
    <w:rsid w:val="009C4A7A"/>
    <w:rsid w:val="009C557D"/>
    <w:rsid w:val="009C682D"/>
    <w:rsid w:val="009C79C3"/>
    <w:rsid w:val="009C7D9C"/>
    <w:rsid w:val="009D09D2"/>
    <w:rsid w:val="009D503F"/>
    <w:rsid w:val="009E15EF"/>
    <w:rsid w:val="009E37B3"/>
    <w:rsid w:val="009E3813"/>
    <w:rsid w:val="009E76ED"/>
    <w:rsid w:val="009F64D8"/>
    <w:rsid w:val="009F693B"/>
    <w:rsid w:val="009F78AE"/>
    <w:rsid w:val="00A00E08"/>
    <w:rsid w:val="00A02025"/>
    <w:rsid w:val="00A02D82"/>
    <w:rsid w:val="00A06FE0"/>
    <w:rsid w:val="00A07852"/>
    <w:rsid w:val="00A07915"/>
    <w:rsid w:val="00A10C82"/>
    <w:rsid w:val="00A13DC4"/>
    <w:rsid w:val="00A13F6C"/>
    <w:rsid w:val="00A143BB"/>
    <w:rsid w:val="00A164EC"/>
    <w:rsid w:val="00A218C6"/>
    <w:rsid w:val="00A23347"/>
    <w:rsid w:val="00A33DC3"/>
    <w:rsid w:val="00A411FD"/>
    <w:rsid w:val="00A4305A"/>
    <w:rsid w:val="00A444A3"/>
    <w:rsid w:val="00A45E32"/>
    <w:rsid w:val="00A470B3"/>
    <w:rsid w:val="00A51BEE"/>
    <w:rsid w:val="00A53E9A"/>
    <w:rsid w:val="00A62060"/>
    <w:rsid w:val="00A620C8"/>
    <w:rsid w:val="00A6558C"/>
    <w:rsid w:val="00A65B81"/>
    <w:rsid w:val="00A6746D"/>
    <w:rsid w:val="00A70C25"/>
    <w:rsid w:val="00A71D4A"/>
    <w:rsid w:val="00A75027"/>
    <w:rsid w:val="00A75783"/>
    <w:rsid w:val="00A82F30"/>
    <w:rsid w:val="00A879AE"/>
    <w:rsid w:val="00A920D3"/>
    <w:rsid w:val="00AA2C4C"/>
    <w:rsid w:val="00AB06DC"/>
    <w:rsid w:val="00AB1D5A"/>
    <w:rsid w:val="00AB3EF9"/>
    <w:rsid w:val="00AC01B1"/>
    <w:rsid w:val="00AC3BAE"/>
    <w:rsid w:val="00AD0043"/>
    <w:rsid w:val="00AE226A"/>
    <w:rsid w:val="00AE30B4"/>
    <w:rsid w:val="00AE5F19"/>
    <w:rsid w:val="00AF2B27"/>
    <w:rsid w:val="00B0229B"/>
    <w:rsid w:val="00B03050"/>
    <w:rsid w:val="00B03575"/>
    <w:rsid w:val="00B057DA"/>
    <w:rsid w:val="00B1015D"/>
    <w:rsid w:val="00B17F75"/>
    <w:rsid w:val="00B20A93"/>
    <w:rsid w:val="00B27B3F"/>
    <w:rsid w:val="00B30734"/>
    <w:rsid w:val="00B30BCD"/>
    <w:rsid w:val="00B3297F"/>
    <w:rsid w:val="00B346A9"/>
    <w:rsid w:val="00B35C9B"/>
    <w:rsid w:val="00B369E5"/>
    <w:rsid w:val="00B36F3E"/>
    <w:rsid w:val="00B40C1B"/>
    <w:rsid w:val="00B41285"/>
    <w:rsid w:val="00B41486"/>
    <w:rsid w:val="00B41E8D"/>
    <w:rsid w:val="00B4227A"/>
    <w:rsid w:val="00B45CC4"/>
    <w:rsid w:val="00B5022C"/>
    <w:rsid w:val="00B507FD"/>
    <w:rsid w:val="00B51784"/>
    <w:rsid w:val="00B5285B"/>
    <w:rsid w:val="00B52F16"/>
    <w:rsid w:val="00B54208"/>
    <w:rsid w:val="00B5596E"/>
    <w:rsid w:val="00B56550"/>
    <w:rsid w:val="00B56F60"/>
    <w:rsid w:val="00B62123"/>
    <w:rsid w:val="00B67A42"/>
    <w:rsid w:val="00B716F2"/>
    <w:rsid w:val="00B77284"/>
    <w:rsid w:val="00B77A5D"/>
    <w:rsid w:val="00B82611"/>
    <w:rsid w:val="00B83054"/>
    <w:rsid w:val="00B839FD"/>
    <w:rsid w:val="00B866D5"/>
    <w:rsid w:val="00B87E3E"/>
    <w:rsid w:val="00B90916"/>
    <w:rsid w:val="00B90CEA"/>
    <w:rsid w:val="00B9333C"/>
    <w:rsid w:val="00BA2044"/>
    <w:rsid w:val="00BA4FC2"/>
    <w:rsid w:val="00BB08A0"/>
    <w:rsid w:val="00BC0A9A"/>
    <w:rsid w:val="00BC22E8"/>
    <w:rsid w:val="00BC373E"/>
    <w:rsid w:val="00BC42A7"/>
    <w:rsid w:val="00BC5D0B"/>
    <w:rsid w:val="00BD5D64"/>
    <w:rsid w:val="00BE1346"/>
    <w:rsid w:val="00BE1CED"/>
    <w:rsid w:val="00BE1F3E"/>
    <w:rsid w:val="00BE2476"/>
    <w:rsid w:val="00BE3839"/>
    <w:rsid w:val="00BE384F"/>
    <w:rsid w:val="00BE6BA9"/>
    <w:rsid w:val="00BE6D93"/>
    <w:rsid w:val="00BF0299"/>
    <w:rsid w:val="00BF1041"/>
    <w:rsid w:val="00BF7756"/>
    <w:rsid w:val="00C0083D"/>
    <w:rsid w:val="00C00D41"/>
    <w:rsid w:val="00C06C1F"/>
    <w:rsid w:val="00C06CE9"/>
    <w:rsid w:val="00C0702C"/>
    <w:rsid w:val="00C07CB1"/>
    <w:rsid w:val="00C10A7A"/>
    <w:rsid w:val="00C10C33"/>
    <w:rsid w:val="00C1378C"/>
    <w:rsid w:val="00C1430F"/>
    <w:rsid w:val="00C1483B"/>
    <w:rsid w:val="00C208DD"/>
    <w:rsid w:val="00C2679E"/>
    <w:rsid w:val="00C364F9"/>
    <w:rsid w:val="00C379F9"/>
    <w:rsid w:val="00C406A5"/>
    <w:rsid w:val="00C42FB6"/>
    <w:rsid w:val="00C46CE8"/>
    <w:rsid w:val="00C47882"/>
    <w:rsid w:val="00C54BD2"/>
    <w:rsid w:val="00C55C1B"/>
    <w:rsid w:val="00C6364B"/>
    <w:rsid w:val="00C828FC"/>
    <w:rsid w:val="00C86112"/>
    <w:rsid w:val="00C87697"/>
    <w:rsid w:val="00C93896"/>
    <w:rsid w:val="00C97E29"/>
    <w:rsid w:val="00CA472A"/>
    <w:rsid w:val="00CA7CC1"/>
    <w:rsid w:val="00CB1875"/>
    <w:rsid w:val="00CB2C63"/>
    <w:rsid w:val="00CB2E90"/>
    <w:rsid w:val="00CB56FE"/>
    <w:rsid w:val="00CD15A3"/>
    <w:rsid w:val="00CD2729"/>
    <w:rsid w:val="00CD54F4"/>
    <w:rsid w:val="00CF3554"/>
    <w:rsid w:val="00CF3DDE"/>
    <w:rsid w:val="00CF623E"/>
    <w:rsid w:val="00CF75E2"/>
    <w:rsid w:val="00D00121"/>
    <w:rsid w:val="00D00CA9"/>
    <w:rsid w:val="00D00D12"/>
    <w:rsid w:val="00D0398F"/>
    <w:rsid w:val="00D04A39"/>
    <w:rsid w:val="00D05C7B"/>
    <w:rsid w:val="00D05E52"/>
    <w:rsid w:val="00D05F7B"/>
    <w:rsid w:val="00D118CF"/>
    <w:rsid w:val="00D21ED2"/>
    <w:rsid w:val="00D21FE0"/>
    <w:rsid w:val="00D231EA"/>
    <w:rsid w:val="00D25948"/>
    <w:rsid w:val="00D27D0A"/>
    <w:rsid w:val="00D27D94"/>
    <w:rsid w:val="00D33F9A"/>
    <w:rsid w:val="00D34C8A"/>
    <w:rsid w:val="00D37602"/>
    <w:rsid w:val="00D37755"/>
    <w:rsid w:val="00D40BA4"/>
    <w:rsid w:val="00D40BBC"/>
    <w:rsid w:val="00D428FB"/>
    <w:rsid w:val="00D43516"/>
    <w:rsid w:val="00D45594"/>
    <w:rsid w:val="00D509BF"/>
    <w:rsid w:val="00D50CE9"/>
    <w:rsid w:val="00D5220A"/>
    <w:rsid w:val="00D536A2"/>
    <w:rsid w:val="00D5658B"/>
    <w:rsid w:val="00D575F3"/>
    <w:rsid w:val="00D63040"/>
    <w:rsid w:val="00D64352"/>
    <w:rsid w:val="00D668BA"/>
    <w:rsid w:val="00D67072"/>
    <w:rsid w:val="00D70D8C"/>
    <w:rsid w:val="00D778C2"/>
    <w:rsid w:val="00D80556"/>
    <w:rsid w:val="00D834AD"/>
    <w:rsid w:val="00D85236"/>
    <w:rsid w:val="00D85529"/>
    <w:rsid w:val="00D86BA7"/>
    <w:rsid w:val="00D90DBC"/>
    <w:rsid w:val="00D9120E"/>
    <w:rsid w:val="00D9131E"/>
    <w:rsid w:val="00D9392D"/>
    <w:rsid w:val="00DA0360"/>
    <w:rsid w:val="00DA1FEE"/>
    <w:rsid w:val="00DA28AD"/>
    <w:rsid w:val="00DA34FF"/>
    <w:rsid w:val="00DB2963"/>
    <w:rsid w:val="00DB48C4"/>
    <w:rsid w:val="00DB48CC"/>
    <w:rsid w:val="00DB62DB"/>
    <w:rsid w:val="00DB6B11"/>
    <w:rsid w:val="00DB7D8C"/>
    <w:rsid w:val="00DC045B"/>
    <w:rsid w:val="00DC34D0"/>
    <w:rsid w:val="00DC4087"/>
    <w:rsid w:val="00DD01B0"/>
    <w:rsid w:val="00DD15D6"/>
    <w:rsid w:val="00DD45A5"/>
    <w:rsid w:val="00DE1B5B"/>
    <w:rsid w:val="00DE4599"/>
    <w:rsid w:val="00DF190A"/>
    <w:rsid w:val="00DF26D8"/>
    <w:rsid w:val="00DF37C6"/>
    <w:rsid w:val="00DF5312"/>
    <w:rsid w:val="00DF5AA3"/>
    <w:rsid w:val="00DF674B"/>
    <w:rsid w:val="00E036E9"/>
    <w:rsid w:val="00E05B3A"/>
    <w:rsid w:val="00E103E2"/>
    <w:rsid w:val="00E1198E"/>
    <w:rsid w:val="00E12F47"/>
    <w:rsid w:val="00E2282E"/>
    <w:rsid w:val="00E2327C"/>
    <w:rsid w:val="00E24306"/>
    <w:rsid w:val="00E26DD5"/>
    <w:rsid w:val="00E31667"/>
    <w:rsid w:val="00E32F07"/>
    <w:rsid w:val="00E35EC5"/>
    <w:rsid w:val="00E421D6"/>
    <w:rsid w:val="00E42475"/>
    <w:rsid w:val="00E439A5"/>
    <w:rsid w:val="00E43EC6"/>
    <w:rsid w:val="00E474A5"/>
    <w:rsid w:val="00E47D89"/>
    <w:rsid w:val="00E5086F"/>
    <w:rsid w:val="00E50A99"/>
    <w:rsid w:val="00E53842"/>
    <w:rsid w:val="00E53C47"/>
    <w:rsid w:val="00E61AEE"/>
    <w:rsid w:val="00E714CA"/>
    <w:rsid w:val="00E72489"/>
    <w:rsid w:val="00E76F9C"/>
    <w:rsid w:val="00E80860"/>
    <w:rsid w:val="00E83D89"/>
    <w:rsid w:val="00E845C6"/>
    <w:rsid w:val="00E865E4"/>
    <w:rsid w:val="00E90381"/>
    <w:rsid w:val="00E90CFC"/>
    <w:rsid w:val="00E92E4A"/>
    <w:rsid w:val="00E9630E"/>
    <w:rsid w:val="00E97E32"/>
    <w:rsid w:val="00EA247A"/>
    <w:rsid w:val="00EA2973"/>
    <w:rsid w:val="00EB40D3"/>
    <w:rsid w:val="00EB6E2A"/>
    <w:rsid w:val="00EC07B2"/>
    <w:rsid w:val="00EC31C8"/>
    <w:rsid w:val="00EC34FE"/>
    <w:rsid w:val="00EC3B25"/>
    <w:rsid w:val="00EC64A4"/>
    <w:rsid w:val="00EC6EAC"/>
    <w:rsid w:val="00ED3B83"/>
    <w:rsid w:val="00ED5A8B"/>
    <w:rsid w:val="00ED75B5"/>
    <w:rsid w:val="00EE0CF5"/>
    <w:rsid w:val="00EE2F1E"/>
    <w:rsid w:val="00EF624F"/>
    <w:rsid w:val="00F0014D"/>
    <w:rsid w:val="00F007BC"/>
    <w:rsid w:val="00F05BEE"/>
    <w:rsid w:val="00F076C0"/>
    <w:rsid w:val="00F10D61"/>
    <w:rsid w:val="00F12B02"/>
    <w:rsid w:val="00F14664"/>
    <w:rsid w:val="00F146EC"/>
    <w:rsid w:val="00F15511"/>
    <w:rsid w:val="00F23887"/>
    <w:rsid w:val="00F34A27"/>
    <w:rsid w:val="00F35A21"/>
    <w:rsid w:val="00F36350"/>
    <w:rsid w:val="00F364B5"/>
    <w:rsid w:val="00F36C21"/>
    <w:rsid w:val="00F36F25"/>
    <w:rsid w:val="00F441DC"/>
    <w:rsid w:val="00F457FA"/>
    <w:rsid w:val="00F46D98"/>
    <w:rsid w:val="00F50518"/>
    <w:rsid w:val="00F509FB"/>
    <w:rsid w:val="00F52FE9"/>
    <w:rsid w:val="00F54587"/>
    <w:rsid w:val="00F57265"/>
    <w:rsid w:val="00F61F39"/>
    <w:rsid w:val="00F704BC"/>
    <w:rsid w:val="00F716A7"/>
    <w:rsid w:val="00F853E7"/>
    <w:rsid w:val="00F8604B"/>
    <w:rsid w:val="00F87F97"/>
    <w:rsid w:val="00F90E13"/>
    <w:rsid w:val="00F93DBA"/>
    <w:rsid w:val="00FA0A6F"/>
    <w:rsid w:val="00FA2FC9"/>
    <w:rsid w:val="00FA587C"/>
    <w:rsid w:val="00FA7873"/>
    <w:rsid w:val="00FB46D8"/>
    <w:rsid w:val="00FB50C5"/>
    <w:rsid w:val="00FB6B98"/>
    <w:rsid w:val="00FB774E"/>
    <w:rsid w:val="00FC352F"/>
    <w:rsid w:val="00FD01D6"/>
    <w:rsid w:val="00FD2B92"/>
    <w:rsid w:val="00FD45C4"/>
    <w:rsid w:val="00FD4CC8"/>
    <w:rsid w:val="00FD6759"/>
    <w:rsid w:val="00FE1131"/>
    <w:rsid w:val="00FE572F"/>
    <w:rsid w:val="00FF03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A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5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9CA"/>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3C7062"/>
  </w:style>
  <w:style w:type="character" w:customStyle="1" w:styleId="apple-converted-space">
    <w:name w:val="apple-converted-space"/>
    <w:basedOn w:val="DefaultParagraphFont"/>
    <w:rsid w:val="003C7062"/>
  </w:style>
  <w:style w:type="character" w:styleId="Hyperlink">
    <w:name w:val="Hyperlink"/>
    <w:basedOn w:val="DefaultParagraphFont"/>
    <w:uiPriority w:val="99"/>
    <w:unhideWhenUsed/>
    <w:rsid w:val="003C7062"/>
    <w:rPr>
      <w:color w:val="0000FF"/>
      <w:u w:val="single"/>
    </w:rPr>
  </w:style>
  <w:style w:type="paragraph" w:styleId="NormalWeb">
    <w:name w:val="Normal (Web)"/>
    <w:basedOn w:val="Normal"/>
    <w:uiPriority w:val="99"/>
    <w:unhideWhenUsed/>
    <w:rsid w:val="00BA2044"/>
    <w:pPr>
      <w:spacing w:before="100" w:beforeAutospacing="1" w:after="100" w:afterAutospacing="1" w:line="240" w:lineRule="auto"/>
    </w:pPr>
    <w:rPr>
      <w:rFonts w:ascii="Times New Roman" w:hAnsi="Times New Roman" w:cs="Times New Roman"/>
      <w:sz w:val="24"/>
      <w:szCs w:val="24"/>
      <w:lang w:eastAsia="it-IT"/>
    </w:rPr>
  </w:style>
  <w:style w:type="character" w:styleId="PlaceholderText">
    <w:name w:val="Placeholder Text"/>
    <w:basedOn w:val="DefaultParagraphFont"/>
    <w:uiPriority w:val="99"/>
    <w:semiHidden/>
    <w:rsid w:val="00863316"/>
    <w:rPr>
      <w:color w:val="808080"/>
    </w:rPr>
  </w:style>
  <w:style w:type="paragraph" w:styleId="BalloonText">
    <w:name w:val="Balloon Text"/>
    <w:basedOn w:val="Normal"/>
    <w:link w:val="BalloonTextChar"/>
    <w:uiPriority w:val="99"/>
    <w:semiHidden/>
    <w:unhideWhenUsed/>
    <w:rsid w:val="0086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316"/>
    <w:rPr>
      <w:rFonts w:ascii="Tahoma" w:hAnsi="Tahoma" w:cs="Tahoma"/>
      <w:sz w:val="16"/>
      <w:szCs w:val="16"/>
    </w:rPr>
  </w:style>
  <w:style w:type="table" w:styleId="TableGrid">
    <w:name w:val="Table Grid"/>
    <w:basedOn w:val="TableNormal"/>
    <w:uiPriority w:val="59"/>
    <w:rsid w:val="00B5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0AC1"/>
    <w:pPr>
      <w:spacing w:after="0" w:line="240" w:lineRule="auto"/>
    </w:pPr>
    <w:rPr>
      <w:sz w:val="20"/>
      <w:szCs w:val="20"/>
    </w:rPr>
  </w:style>
  <w:style w:type="character" w:customStyle="1" w:styleId="FootnoteTextChar">
    <w:name w:val="Footnote Text Char"/>
    <w:basedOn w:val="DefaultParagraphFont"/>
    <w:link w:val="FootnoteText"/>
    <w:uiPriority w:val="99"/>
    <w:rsid w:val="00080AC1"/>
    <w:rPr>
      <w:sz w:val="20"/>
      <w:szCs w:val="20"/>
    </w:rPr>
  </w:style>
  <w:style w:type="character" w:styleId="FootnoteReference">
    <w:name w:val="footnote reference"/>
    <w:basedOn w:val="DefaultParagraphFont"/>
    <w:uiPriority w:val="99"/>
    <w:unhideWhenUsed/>
    <w:rsid w:val="00080AC1"/>
    <w:rPr>
      <w:vertAlign w:val="superscript"/>
    </w:rPr>
  </w:style>
  <w:style w:type="paragraph" w:styleId="Header">
    <w:name w:val="header"/>
    <w:basedOn w:val="Normal"/>
    <w:link w:val="HeaderChar"/>
    <w:uiPriority w:val="99"/>
    <w:unhideWhenUsed/>
    <w:rsid w:val="008B1B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1BAD"/>
  </w:style>
  <w:style w:type="paragraph" w:styleId="Footer">
    <w:name w:val="footer"/>
    <w:basedOn w:val="Normal"/>
    <w:link w:val="FooterChar1"/>
    <w:uiPriority w:val="99"/>
    <w:unhideWhenUsed/>
    <w:rsid w:val="008B1BAD"/>
    <w:pPr>
      <w:tabs>
        <w:tab w:val="center" w:pos="4819"/>
        <w:tab w:val="right" w:pos="9638"/>
      </w:tabs>
      <w:spacing w:after="0" w:line="240" w:lineRule="auto"/>
    </w:pPr>
  </w:style>
  <w:style w:type="character" w:customStyle="1" w:styleId="FooterChar1">
    <w:name w:val="Footer Char1"/>
    <w:basedOn w:val="DefaultParagraphFont"/>
    <w:link w:val="Footer"/>
    <w:uiPriority w:val="99"/>
    <w:rsid w:val="008B1BAD"/>
  </w:style>
  <w:style w:type="character" w:styleId="CommentReference">
    <w:name w:val="annotation reference"/>
    <w:basedOn w:val="DefaultParagraphFont"/>
    <w:uiPriority w:val="99"/>
    <w:semiHidden/>
    <w:unhideWhenUsed/>
    <w:rsid w:val="003B33DB"/>
    <w:rPr>
      <w:sz w:val="16"/>
      <w:szCs w:val="16"/>
    </w:rPr>
  </w:style>
  <w:style w:type="paragraph" w:styleId="CommentText">
    <w:name w:val="annotation text"/>
    <w:basedOn w:val="Normal"/>
    <w:link w:val="CommentTextChar"/>
    <w:uiPriority w:val="99"/>
    <w:semiHidden/>
    <w:unhideWhenUsed/>
    <w:rsid w:val="003B33DB"/>
    <w:pPr>
      <w:spacing w:line="240" w:lineRule="auto"/>
    </w:pPr>
    <w:rPr>
      <w:sz w:val="20"/>
      <w:szCs w:val="20"/>
    </w:rPr>
  </w:style>
  <w:style w:type="character" w:customStyle="1" w:styleId="CommentTextChar">
    <w:name w:val="Comment Text Char"/>
    <w:basedOn w:val="DefaultParagraphFont"/>
    <w:link w:val="CommentText"/>
    <w:uiPriority w:val="99"/>
    <w:semiHidden/>
    <w:rsid w:val="003B33DB"/>
    <w:rPr>
      <w:sz w:val="20"/>
      <w:szCs w:val="20"/>
    </w:rPr>
  </w:style>
  <w:style w:type="paragraph" w:styleId="CommentSubject">
    <w:name w:val="annotation subject"/>
    <w:basedOn w:val="CommentText"/>
    <w:next w:val="CommentText"/>
    <w:link w:val="CommentSubjectChar"/>
    <w:uiPriority w:val="99"/>
    <w:semiHidden/>
    <w:unhideWhenUsed/>
    <w:rsid w:val="003B33DB"/>
    <w:rPr>
      <w:b/>
      <w:bCs/>
    </w:rPr>
  </w:style>
  <w:style w:type="character" w:customStyle="1" w:styleId="CommentSubjectChar">
    <w:name w:val="Comment Subject Char"/>
    <w:basedOn w:val="CommentTextChar"/>
    <w:link w:val="CommentSubject"/>
    <w:uiPriority w:val="99"/>
    <w:semiHidden/>
    <w:rsid w:val="003B33DB"/>
    <w:rPr>
      <w:b/>
      <w:bCs/>
      <w:sz w:val="20"/>
      <w:szCs w:val="20"/>
    </w:rPr>
  </w:style>
  <w:style w:type="paragraph" w:styleId="Revision">
    <w:name w:val="Revision"/>
    <w:hidden/>
    <w:uiPriority w:val="99"/>
    <w:semiHidden/>
    <w:rsid w:val="00813BAB"/>
    <w:pPr>
      <w:spacing w:after="0" w:line="240" w:lineRule="auto"/>
    </w:pPr>
  </w:style>
  <w:style w:type="paragraph" w:customStyle="1" w:styleId="Default">
    <w:name w:val="Default"/>
    <w:rsid w:val="00A920D3"/>
    <w:pPr>
      <w:autoSpaceDE w:val="0"/>
      <w:autoSpaceDN w:val="0"/>
      <w:adjustRightInd w:val="0"/>
      <w:spacing w:after="0" w:line="240" w:lineRule="auto"/>
    </w:pPr>
    <w:rPr>
      <w:rFonts w:ascii="Arial" w:hAnsi="Arial" w:cs="Arial"/>
      <w:color w:val="000000"/>
      <w:sz w:val="24"/>
      <w:szCs w:val="24"/>
      <w:lang w:val="it-IT"/>
    </w:rPr>
  </w:style>
  <w:style w:type="character" w:customStyle="1" w:styleId="FooterChar">
    <w:name w:val="Footer Char"/>
    <w:basedOn w:val="DefaultParagraphFont"/>
    <w:uiPriority w:val="99"/>
    <w:rsid w:val="001A6FF6"/>
    <w:rPr>
      <w:rFonts w:eastAsiaTheme="minorHAnsi"/>
      <w:sz w:val="21"/>
    </w:rPr>
  </w:style>
  <w:style w:type="paragraph" w:styleId="ListParagraph">
    <w:name w:val="List Paragraph"/>
    <w:basedOn w:val="Normal"/>
    <w:uiPriority w:val="34"/>
    <w:qFormat/>
    <w:rsid w:val="00811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5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9CA"/>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3C7062"/>
  </w:style>
  <w:style w:type="character" w:customStyle="1" w:styleId="apple-converted-space">
    <w:name w:val="apple-converted-space"/>
    <w:basedOn w:val="DefaultParagraphFont"/>
    <w:rsid w:val="003C7062"/>
  </w:style>
  <w:style w:type="character" w:styleId="Hyperlink">
    <w:name w:val="Hyperlink"/>
    <w:basedOn w:val="DefaultParagraphFont"/>
    <w:uiPriority w:val="99"/>
    <w:unhideWhenUsed/>
    <w:rsid w:val="003C7062"/>
    <w:rPr>
      <w:color w:val="0000FF"/>
      <w:u w:val="single"/>
    </w:rPr>
  </w:style>
  <w:style w:type="paragraph" w:styleId="NormalWeb">
    <w:name w:val="Normal (Web)"/>
    <w:basedOn w:val="Normal"/>
    <w:uiPriority w:val="99"/>
    <w:unhideWhenUsed/>
    <w:rsid w:val="00BA2044"/>
    <w:pPr>
      <w:spacing w:before="100" w:beforeAutospacing="1" w:after="100" w:afterAutospacing="1" w:line="240" w:lineRule="auto"/>
    </w:pPr>
    <w:rPr>
      <w:rFonts w:ascii="Times New Roman" w:hAnsi="Times New Roman" w:cs="Times New Roman"/>
      <w:sz w:val="24"/>
      <w:szCs w:val="24"/>
      <w:lang w:eastAsia="it-IT"/>
    </w:rPr>
  </w:style>
  <w:style w:type="character" w:styleId="PlaceholderText">
    <w:name w:val="Placeholder Text"/>
    <w:basedOn w:val="DefaultParagraphFont"/>
    <w:uiPriority w:val="99"/>
    <w:semiHidden/>
    <w:rsid w:val="00863316"/>
    <w:rPr>
      <w:color w:val="808080"/>
    </w:rPr>
  </w:style>
  <w:style w:type="paragraph" w:styleId="BalloonText">
    <w:name w:val="Balloon Text"/>
    <w:basedOn w:val="Normal"/>
    <w:link w:val="BalloonTextChar"/>
    <w:uiPriority w:val="99"/>
    <w:semiHidden/>
    <w:unhideWhenUsed/>
    <w:rsid w:val="0086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316"/>
    <w:rPr>
      <w:rFonts w:ascii="Tahoma" w:hAnsi="Tahoma" w:cs="Tahoma"/>
      <w:sz w:val="16"/>
      <w:szCs w:val="16"/>
    </w:rPr>
  </w:style>
  <w:style w:type="table" w:styleId="TableGrid">
    <w:name w:val="Table Grid"/>
    <w:basedOn w:val="TableNormal"/>
    <w:uiPriority w:val="59"/>
    <w:rsid w:val="00B5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0AC1"/>
    <w:pPr>
      <w:spacing w:after="0" w:line="240" w:lineRule="auto"/>
    </w:pPr>
    <w:rPr>
      <w:sz w:val="20"/>
      <w:szCs w:val="20"/>
    </w:rPr>
  </w:style>
  <w:style w:type="character" w:customStyle="1" w:styleId="FootnoteTextChar">
    <w:name w:val="Footnote Text Char"/>
    <w:basedOn w:val="DefaultParagraphFont"/>
    <w:link w:val="FootnoteText"/>
    <w:uiPriority w:val="99"/>
    <w:rsid w:val="00080AC1"/>
    <w:rPr>
      <w:sz w:val="20"/>
      <w:szCs w:val="20"/>
    </w:rPr>
  </w:style>
  <w:style w:type="character" w:styleId="FootnoteReference">
    <w:name w:val="footnote reference"/>
    <w:basedOn w:val="DefaultParagraphFont"/>
    <w:uiPriority w:val="99"/>
    <w:unhideWhenUsed/>
    <w:rsid w:val="00080AC1"/>
    <w:rPr>
      <w:vertAlign w:val="superscript"/>
    </w:rPr>
  </w:style>
  <w:style w:type="paragraph" w:styleId="Header">
    <w:name w:val="header"/>
    <w:basedOn w:val="Normal"/>
    <w:link w:val="HeaderChar"/>
    <w:uiPriority w:val="99"/>
    <w:unhideWhenUsed/>
    <w:rsid w:val="008B1B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1BAD"/>
  </w:style>
  <w:style w:type="paragraph" w:styleId="Footer">
    <w:name w:val="footer"/>
    <w:basedOn w:val="Normal"/>
    <w:link w:val="FooterChar1"/>
    <w:uiPriority w:val="99"/>
    <w:unhideWhenUsed/>
    <w:rsid w:val="008B1BAD"/>
    <w:pPr>
      <w:tabs>
        <w:tab w:val="center" w:pos="4819"/>
        <w:tab w:val="right" w:pos="9638"/>
      </w:tabs>
      <w:spacing w:after="0" w:line="240" w:lineRule="auto"/>
    </w:pPr>
  </w:style>
  <w:style w:type="character" w:customStyle="1" w:styleId="FooterChar1">
    <w:name w:val="Footer Char1"/>
    <w:basedOn w:val="DefaultParagraphFont"/>
    <w:link w:val="Footer"/>
    <w:uiPriority w:val="99"/>
    <w:rsid w:val="008B1BAD"/>
  </w:style>
  <w:style w:type="character" w:styleId="CommentReference">
    <w:name w:val="annotation reference"/>
    <w:basedOn w:val="DefaultParagraphFont"/>
    <w:uiPriority w:val="99"/>
    <w:semiHidden/>
    <w:unhideWhenUsed/>
    <w:rsid w:val="003B33DB"/>
    <w:rPr>
      <w:sz w:val="16"/>
      <w:szCs w:val="16"/>
    </w:rPr>
  </w:style>
  <w:style w:type="paragraph" w:styleId="CommentText">
    <w:name w:val="annotation text"/>
    <w:basedOn w:val="Normal"/>
    <w:link w:val="CommentTextChar"/>
    <w:uiPriority w:val="99"/>
    <w:semiHidden/>
    <w:unhideWhenUsed/>
    <w:rsid w:val="003B33DB"/>
    <w:pPr>
      <w:spacing w:line="240" w:lineRule="auto"/>
    </w:pPr>
    <w:rPr>
      <w:sz w:val="20"/>
      <w:szCs w:val="20"/>
    </w:rPr>
  </w:style>
  <w:style w:type="character" w:customStyle="1" w:styleId="CommentTextChar">
    <w:name w:val="Comment Text Char"/>
    <w:basedOn w:val="DefaultParagraphFont"/>
    <w:link w:val="CommentText"/>
    <w:uiPriority w:val="99"/>
    <w:semiHidden/>
    <w:rsid w:val="003B33DB"/>
    <w:rPr>
      <w:sz w:val="20"/>
      <w:szCs w:val="20"/>
    </w:rPr>
  </w:style>
  <w:style w:type="paragraph" w:styleId="CommentSubject">
    <w:name w:val="annotation subject"/>
    <w:basedOn w:val="CommentText"/>
    <w:next w:val="CommentText"/>
    <w:link w:val="CommentSubjectChar"/>
    <w:uiPriority w:val="99"/>
    <w:semiHidden/>
    <w:unhideWhenUsed/>
    <w:rsid w:val="003B33DB"/>
    <w:rPr>
      <w:b/>
      <w:bCs/>
    </w:rPr>
  </w:style>
  <w:style w:type="character" w:customStyle="1" w:styleId="CommentSubjectChar">
    <w:name w:val="Comment Subject Char"/>
    <w:basedOn w:val="CommentTextChar"/>
    <w:link w:val="CommentSubject"/>
    <w:uiPriority w:val="99"/>
    <w:semiHidden/>
    <w:rsid w:val="003B33DB"/>
    <w:rPr>
      <w:b/>
      <w:bCs/>
      <w:sz w:val="20"/>
      <w:szCs w:val="20"/>
    </w:rPr>
  </w:style>
  <w:style w:type="paragraph" w:styleId="Revision">
    <w:name w:val="Revision"/>
    <w:hidden/>
    <w:uiPriority w:val="99"/>
    <w:semiHidden/>
    <w:rsid w:val="00813BAB"/>
    <w:pPr>
      <w:spacing w:after="0" w:line="240" w:lineRule="auto"/>
    </w:pPr>
  </w:style>
  <w:style w:type="paragraph" w:customStyle="1" w:styleId="Default">
    <w:name w:val="Default"/>
    <w:rsid w:val="00A920D3"/>
    <w:pPr>
      <w:autoSpaceDE w:val="0"/>
      <w:autoSpaceDN w:val="0"/>
      <w:adjustRightInd w:val="0"/>
      <w:spacing w:after="0" w:line="240" w:lineRule="auto"/>
    </w:pPr>
    <w:rPr>
      <w:rFonts w:ascii="Arial" w:hAnsi="Arial" w:cs="Arial"/>
      <w:color w:val="000000"/>
      <w:sz w:val="24"/>
      <w:szCs w:val="24"/>
      <w:lang w:val="it-IT"/>
    </w:rPr>
  </w:style>
  <w:style w:type="character" w:customStyle="1" w:styleId="FooterChar">
    <w:name w:val="Footer Char"/>
    <w:basedOn w:val="DefaultParagraphFont"/>
    <w:uiPriority w:val="99"/>
    <w:rsid w:val="001A6FF6"/>
    <w:rPr>
      <w:rFonts w:eastAsiaTheme="minorHAnsi"/>
      <w:sz w:val="21"/>
    </w:rPr>
  </w:style>
  <w:style w:type="paragraph" w:styleId="ListParagraph">
    <w:name w:val="List Paragraph"/>
    <w:basedOn w:val="Normal"/>
    <w:uiPriority w:val="34"/>
    <w:qFormat/>
    <w:rsid w:val="0081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930">
      <w:bodyDiv w:val="1"/>
      <w:marLeft w:val="0"/>
      <w:marRight w:val="0"/>
      <w:marTop w:val="0"/>
      <w:marBottom w:val="0"/>
      <w:divBdr>
        <w:top w:val="none" w:sz="0" w:space="0" w:color="auto"/>
        <w:left w:val="none" w:sz="0" w:space="0" w:color="auto"/>
        <w:bottom w:val="none" w:sz="0" w:space="0" w:color="auto"/>
        <w:right w:val="none" w:sz="0" w:space="0" w:color="auto"/>
      </w:divBdr>
    </w:div>
    <w:div w:id="292637037">
      <w:bodyDiv w:val="1"/>
      <w:marLeft w:val="0"/>
      <w:marRight w:val="0"/>
      <w:marTop w:val="0"/>
      <w:marBottom w:val="0"/>
      <w:divBdr>
        <w:top w:val="none" w:sz="0" w:space="0" w:color="auto"/>
        <w:left w:val="none" w:sz="0" w:space="0" w:color="auto"/>
        <w:bottom w:val="none" w:sz="0" w:space="0" w:color="auto"/>
        <w:right w:val="none" w:sz="0" w:space="0" w:color="auto"/>
      </w:divBdr>
    </w:div>
    <w:div w:id="353969039">
      <w:bodyDiv w:val="1"/>
      <w:marLeft w:val="0"/>
      <w:marRight w:val="0"/>
      <w:marTop w:val="0"/>
      <w:marBottom w:val="0"/>
      <w:divBdr>
        <w:top w:val="none" w:sz="0" w:space="0" w:color="auto"/>
        <w:left w:val="none" w:sz="0" w:space="0" w:color="auto"/>
        <w:bottom w:val="none" w:sz="0" w:space="0" w:color="auto"/>
        <w:right w:val="none" w:sz="0" w:space="0" w:color="auto"/>
      </w:divBdr>
    </w:div>
    <w:div w:id="459343392">
      <w:bodyDiv w:val="1"/>
      <w:marLeft w:val="0"/>
      <w:marRight w:val="0"/>
      <w:marTop w:val="0"/>
      <w:marBottom w:val="0"/>
      <w:divBdr>
        <w:top w:val="none" w:sz="0" w:space="0" w:color="auto"/>
        <w:left w:val="none" w:sz="0" w:space="0" w:color="auto"/>
        <w:bottom w:val="none" w:sz="0" w:space="0" w:color="auto"/>
        <w:right w:val="none" w:sz="0" w:space="0" w:color="auto"/>
      </w:divBdr>
    </w:div>
    <w:div w:id="519130351">
      <w:bodyDiv w:val="1"/>
      <w:marLeft w:val="0"/>
      <w:marRight w:val="0"/>
      <w:marTop w:val="0"/>
      <w:marBottom w:val="0"/>
      <w:divBdr>
        <w:top w:val="none" w:sz="0" w:space="0" w:color="auto"/>
        <w:left w:val="none" w:sz="0" w:space="0" w:color="auto"/>
        <w:bottom w:val="none" w:sz="0" w:space="0" w:color="auto"/>
        <w:right w:val="none" w:sz="0" w:space="0" w:color="auto"/>
      </w:divBdr>
    </w:div>
    <w:div w:id="537544533">
      <w:bodyDiv w:val="1"/>
      <w:marLeft w:val="0"/>
      <w:marRight w:val="0"/>
      <w:marTop w:val="0"/>
      <w:marBottom w:val="0"/>
      <w:divBdr>
        <w:top w:val="none" w:sz="0" w:space="0" w:color="auto"/>
        <w:left w:val="none" w:sz="0" w:space="0" w:color="auto"/>
        <w:bottom w:val="none" w:sz="0" w:space="0" w:color="auto"/>
        <w:right w:val="none" w:sz="0" w:space="0" w:color="auto"/>
      </w:divBdr>
    </w:div>
    <w:div w:id="540552452">
      <w:bodyDiv w:val="1"/>
      <w:marLeft w:val="0"/>
      <w:marRight w:val="0"/>
      <w:marTop w:val="0"/>
      <w:marBottom w:val="0"/>
      <w:divBdr>
        <w:top w:val="none" w:sz="0" w:space="0" w:color="auto"/>
        <w:left w:val="none" w:sz="0" w:space="0" w:color="auto"/>
        <w:bottom w:val="none" w:sz="0" w:space="0" w:color="auto"/>
        <w:right w:val="none" w:sz="0" w:space="0" w:color="auto"/>
      </w:divBdr>
    </w:div>
    <w:div w:id="588539760">
      <w:bodyDiv w:val="1"/>
      <w:marLeft w:val="0"/>
      <w:marRight w:val="0"/>
      <w:marTop w:val="0"/>
      <w:marBottom w:val="0"/>
      <w:divBdr>
        <w:top w:val="none" w:sz="0" w:space="0" w:color="auto"/>
        <w:left w:val="none" w:sz="0" w:space="0" w:color="auto"/>
        <w:bottom w:val="none" w:sz="0" w:space="0" w:color="auto"/>
        <w:right w:val="none" w:sz="0" w:space="0" w:color="auto"/>
      </w:divBdr>
    </w:div>
    <w:div w:id="599803729">
      <w:bodyDiv w:val="1"/>
      <w:marLeft w:val="0"/>
      <w:marRight w:val="0"/>
      <w:marTop w:val="0"/>
      <w:marBottom w:val="0"/>
      <w:divBdr>
        <w:top w:val="none" w:sz="0" w:space="0" w:color="auto"/>
        <w:left w:val="none" w:sz="0" w:space="0" w:color="auto"/>
        <w:bottom w:val="none" w:sz="0" w:space="0" w:color="auto"/>
        <w:right w:val="none" w:sz="0" w:space="0" w:color="auto"/>
      </w:divBdr>
    </w:div>
    <w:div w:id="638537902">
      <w:bodyDiv w:val="1"/>
      <w:marLeft w:val="0"/>
      <w:marRight w:val="0"/>
      <w:marTop w:val="0"/>
      <w:marBottom w:val="0"/>
      <w:divBdr>
        <w:top w:val="none" w:sz="0" w:space="0" w:color="auto"/>
        <w:left w:val="none" w:sz="0" w:space="0" w:color="auto"/>
        <w:bottom w:val="none" w:sz="0" w:space="0" w:color="auto"/>
        <w:right w:val="none" w:sz="0" w:space="0" w:color="auto"/>
      </w:divBdr>
    </w:div>
    <w:div w:id="680820654">
      <w:bodyDiv w:val="1"/>
      <w:marLeft w:val="0"/>
      <w:marRight w:val="0"/>
      <w:marTop w:val="0"/>
      <w:marBottom w:val="0"/>
      <w:divBdr>
        <w:top w:val="none" w:sz="0" w:space="0" w:color="auto"/>
        <w:left w:val="none" w:sz="0" w:space="0" w:color="auto"/>
        <w:bottom w:val="none" w:sz="0" w:space="0" w:color="auto"/>
        <w:right w:val="none" w:sz="0" w:space="0" w:color="auto"/>
      </w:divBdr>
    </w:div>
    <w:div w:id="710418717">
      <w:bodyDiv w:val="1"/>
      <w:marLeft w:val="0"/>
      <w:marRight w:val="0"/>
      <w:marTop w:val="0"/>
      <w:marBottom w:val="0"/>
      <w:divBdr>
        <w:top w:val="none" w:sz="0" w:space="0" w:color="auto"/>
        <w:left w:val="none" w:sz="0" w:space="0" w:color="auto"/>
        <w:bottom w:val="none" w:sz="0" w:space="0" w:color="auto"/>
        <w:right w:val="none" w:sz="0" w:space="0" w:color="auto"/>
      </w:divBdr>
    </w:div>
    <w:div w:id="726881054">
      <w:bodyDiv w:val="1"/>
      <w:marLeft w:val="0"/>
      <w:marRight w:val="0"/>
      <w:marTop w:val="0"/>
      <w:marBottom w:val="0"/>
      <w:divBdr>
        <w:top w:val="none" w:sz="0" w:space="0" w:color="auto"/>
        <w:left w:val="none" w:sz="0" w:space="0" w:color="auto"/>
        <w:bottom w:val="none" w:sz="0" w:space="0" w:color="auto"/>
        <w:right w:val="none" w:sz="0" w:space="0" w:color="auto"/>
      </w:divBdr>
    </w:div>
    <w:div w:id="740757510">
      <w:bodyDiv w:val="1"/>
      <w:marLeft w:val="0"/>
      <w:marRight w:val="0"/>
      <w:marTop w:val="0"/>
      <w:marBottom w:val="0"/>
      <w:divBdr>
        <w:top w:val="none" w:sz="0" w:space="0" w:color="auto"/>
        <w:left w:val="none" w:sz="0" w:space="0" w:color="auto"/>
        <w:bottom w:val="none" w:sz="0" w:space="0" w:color="auto"/>
        <w:right w:val="none" w:sz="0" w:space="0" w:color="auto"/>
      </w:divBdr>
    </w:div>
    <w:div w:id="760956674">
      <w:bodyDiv w:val="1"/>
      <w:marLeft w:val="0"/>
      <w:marRight w:val="0"/>
      <w:marTop w:val="0"/>
      <w:marBottom w:val="0"/>
      <w:divBdr>
        <w:top w:val="none" w:sz="0" w:space="0" w:color="auto"/>
        <w:left w:val="none" w:sz="0" w:space="0" w:color="auto"/>
        <w:bottom w:val="none" w:sz="0" w:space="0" w:color="auto"/>
        <w:right w:val="none" w:sz="0" w:space="0" w:color="auto"/>
      </w:divBdr>
    </w:div>
    <w:div w:id="790319351">
      <w:bodyDiv w:val="1"/>
      <w:marLeft w:val="0"/>
      <w:marRight w:val="0"/>
      <w:marTop w:val="0"/>
      <w:marBottom w:val="0"/>
      <w:divBdr>
        <w:top w:val="none" w:sz="0" w:space="0" w:color="auto"/>
        <w:left w:val="none" w:sz="0" w:space="0" w:color="auto"/>
        <w:bottom w:val="none" w:sz="0" w:space="0" w:color="auto"/>
        <w:right w:val="none" w:sz="0" w:space="0" w:color="auto"/>
      </w:divBdr>
    </w:div>
    <w:div w:id="925453361">
      <w:bodyDiv w:val="1"/>
      <w:marLeft w:val="0"/>
      <w:marRight w:val="0"/>
      <w:marTop w:val="0"/>
      <w:marBottom w:val="0"/>
      <w:divBdr>
        <w:top w:val="none" w:sz="0" w:space="0" w:color="auto"/>
        <w:left w:val="none" w:sz="0" w:space="0" w:color="auto"/>
        <w:bottom w:val="none" w:sz="0" w:space="0" w:color="auto"/>
        <w:right w:val="none" w:sz="0" w:space="0" w:color="auto"/>
      </w:divBdr>
    </w:div>
    <w:div w:id="1031149341">
      <w:bodyDiv w:val="1"/>
      <w:marLeft w:val="0"/>
      <w:marRight w:val="0"/>
      <w:marTop w:val="0"/>
      <w:marBottom w:val="0"/>
      <w:divBdr>
        <w:top w:val="none" w:sz="0" w:space="0" w:color="auto"/>
        <w:left w:val="none" w:sz="0" w:space="0" w:color="auto"/>
        <w:bottom w:val="none" w:sz="0" w:space="0" w:color="auto"/>
        <w:right w:val="none" w:sz="0" w:space="0" w:color="auto"/>
      </w:divBdr>
    </w:div>
    <w:div w:id="1106265664">
      <w:bodyDiv w:val="1"/>
      <w:marLeft w:val="0"/>
      <w:marRight w:val="0"/>
      <w:marTop w:val="0"/>
      <w:marBottom w:val="0"/>
      <w:divBdr>
        <w:top w:val="none" w:sz="0" w:space="0" w:color="auto"/>
        <w:left w:val="none" w:sz="0" w:space="0" w:color="auto"/>
        <w:bottom w:val="none" w:sz="0" w:space="0" w:color="auto"/>
        <w:right w:val="none" w:sz="0" w:space="0" w:color="auto"/>
      </w:divBdr>
    </w:div>
    <w:div w:id="1106658476">
      <w:bodyDiv w:val="1"/>
      <w:marLeft w:val="0"/>
      <w:marRight w:val="0"/>
      <w:marTop w:val="0"/>
      <w:marBottom w:val="0"/>
      <w:divBdr>
        <w:top w:val="none" w:sz="0" w:space="0" w:color="auto"/>
        <w:left w:val="none" w:sz="0" w:space="0" w:color="auto"/>
        <w:bottom w:val="none" w:sz="0" w:space="0" w:color="auto"/>
        <w:right w:val="none" w:sz="0" w:space="0" w:color="auto"/>
      </w:divBdr>
    </w:div>
    <w:div w:id="1212038472">
      <w:bodyDiv w:val="1"/>
      <w:marLeft w:val="0"/>
      <w:marRight w:val="0"/>
      <w:marTop w:val="0"/>
      <w:marBottom w:val="0"/>
      <w:divBdr>
        <w:top w:val="none" w:sz="0" w:space="0" w:color="auto"/>
        <w:left w:val="none" w:sz="0" w:space="0" w:color="auto"/>
        <w:bottom w:val="none" w:sz="0" w:space="0" w:color="auto"/>
        <w:right w:val="none" w:sz="0" w:space="0" w:color="auto"/>
      </w:divBdr>
    </w:div>
    <w:div w:id="1227688075">
      <w:bodyDiv w:val="1"/>
      <w:marLeft w:val="0"/>
      <w:marRight w:val="0"/>
      <w:marTop w:val="0"/>
      <w:marBottom w:val="0"/>
      <w:divBdr>
        <w:top w:val="none" w:sz="0" w:space="0" w:color="auto"/>
        <w:left w:val="none" w:sz="0" w:space="0" w:color="auto"/>
        <w:bottom w:val="none" w:sz="0" w:space="0" w:color="auto"/>
        <w:right w:val="none" w:sz="0" w:space="0" w:color="auto"/>
      </w:divBdr>
    </w:div>
    <w:div w:id="1289359515">
      <w:bodyDiv w:val="1"/>
      <w:marLeft w:val="0"/>
      <w:marRight w:val="0"/>
      <w:marTop w:val="0"/>
      <w:marBottom w:val="0"/>
      <w:divBdr>
        <w:top w:val="none" w:sz="0" w:space="0" w:color="auto"/>
        <w:left w:val="none" w:sz="0" w:space="0" w:color="auto"/>
        <w:bottom w:val="none" w:sz="0" w:space="0" w:color="auto"/>
        <w:right w:val="none" w:sz="0" w:space="0" w:color="auto"/>
      </w:divBdr>
    </w:div>
    <w:div w:id="1462189603">
      <w:bodyDiv w:val="1"/>
      <w:marLeft w:val="0"/>
      <w:marRight w:val="0"/>
      <w:marTop w:val="0"/>
      <w:marBottom w:val="0"/>
      <w:divBdr>
        <w:top w:val="none" w:sz="0" w:space="0" w:color="auto"/>
        <w:left w:val="none" w:sz="0" w:space="0" w:color="auto"/>
        <w:bottom w:val="none" w:sz="0" w:space="0" w:color="auto"/>
        <w:right w:val="none" w:sz="0" w:space="0" w:color="auto"/>
      </w:divBdr>
    </w:div>
    <w:div w:id="1482775699">
      <w:bodyDiv w:val="1"/>
      <w:marLeft w:val="0"/>
      <w:marRight w:val="0"/>
      <w:marTop w:val="0"/>
      <w:marBottom w:val="0"/>
      <w:divBdr>
        <w:top w:val="none" w:sz="0" w:space="0" w:color="auto"/>
        <w:left w:val="none" w:sz="0" w:space="0" w:color="auto"/>
        <w:bottom w:val="none" w:sz="0" w:space="0" w:color="auto"/>
        <w:right w:val="none" w:sz="0" w:space="0" w:color="auto"/>
      </w:divBdr>
    </w:div>
    <w:div w:id="1528636129">
      <w:bodyDiv w:val="1"/>
      <w:marLeft w:val="0"/>
      <w:marRight w:val="0"/>
      <w:marTop w:val="0"/>
      <w:marBottom w:val="0"/>
      <w:divBdr>
        <w:top w:val="none" w:sz="0" w:space="0" w:color="auto"/>
        <w:left w:val="none" w:sz="0" w:space="0" w:color="auto"/>
        <w:bottom w:val="none" w:sz="0" w:space="0" w:color="auto"/>
        <w:right w:val="none" w:sz="0" w:space="0" w:color="auto"/>
      </w:divBdr>
    </w:div>
    <w:div w:id="1597254582">
      <w:bodyDiv w:val="1"/>
      <w:marLeft w:val="0"/>
      <w:marRight w:val="0"/>
      <w:marTop w:val="0"/>
      <w:marBottom w:val="0"/>
      <w:divBdr>
        <w:top w:val="none" w:sz="0" w:space="0" w:color="auto"/>
        <w:left w:val="none" w:sz="0" w:space="0" w:color="auto"/>
        <w:bottom w:val="none" w:sz="0" w:space="0" w:color="auto"/>
        <w:right w:val="none" w:sz="0" w:space="0" w:color="auto"/>
      </w:divBdr>
    </w:div>
    <w:div w:id="1606885452">
      <w:bodyDiv w:val="1"/>
      <w:marLeft w:val="0"/>
      <w:marRight w:val="0"/>
      <w:marTop w:val="0"/>
      <w:marBottom w:val="0"/>
      <w:divBdr>
        <w:top w:val="none" w:sz="0" w:space="0" w:color="auto"/>
        <w:left w:val="none" w:sz="0" w:space="0" w:color="auto"/>
        <w:bottom w:val="none" w:sz="0" w:space="0" w:color="auto"/>
        <w:right w:val="none" w:sz="0" w:space="0" w:color="auto"/>
      </w:divBdr>
    </w:div>
    <w:div w:id="1622299660">
      <w:bodyDiv w:val="1"/>
      <w:marLeft w:val="0"/>
      <w:marRight w:val="0"/>
      <w:marTop w:val="0"/>
      <w:marBottom w:val="0"/>
      <w:divBdr>
        <w:top w:val="none" w:sz="0" w:space="0" w:color="auto"/>
        <w:left w:val="none" w:sz="0" w:space="0" w:color="auto"/>
        <w:bottom w:val="none" w:sz="0" w:space="0" w:color="auto"/>
        <w:right w:val="none" w:sz="0" w:space="0" w:color="auto"/>
      </w:divBdr>
    </w:div>
    <w:div w:id="1624994711">
      <w:bodyDiv w:val="1"/>
      <w:marLeft w:val="0"/>
      <w:marRight w:val="0"/>
      <w:marTop w:val="0"/>
      <w:marBottom w:val="0"/>
      <w:divBdr>
        <w:top w:val="none" w:sz="0" w:space="0" w:color="auto"/>
        <w:left w:val="none" w:sz="0" w:space="0" w:color="auto"/>
        <w:bottom w:val="none" w:sz="0" w:space="0" w:color="auto"/>
        <w:right w:val="none" w:sz="0" w:space="0" w:color="auto"/>
      </w:divBdr>
    </w:div>
    <w:div w:id="1630622084">
      <w:bodyDiv w:val="1"/>
      <w:marLeft w:val="0"/>
      <w:marRight w:val="0"/>
      <w:marTop w:val="0"/>
      <w:marBottom w:val="0"/>
      <w:divBdr>
        <w:top w:val="none" w:sz="0" w:space="0" w:color="auto"/>
        <w:left w:val="none" w:sz="0" w:space="0" w:color="auto"/>
        <w:bottom w:val="none" w:sz="0" w:space="0" w:color="auto"/>
        <w:right w:val="none" w:sz="0" w:space="0" w:color="auto"/>
      </w:divBdr>
    </w:div>
    <w:div w:id="1638074423">
      <w:bodyDiv w:val="1"/>
      <w:marLeft w:val="0"/>
      <w:marRight w:val="0"/>
      <w:marTop w:val="0"/>
      <w:marBottom w:val="0"/>
      <w:divBdr>
        <w:top w:val="none" w:sz="0" w:space="0" w:color="auto"/>
        <w:left w:val="none" w:sz="0" w:space="0" w:color="auto"/>
        <w:bottom w:val="none" w:sz="0" w:space="0" w:color="auto"/>
        <w:right w:val="none" w:sz="0" w:space="0" w:color="auto"/>
      </w:divBdr>
    </w:div>
    <w:div w:id="1719936337">
      <w:bodyDiv w:val="1"/>
      <w:marLeft w:val="0"/>
      <w:marRight w:val="0"/>
      <w:marTop w:val="0"/>
      <w:marBottom w:val="0"/>
      <w:divBdr>
        <w:top w:val="none" w:sz="0" w:space="0" w:color="auto"/>
        <w:left w:val="none" w:sz="0" w:space="0" w:color="auto"/>
        <w:bottom w:val="none" w:sz="0" w:space="0" w:color="auto"/>
        <w:right w:val="none" w:sz="0" w:space="0" w:color="auto"/>
      </w:divBdr>
    </w:div>
    <w:div w:id="1729450445">
      <w:bodyDiv w:val="1"/>
      <w:marLeft w:val="0"/>
      <w:marRight w:val="0"/>
      <w:marTop w:val="0"/>
      <w:marBottom w:val="0"/>
      <w:divBdr>
        <w:top w:val="none" w:sz="0" w:space="0" w:color="auto"/>
        <w:left w:val="none" w:sz="0" w:space="0" w:color="auto"/>
        <w:bottom w:val="none" w:sz="0" w:space="0" w:color="auto"/>
        <w:right w:val="none" w:sz="0" w:space="0" w:color="auto"/>
      </w:divBdr>
    </w:div>
    <w:div w:id="1769429596">
      <w:bodyDiv w:val="1"/>
      <w:marLeft w:val="0"/>
      <w:marRight w:val="0"/>
      <w:marTop w:val="0"/>
      <w:marBottom w:val="0"/>
      <w:divBdr>
        <w:top w:val="none" w:sz="0" w:space="0" w:color="auto"/>
        <w:left w:val="none" w:sz="0" w:space="0" w:color="auto"/>
        <w:bottom w:val="none" w:sz="0" w:space="0" w:color="auto"/>
        <w:right w:val="none" w:sz="0" w:space="0" w:color="auto"/>
      </w:divBdr>
    </w:div>
    <w:div w:id="1860467329">
      <w:bodyDiv w:val="1"/>
      <w:marLeft w:val="0"/>
      <w:marRight w:val="0"/>
      <w:marTop w:val="0"/>
      <w:marBottom w:val="0"/>
      <w:divBdr>
        <w:top w:val="none" w:sz="0" w:space="0" w:color="auto"/>
        <w:left w:val="none" w:sz="0" w:space="0" w:color="auto"/>
        <w:bottom w:val="none" w:sz="0" w:space="0" w:color="auto"/>
        <w:right w:val="none" w:sz="0" w:space="0" w:color="auto"/>
      </w:divBdr>
    </w:div>
    <w:div w:id="1893300443">
      <w:bodyDiv w:val="1"/>
      <w:marLeft w:val="0"/>
      <w:marRight w:val="0"/>
      <w:marTop w:val="0"/>
      <w:marBottom w:val="0"/>
      <w:divBdr>
        <w:top w:val="none" w:sz="0" w:space="0" w:color="auto"/>
        <w:left w:val="none" w:sz="0" w:space="0" w:color="auto"/>
        <w:bottom w:val="none" w:sz="0" w:space="0" w:color="auto"/>
        <w:right w:val="none" w:sz="0" w:space="0" w:color="auto"/>
      </w:divBdr>
    </w:div>
    <w:div w:id="1948267350">
      <w:bodyDiv w:val="1"/>
      <w:marLeft w:val="0"/>
      <w:marRight w:val="0"/>
      <w:marTop w:val="0"/>
      <w:marBottom w:val="0"/>
      <w:divBdr>
        <w:top w:val="none" w:sz="0" w:space="0" w:color="auto"/>
        <w:left w:val="none" w:sz="0" w:space="0" w:color="auto"/>
        <w:bottom w:val="none" w:sz="0" w:space="0" w:color="auto"/>
        <w:right w:val="none" w:sz="0" w:space="0" w:color="auto"/>
      </w:divBdr>
    </w:div>
    <w:div w:id="1997755057">
      <w:bodyDiv w:val="1"/>
      <w:marLeft w:val="0"/>
      <w:marRight w:val="0"/>
      <w:marTop w:val="0"/>
      <w:marBottom w:val="0"/>
      <w:divBdr>
        <w:top w:val="none" w:sz="0" w:space="0" w:color="auto"/>
        <w:left w:val="none" w:sz="0" w:space="0" w:color="auto"/>
        <w:bottom w:val="none" w:sz="0" w:space="0" w:color="auto"/>
        <w:right w:val="none" w:sz="0" w:space="0" w:color="auto"/>
      </w:divBdr>
    </w:div>
    <w:div w:id="2095515364">
      <w:bodyDiv w:val="1"/>
      <w:marLeft w:val="0"/>
      <w:marRight w:val="0"/>
      <w:marTop w:val="0"/>
      <w:marBottom w:val="0"/>
      <w:divBdr>
        <w:top w:val="none" w:sz="0" w:space="0" w:color="auto"/>
        <w:left w:val="none" w:sz="0" w:space="0" w:color="auto"/>
        <w:bottom w:val="none" w:sz="0" w:space="0" w:color="auto"/>
        <w:right w:val="none" w:sz="0" w:space="0" w:color="auto"/>
      </w:divBdr>
    </w:div>
    <w:div w:id="21456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http://www.pophealthmetrics.com/sfx_links?ui=1478-7954-10-11&amp;bibl=B11" TargetMode="Externa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yperlink" Target="http://www.heart.org/HEARTORG/Conditions/Cholesterol/AboutCholesterol/Good-vs-Bad-Cholesterol_UCM_305561_Article.jsp" TargetMode="Externa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DF1C9-BAF4-4794-9C30-09AA3DCB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FC05C0DF.dotm</Template>
  <TotalTime>0</TotalTime>
  <Pages>29</Pages>
  <Words>10037</Words>
  <Characters>57214</Characters>
  <Application>Microsoft Office Word</Application>
  <DocSecurity>0</DocSecurity>
  <Lines>476</Lines>
  <Paragraphs>134</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RWI Essen</Company>
  <LinksUpToDate>false</LinksUpToDate>
  <CharactersWithSpaces>67117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Andrew Jones</cp:lastModifiedBy>
  <cp:revision>2</cp:revision>
  <cp:lastPrinted>2016-05-03T10:14:00Z</cp:lastPrinted>
  <dcterms:created xsi:type="dcterms:W3CDTF">2016-05-20T11:39:00Z</dcterms:created>
  <dcterms:modified xsi:type="dcterms:W3CDTF">2016-05-20T11:39:00Z</dcterms:modified>
</cp:coreProperties>
</file>