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2A77A" w14:textId="376809AA" w:rsidR="00D6405F" w:rsidRDefault="00183AC0" w:rsidP="00CE1820">
      <w:pPr>
        <w:rPr>
          <w:b/>
        </w:rPr>
      </w:pPr>
      <w:r w:rsidRPr="006812DB">
        <w:rPr>
          <w:b/>
        </w:rPr>
        <w:t>Canons of Environmental Law: Pollution of Churches and the Regulation of the Medieval ‘Environment’</w:t>
      </w:r>
    </w:p>
    <w:p w14:paraId="5C7FD088" w14:textId="77777777" w:rsidR="00183AC0" w:rsidRPr="00684F83" w:rsidRDefault="00183AC0" w:rsidP="00CE1820">
      <w:pPr>
        <w:rPr>
          <w:b/>
        </w:rPr>
      </w:pPr>
    </w:p>
    <w:p w14:paraId="239AF4FC" w14:textId="72F2489C" w:rsidR="003F3891" w:rsidRPr="00985500" w:rsidRDefault="00183AC0" w:rsidP="00CE1820">
      <w:pPr>
        <w:rPr>
          <w:lang w:val="en-US"/>
        </w:rPr>
      </w:pPr>
      <w:r w:rsidRPr="00985500">
        <w:rPr>
          <w:lang w:val="en-US"/>
        </w:rPr>
        <w:t>Laurence Etherington</w:t>
      </w:r>
      <w:r w:rsidR="00DB38F8">
        <w:rPr>
          <w:lang w:val="en-US"/>
        </w:rPr>
        <w:t>*</w:t>
      </w:r>
    </w:p>
    <w:p w14:paraId="16295E87" w14:textId="7DDE9C4D" w:rsidR="00183AC0" w:rsidRDefault="00183AC0" w:rsidP="00CE1820">
      <w:pPr>
        <w:rPr>
          <w:lang w:val="en-US"/>
        </w:rPr>
      </w:pPr>
      <w:r w:rsidRPr="00985500">
        <w:rPr>
          <w:lang w:val="en-US"/>
        </w:rPr>
        <w:t>York Law School</w:t>
      </w:r>
      <w:r w:rsidR="00DB38F8">
        <w:rPr>
          <w:lang w:val="en-US"/>
        </w:rPr>
        <w:t xml:space="preserve">, </w:t>
      </w:r>
      <w:r w:rsidRPr="00985500">
        <w:rPr>
          <w:lang w:val="en-US"/>
        </w:rPr>
        <w:t>University of York</w:t>
      </w:r>
    </w:p>
    <w:p w14:paraId="6FF22833" w14:textId="77777777" w:rsidR="00183AC0" w:rsidRDefault="00183AC0" w:rsidP="00CE1820"/>
    <w:p w14:paraId="44B2E111" w14:textId="525B6B05" w:rsidR="001A0A18" w:rsidRPr="00206C6B" w:rsidRDefault="001A0A18" w:rsidP="00CE1820">
      <w:pPr>
        <w:rPr>
          <w:i/>
        </w:rPr>
      </w:pPr>
      <w:r w:rsidRPr="00206C6B">
        <w:rPr>
          <w:i/>
        </w:rPr>
        <w:t xml:space="preserve">The </w:t>
      </w:r>
      <w:r w:rsidR="00487DA3" w:rsidRPr="00206C6B">
        <w:rPr>
          <w:i/>
        </w:rPr>
        <w:t>canon law rules addressing</w:t>
      </w:r>
      <w:r w:rsidR="00257747">
        <w:rPr>
          <w:i/>
        </w:rPr>
        <w:t xml:space="preserve"> ‘C</w:t>
      </w:r>
      <w:r w:rsidRPr="00206C6B">
        <w:rPr>
          <w:i/>
        </w:rPr>
        <w:t xml:space="preserve">hurch </w:t>
      </w:r>
      <w:r w:rsidR="00257747">
        <w:rPr>
          <w:i/>
        </w:rPr>
        <w:t>P</w:t>
      </w:r>
      <w:r w:rsidRPr="00206C6B">
        <w:rPr>
          <w:i/>
        </w:rPr>
        <w:t>ollution’ provide a long-standing example of social regulation. A survey of historical material, and secondary sources, identifies a sophisticated set of precepts that developed over centuries. This development included application to one of the most important events in Medieval England: the murder of Thomas Becket. Perhaps more importantly, the regime was widely used and so of great significance t</w:t>
      </w:r>
      <w:r w:rsidR="002749AC" w:rsidRPr="00206C6B">
        <w:rPr>
          <w:i/>
        </w:rPr>
        <w:t>o the ordinary citizens of the Middle A</w:t>
      </w:r>
      <w:r w:rsidRPr="00206C6B">
        <w:rPr>
          <w:i/>
        </w:rPr>
        <w:t xml:space="preserve">ges. Though largely historic, more recent examples of </w:t>
      </w:r>
      <w:r w:rsidR="002749AC" w:rsidRPr="00206C6B">
        <w:rPr>
          <w:i/>
        </w:rPr>
        <w:t>employment</w:t>
      </w:r>
      <w:r w:rsidRPr="00206C6B">
        <w:rPr>
          <w:i/>
        </w:rPr>
        <w:t xml:space="preserve"> can also be found. When viewed through a contemporary lens, there are some connections that can be made with modern concepts of ‘pollution’ and contemporary environmental law</w:t>
      </w:r>
      <w:r w:rsidR="002749AC" w:rsidRPr="00206C6B">
        <w:rPr>
          <w:i/>
        </w:rPr>
        <w:t xml:space="preserve"> and policy</w:t>
      </w:r>
      <w:r w:rsidR="00161707" w:rsidRPr="00206C6B">
        <w:rPr>
          <w:i/>
        </w:rPr>
        <w:t>, such as that relating the Contaminated Land</w:t>
      </w:r>
      <w:r w:rsidRPr="00206C6B">
        <w:rPr>
          <w:i/>
        </w:rPr>
        <w:t xml:space="preserve">. </w:t>
      </w:r>
      <w:r w:rsidR="00206C6B" w:rsidRPr="00206C6B">
        <w:rPr>
          <w:i/>
        </w:rPr>
        <w:t xml:space="preserve">Whilst the relationships should not be overplayed, that analysis suggests a social and cultural heritage that has been drawn upon, whether consciously or not. </w:t>
      </w:r>
      <w:r w:rsidRPr="00206C6B">
        <w:rPr>
          <w:i/>
        </w:rPr>
        <w:t>When attempting to view m</w:t>
      </w:r>
      <w:r w:rsidR="002749AC" w:rsidRPr="00206C6B">
        <w:rPr>
          <w:i/>
        </w:rPr>
        <w:t>atters from the perspective of M</w:t>
      </w:r>
      <w:r w:rsidR="00161707" w:rsidRPr="00206C6B">
        <w:rPr>
          <w:i/>
        </w:rPr>
        <w:t>edieval society, so conceptualising the ‘environment’ to include consideration and protection of the spiritual environment, furth</w:t>
      </w:r>
      <w:r w:rsidRPr="00206C6B">
        <w:rPr>
          <w:i/>
        </w:rPr>
        <w:t xml:space="preserve">er associations can be found. The differences in focus for the regulatory endeavours reflect differing </w:t>
      </w:r>
      <w:r w:rsidR="00161707" w:rsidRPr="00206C6B">
        <w:rPr>
          <w:i/>
        </w:rPr>
        <w:t xml:space="preserve">fears, </w:t>
      </w:r>
      <w:r w:rsidRPr="00206C6B">
        <w:rPr>
          <w:i/>
        </w:rPr>
        <w:t xml:space="preserve">values and priorities. They also identify how these factors influence our definition and regulation of ‘pollution’. </w:t>
      </w:r>
    </w:p>
    <w:p w14:paraId="022087EF" w14:textId="77777777" w:rsidR="003A2282" w:rsidRPr="00206C6B" w:rsidRDefault="003A2282" w:rsidP="00CE1820">
      <w:pPr>
        <w:rPr>
          <w:b/>
        </w:rPr>
      </w:pPr>
    </w:p>
    <w:p w14:paraId="0AF03EBC" w14:textId="48C17410" w:rsidR="00DB38F8" w:rsidRPr="00DB38F8" w:rsidRDefault="00DB38F8" w:rsidP="00CE1820">
      <w:pPr>
        <w:rPr>
          <w:i/>
          <w:sz w:val="22"/>
          <w:szCs w:val="22"/>
        </w:rPr>
      </w:pPr>
      <w:r w:rsidRPr="00DB38F8">
        <w:rPr>
          <w:i/>
          <w:sz w:val="22"/>
          <w:szCs w:val="22"/>
          <w:lang w:val="en-US"/>
        </w:rPr>
        <w:t>Laurence Etherington, York Law School, University of York, Freboys Lane, Heslington East, York YO10 5GD</w:t>
      </w:r>
      <w:r w:rsidR="004F1AEA">
        <w:rPr>
          <w:i/>
          <w:sz w:val="22"/>
          <w:szCs w:val="22"/>
          <w:lang w:val="en-US"/>
        </w:rPr>
        <w:t>, UK</w:t>
      </w:r>
      <w:r w:rsidRPr="00DB38F8">
        <w:rPr>
          <w:i/>
          <w:sz w:val="22"/>
          <w:szCs w:val="22"/>
          <w:lang w:val="en-US"/>
        </w:rPr>
        <w:t>. Email: laurence.etherington@york.ac.uk</w:t>
      </w:r>
    </w:p>
    <w:p w14:paraId="350B7EBE" w14:textId="77777777" w:rsidR="00183AC0" w:rsidRDefault="00183AC0" w:rsidP="00CE1820">
      <w:pPr>
        <w:jc w:val="both"/>
        <w:rPr>
          <w:b/>
        </w:rPr>
      </w:pPr>
    </w:p>
    <w:p w14:paraId="36455978" w14:textId="77777777" w:rsidR="00DB38F8" w:rsidRPr="00BD7537" w:rsidRDefault="00DB38F8" w:rsidP="00CE1820">
      <w:pPr>
        <w:jc w:val="both"/>
        <w:rPr>
          <w:b/>
        </w:rPr>
      </w:pPr>
    </w:p>
    <w:p w14:paraId="150A0B3B" w14:textId="77777777" w:rsidR="00183AC0" w:rsidRPr="0004530D" w:rsidRDefault="00183AC0" w:rsidP="00CE1820">
      <w:pPr>
        <w:jc w:val="center"/>
        <w:rPr>
          <w:b/>
        </w:rPr>
      </w:pPr>
      <w:r>
        <w:rPr>
          <w:b/>
        </w:rPr>
        <w:t>INTRODUCTION</w:t>
      </w:r>
    </w:p>
    <w:p w14:paraId="3D5D967F" w14:textId="77777777" w:rsidR="00183AC0" w:rsidRPr="0004530D" w:rsidRDefault="00183AC0" w:rsidP="00CE1820"/>
    <w:p w14:paraId="4A636B97" w14:textId="59E855FF" w:rsidR="00183AC0" w:rsidRPr="0004530D" w:rsidRDefault="00183AC0" w:rsidP="00CE1820">
      <w:r w:rsidRPr="0004530D">
        <w:t xml:space="preserve">On 29 December 1170, four of King Henry II’s knights confronted </w:t>
      </w:r>
      <w:r w:rsidRPr="0004530D">
        <w:rPr>
          <w:lang w:val="en-US"/>
        </w:rPr>
        <w:t>Thomas Becket</w:t>
      </w:r>
      <w:r>
        <w:rPr>
          <w:lang w:val="en-US"/>
        </w:rPr>
        <w:t xml:space="preserve">, </w:t>
      </w:r>
      <w:r w:rsidRPr="0004530D">
        <w:rPr>
          <w:lang w:val="en-US"/>
        </w:rPr>
        <w:t>Archbishop of Canterbury, in Canterbury Cathedral, and murdered him.</w:t>
      </w:r>
      <w:r w:rsidRPr="0004530D">
        <w:rPr>
          <w:rStyle w:val="FootnoteReference"/>
          <w:lang w:val="en-US"/>
        </w:rPr>
        <w:footnoteReference w:id="1"/>
      </w:r>
      <w:r w:rsidRPr="0004530D">
        <w:rPr>
          <w:lang w:val="en-US"/>
        </w:rPr>
        <w:t xml:space="preserve"> </w:t>
      </w:r>
      <w:r>
        <w:rPr>
          <w:lang w:val="en-US"/>
        </w:rPr>
        <w:t>This was a bloody</w:t>
      </w:r>
      <w:r w:rsidRPr="0004530D">
        <w:rPr>
          <w:lang w:val="en-US"/>
        </w:rPr>
        <w:t xml:space="preserve"> event,</w:t>
      </w:r>
      <w:r w:rsidR="0017372E">
        <w:rPr>
          <w:rStyle w:val="FootnoteReference"/>
          <w:lang w:val="en-US"/>
        </w:rPr>
        <w:footnoteReference w:id="2"/>
      </w:r>
      <w:r w:rsidR="005830A4">
        <w:rPr>
          <w:lang w:val="en-US"/>
        </w:rPr>
        <w:t xml:space="preserve"> with reports that the monks ‘</w:t>
      </w:r>
      <w:r w:rsidRPr="0004530D">
        <w:rPr>
          <w:lang w:val="en-US"/>
        </w:rPr>
        <w:t xml:space="preserve">gathered the </w:t>
      </w:r>
      <w:r w:rsidRPr="0004530D">
        <w:rPr>
          <w:lang w:val="en-US"/>
        </w:rPr>
        <w:lastRenderedPageBreak/>
        <w:t xml:space="preserve">blood and the brains of </w:t>
      </w:r>
      <w:r w:rsidR="005830A4">
        <w:rPr>
          <w:lang w:val="en-US"/>
        </w:rPr>
        <w:t>the new martyr that had spilled’</w:t>
      </w:r>
      <w:r w:rsidRPr="0004530D">
        <w:rPr>
          <w:lang w:val="en-US"/>
        </w:rPr>
        <w:t>.</w:t>
      </w:r>
      <w:r w:rsidRPr="0004530D">
        <w:rPr>
          <w:rStyle w:val="FootnoteReference"/>
          <w:lang w:val="en-US"/>
        </w:rPr>
        <w:footnoteReference w:id="3"/>
      </w:r>
      <w:r w:rsidRPr="0004530D">
        <w:rPr>
          <w:lang w:val="en-US"/>
        </w:rPr>
        <w:t xml:space="preserve"> </w:t>
      </w:r>
      <w:r w:rsidRPr="0004530D">
        <w:t>On Sunday morning, the 28</w:t>
      </w:r>
      <w:r w:rsidRPr="0004530D">
        <w:rPr>
          <w:vertAlign w:val="superscript"/>
        </w:rPr>
        <w:t>th</w:t>
      </w:r>
      <w:r w:rsidR="005830A4">
        <w:t xml:space="preserve"> of September 1890, ‘</w:t>
      </w:r>
      <w:r w:rsidRPr="0004530D">
        <w:t>A.B. attended the service in the Cathedral of St. Paul’s, as one of the congregation, and during the service shot himself dead</w:t>
      </w:r>
      <w:r w:rsidR="00066368">
        <w:t>’</w:t>
      </w:r>
      <w:r w:rsidR="009066CE">
        <w:t xml:space="preserve"> (the ‘St Paul’s case’)</w:t>
      </w:r>
      <w:r w:rsidRPr="0004530D">
        <w:t>.</w:t>
      </w:r>
      <w:r w:rsidRPr="0004530D">
        <w:rPr>
          <w:rStyle w:val="FootnoteReference"/>
        </w:rPr>
        <w:footnoteReference w:id="4"/>
      </w:r>
      <w:r w:rsidRPr="0004530D">
        <w:t xml:space="preserve"> </w:t>
      </w:r>
      <w:r>
        <w:t>On February 4, 2010, Redland Minerals Ltd</w:t>
      </w:r>
      <w:r w:rsidR="00F02E30">
        <w:t xml:space="preserve"> unsuccessfully challenged regulatory requirement to clean up </w:t>
      </w:r>
      <w:r>
        <w:t xml:space="preserve">contaminated land and pollution of the public water </w:t>
      </w:r>
      <w:r w:rsidR="00F02E30">
        <w:t>supply</w:t>
      </w:r>
      <w:r>
        <w:t>.</w:t>
      </w:r>
      <w:r>
        <w:rPr>
          <w:rStyle w:val="FootnoteReference"/>
        </w:rPr>
        <w:footnoteReference w:id="5"/>
      </w:r>
      <w:r>
        <w:t xml:space="preserve"> </w:t>
      </w:r>
      <w:r w:rsidRPr="0004530D">
        <w:t xml:space="preserve">Separated by over </w:t>
      </w:r>
      <w:r>
        <w:t>8</w:t>
      </w:r>
      <w:r w:rsidRPr="0004530D">
        <w:t xml:space="preserve">00 years, these </w:t>
      </w:r>
      <w:r>
        <w:t>case</w:t>
      </w:r>
      <w:r w:rsidRPr="0004530D">
        <w:t xml:space="preserve">s </w:t>
      </w:r>
      <w:r w:rsidRPr="0004530D">
        <w:rPr>
          <w:lang w:val="en-US"/>
        </w:rPr>
        <w:t xml:space="preserve">involved </w:t>
      </w:r>
      <w:r>
        <w:rPr>
          <w:lang w:val="en-US"/>
        </w:rPr>
        <w:t xml:space="preserve">polluting events of differing kinds – the first two involving </w:t>
      </w:r>
      <w:r w:rsidRPr="0004530D">
        <w:rPr>
          <w:lang w:val="en-US"/>
        </w:rPr>
        <w:t xml:space="preserve">both violent act and shedding of blood so as to ‘pollute’ the Cathedrals as sacred spaces. </w:t>
      </w:r>
      <w:r w:rsidR="00066368">
        <w:rPr>
          <w:lang w:val="en-US"/>
        </w:rPr>
        <w:t>Questions were</w:t>
      </w:r>
      <w:r w:rsidRPr="0004530D">
        <w:rPr>
          <w:lang w:val="en-US"/>
        </w:rPr>
        <w:t xml:space="preserve"> also raised as to the appropriate legal response; in particular what was required by way of remedial action to deal with the resulting ‘pollution’. </w:t>
      </w:r>
    </w:p>
    <w:p w14:paraId="63235772" w14:textId="77777777" w:rsidR="00183AC0" w:rsidRPr="0004530D" w:rsidRDefault="00183AC0" w:rsidP="00CE1820">
      <w:pPr>
        <w:pStyle w:val="FootnoteText"/>
        <w:rPr>
          <w:rFonts w:asciiTheme="minorHAnsi" w:hAnsiTheme="minorHAnsi"/>
          <w:sz w:val="24"/>
          <w:lang w:val="en-US"/>
        </w:rPr>
      </w:pPr>
    </w:p>
    <w:p w14:paraId="06A59BFD" w14:textId="5459207E" w:rsidR="00206C6B" w:rsidRPr="00D159AB" w:rsidRDefault="00183AC0" w:rsidP="00206C6B">
      <w:r w:rsidRPr="0004530D">
        <w:rPr>
          <w:lang w:val="en-US"/>
        </w:rPr>
        <w:t xml:space="preserve">Canon (or ecclesiastical) law rules regarding the protection of churches provide </w:t>
      </w:r>
      <w:r w:rsidR="009D5E8C">
        <w:t xml:space="preserve">an interesting example of historic regulation – connecting history, law and religion. </w:t>
      </w:r>
      <w:r w:rsidR="00206C6B">
        <w:t>Associa</w:t>
      </w:r>
      <w:r w:rsidRPr="0004530D">
        <w:rPr>
          <w:lang w:val="en-US"/>
        </w:rPr>
        <w:t>tions between law and</w:t>
      </w:r>
      <w:r w:rsidR="009D5E8C">
        <w:rPr>
          <w:lang w:val="en-US"/>
        </w:rPr>
        <w:t xml:space="preserve"> history, law and religion, and religion and the environment ar</w:t>
      </w:r>
      <w:r w:rsidRPr="0004530D">
        <w:rPr>
          <w:lang w:val="en-US"/>
        </w:rPr>
        <w:t>e well established.</w:t>
      </w:r>
      <w:r w:rsidRPr="0004530D">
        <w:rPr>
          <w:rStyle w:val="FootnoteReference"/>
          <w:lang w:val="en-US"/>
        </w:rPr>
        <w:footnoteReference w:id="6"/>
      </w:r>
      <w:r w:rsidRPr="0004530D">
        <w:rPr>
          <w:lang w:val="en-US"/>
        </w:rPr>
        <w:t xml:space="preserve"> </w:t>
      </w:r>
      <w:r w:rsidRPr="00BD7537">
        <w:rPr>
          <w:lang w:val="en-US"/>
        </w:rPr>
        <w:t xml:space="preserve">This paper will consider </w:t>
      </w:r>
      <w:r w:rsidR="0015193E">
        <w:rPr>
          <w:lang w:val="en-US"/>
        </w:rPr>
        <w:t>some of these</w:t>
      </w:r>
      <w:r w:rsidRPr="00BD7537">
        <w:rPr>
          <w:lang w:val="en-US"/>
        </w:rPr>
        <w:t>, but without seeking to contribute to the debate on the normative relationship between environmental law and religion.</w:t>
      </w:r>
      <w:r>
        <w:rPr>
          <w:lang w:val="en-US"/>
        </w:rPr>
        <w:t xml:space="preserve"> </w:t>
      </w:r>
      <w:r w:rsidRPr="00BD7537">
        <w:rPr>
          <w:lang w:val="en-US"/>
        </w:rPr>
        <w:t xml:space="preserve">Instead, the aim is to </w:t>
      </w:r>
      <w:r w:rsidRPr="00BD7537">
        <w:t xml:space="preserve">explore the Canon Law (and </w:t>
      </w:r>
      <w:r>
        <w:t xml:space="preserve">largely historical) offence of </w:t>
      </w:r>
      <w:r w:rsidR="00257747">
        <w:t>‘Church Pollution’</w:t>
      </w:r>
      <w:r w:rsidRPr="00BD7537">
        <w:t xml:space="preserve">, and to identify </w:t>
      </w:r>
      <w:r w:rsidR="009D5E8C">
        <w:t>association</w:t>
      </w:r>
      <w:r>
        <w:t>s</w:t>
      </w:r>
      <w:r w:rsidRPr="00BD7537">
        <w:t xml:space="preserve"> with, and possible influences upon, cont</w:t>
      </w:r>
      <w:r>
        <w:t>emporary notions of environmental law</w:t>
      </w:r>
      <w:r w:rsidRPr="00D159AB">
        <w:t xml:space="preserve">. This includes some of the basic principles underpinning contemporary environmental law, the regulatory structures used to protect the environment, and moral </w:t>
      </w:r>
      <w:r w:rsidR="00C1537A">
        <w:t>foundation</w:t>
      </w:r>
      <w:r w:rsidR="00206C6B" w:rsidRPr="00D159AB">
        <w:t xml:space="preserve">s </w:t>
      </w:r>
      <w:r w:rsidRPr="00D159AB">
        <w:t>f</w:t>
      </w:r>
      <w:r w:rsidR="00206C6B" w:rsidRPr="00D159AB">
        <w:t>or</w:t>
      </w:r>
      <w:r w:rsidRPr="00D159AB">
        <w:t xml:space="preserve"> the concept of pollution. </w:t>
      </w:r>
      <w:r w:rsidR="00206C6B" w:rsidRPr="00D159AB">
        <w:t xml:space="preserve">A particular aim is to highlight how construction of notions of the ‘environment’ and prioritisation of different aspects for regulation may reflect changing social </w:t>
      </w:r>
      <w:r w:rsidR="00D159AB" w:rsidRPr="00D159AB">
        <w:t>concerns (or fears) and deeply held values, but the approaches and techniques directed to very different forms of ‘environmental protection’ bear some striking similarities.</w:t>
      </w:r>
    </w:p>
    <w:p w14:paraId="41ADE9F3" w14:textId="77777777" w:rsidR="00183AC0" w:rsidRDefault="00183AC0" w:rsidP="00CE1820"/>
    <w:p w14:paraId="47F4DF9A" w14:textId="5FE31836" w:rsidR="009D5E8C" w:rsidRDefault="009D5E8C" w:rsidP="00CE1820">
      <w:r>
        <w:t>The first part of the article comprises an exploration of</w:t>
      </w:r>
      <w:r w:rsidR="00183AC0">
        <w:t xml:space="preserve"> the Canon La</w:t>
      </w:r>
      <w:r w:rsidR="00257747">
        <w:t>w provisions relating to C</w:t>
      </w:r>
      <w:r w:rsidR="0015193E">
        <w:t>hurch</w:t>
      </w:r>
      <w:r>
        <w:t xml:space="preserve"> </w:t>
      </w:r>
      <w:r w:rsidR="00257747">
        <w:t>P</w:t>
      </w:r>
      <w:r>
        <w:t>ollution</w:t>
      </w:r>
      <w:r w:rsidR="00183AC0">
        <w:t xml:space="preserve">. </w:t>
      </w:r>
      <w:r w:rsidR="00E94288">
        <w:t>The second part provides s</w:t>
      </w:r>
      <w:r w:rsidR="00183AC0">
        <w:t>ome comparative analysis with contemporary environmental regulation</w:t>
      </w:r>
      <w:r w:rsidR="00D159AB">
        <w:t xml:space="preserve"> </w:t>
      </w:r>
      <w:r w:rsidR="00D159AB" w:rsidRPr="00D159AB">
        <w:t>(using regulation of ‘Contaminated Land’ for illustration)</w:t>
      </w:r>
      <w:r w:rsidR="00183AC0">
        <w:t xml:space="preserve">. </w:t>
      </w:r>
      <w:r w:rsidR="00C8630D">
        <w:t>As much as</w:t>
      </w:r>
      <w:r w:rsidR="00183AC0">
        <w:t xml:space="preserve"> similarity, however, the focus is on fundamental societal differences. </w:t>
      </w:r>
      <w:r w:rsidR="00183AC0" w:rsidRPr="00196C36">
        <w:t>The context for this historical offence - the centrality of religion to medieval life – identifies the changing social concerns</w:t>
      </w:r>
      <w:r w:rsidR="0015193E" w:rsidRPr="00196C36">
        <w:t xml:space="preserve"> </w:t>
      </w:r>
      <w:r w:rsidR="00183AC0" w:rsidRPr="00196C36">
        <w:t>and structures within wh</w:t>
      </w:r>
      <w:r w:rsidR="00E94288" w:rsidRPr="00196C36">
        <w:t>ich ‘environmental l</w:t>
      </w:r>
      <w:r w:rsidR="00183AC0" w:rsidRPr="00196C36">
        <w:t xml:space="preserve">aw’ might be conceived, </w:t>
      </w:r>
      <w:r w:rsidR="00183AC0" w:rsidRPr="00066368">
        <w:t xml:space="preserve">developed, and within which it operates. The article concludes </w:t>
      </w:r>
      <w:r w:rsidRPr="00066368">
        <w:t>by identifying how those societal changes illustrate</w:t>
      </w:r>
      <w:r w:rsidR="00066368" w:rsidRPr="00066368">
        <w:t xml:space="preserve"> differing fears, and the</w:t>
      </w:r>
      <w:r w:rsidRPr="00066368">
        <w:t xml:space="preserve"> shifting values and priorities that are the concern of contemporary environmental law.</w:t>
      </w:r>
      <w:r>
        <w:t xml:space="preserve"> </w:t>
      </w:r>
    </w:p>
    <w:p w14:paraId="1832E5FF" w14:textId="77777777" w:rsidR="00425C60" w:rsidRDefault="00425C60" w:rsidP="00CE1820">
      <w:pPr>
        <w:rPr>
          <w:lang w:val="en-US"/>
        </w:rPr>
      </w:pPr>
    </w:p>
    <w:p w14:paraId="73AE3350" w14:textId="77777777" w:rsidR="00183AC0" w:rsidRDefault="00183AC0" w:rsidP="00CE1820"/>
    <w:p w14:paraId="7CF36F6E" w14:textId="77777777" w:rsidR="00183AC0" w:rsidRDefault="00F02E30" w:rsidP="00CE1820">
      <w:pPr>
        <w:jc w:val="center"/>
        <w:rPr>
          <w:b/>
        </w:rPr>
      </w:pPr>
      <w:r>
        <w:rPr>
          <w:b/>
        </w:rPr>
        <w:t>I</w:t>
      </w:r>
      <w:r w:rsidR="00BB702A">
        <w:rPr>
          <w:b/>
        </w:rPr>
        <w:t xml:space="preserve"> CANON LAW REGULATION OF THE POLLUTION OF CHURCHES</w:t>
      </w:r>
    </w:p>
    <w:p w14:paraId="2206DA68" w14:textId="77777777" w:rsidR="00183AC0" w:rsidRPr="00BD7537" w:rsidRDefault="00183AC0" w:rsidP="00CE1820">
      <w:pPr>
        <w:rPr>
          <w:b/>
        </w:rPr>
      </w:pPr>
    </w:p>
    <w:p w14:paraId="7BF57C9A" w14:textId="77777777" w:rsidR="00183AC0" w:rsidRPr="00BD7537" w:rsidRDefault="00183AC0" w:rsidP="00CE1820">
      <w:pPr>
        <w:rPr>
          <w:b/>
        </w:rPr>
      </w:pPr>
      <w:r w:rsidRPr="00BD7537">
        <w:rPr>
          <w:b/>
        </w:rPr>
        <w:t>Outline of ‘Church Pollution’</w:t>
      </w:r>
    </w:p>
    <w:p w14:paraId="13BA2253" w14:textId="77777777" w:rsidR="00183AC0" w:rsidRDefault="00183AC0" w:rsidP="00CE1820">
      <w:pPr>
        <w:widowControl w:val="0"/>
        <w:autoSpaceDE w:val="0"/>
        <w:autoSpaceDN w:val="0"/>
        <w:adjustRightInd w:val="0"/>
        <w:rPr>
          <w:lang w:val="en-US"/>
        </w:rPr>
      </w:pPr>
    </w:p>
    <w:p w14:paraId="66C37FB9" w14:textId="02A6C607" w:rsidR="00183AC0" w:rsidRPr="0004530D" w:rsidRDefault="00183AC0" w:rsidP="00CE1820">
      <w:pPr>
        <w:widowControl w:val="0"/>
        <w:autoSpaceDE w:val="0"/>
        <w:autoSpaceDN w:val="0"/>
        <w:adjustRightInd w:val="0"/>
        <w:rPr>
          <w:lang w:val="en-US"/>
        </w:rPr>
      </w:pPr>
      <w:r w:rsidRPr="0004530D">
        <w:rPr>
          <w:lang w:val="en-US"/>
        </w:rPr>
        <w:t>Becket’s murder is recognised as one of the key events in Medieval England.</w:t>
      </w:r>
      <w:r w:rsidR="00917046">
        <w:rPr>
          <w:rStyle w:val="FootnoteReference"/>
          <w:lang w:val="en-US"/>
        </w:rPr>
        <w:footnoteReference w:id="7"/>
      </w:r>
      <w:r w:rsidR="00917046" w:rsidRPr="00BD7537">
        <w:rPr>
          <w:lang w:val="en-US"/>
        </w:rPr>
        <w:t xml:space="preserve"> </w:t>
      </w:r>
      <w:r w:rsidRPr="0004530D">
        <w:rPr>
          <w:lang w:val="en-US"/>
        </w:rPr>
        <w:t xml:space="preserve">What is perhaps less well known is the impact of that event on the Cathedral itself, </w:t>
      </w:r>
      <w:r w:rsidR="00CC6131">
        <w:rPr>
          <w:lang w:val="en-US"/>
        </w:rPr>
        <w:t xml:space="preserve">and </w:t>
      </w:r>
      <w:r w:rsidRPr="0004530D">
        <w:rPr>
          <w:lang w:val="en-US"/>
        </w:rPr>
        <w:t>the community using it,</w:t>
      </w:r>
      <w:r w:rsidR="00CC6131">
        <w:rPr>
          <w:lang w:val="en-US"/>
        </w:rPr>
        <w:t xml:space="preserve"> as a result of the</w:t>
      </w:r>
      <w:r w:rsidR="00257747">
        <w:rPr>
          <w:lang w:val="en-US"/>
        </w:rPr>
        <w:t xml:space="preserve"> </w:t>
      </w:r>
      <w:r w:rsidR="00CC6131">
        <w:rPr>
          <w:lang w:val="en-US"/>
        </w:rPr>
        <w:t>‘p</w:t>
      </w:r>
      <w:r w:rsidRPr="0004530D">
        <w:rPr>
          <w:lang w:val="en-US"/>
        </w:rPr>
        <w:t>ollution</w:t>
      </w:r>
      <w:r>
        <w:rPr>
          <w:lang w:val="en-US"/>
        </w:rPr>
        <w:t>.</w:t>
      </w:r>
      <w:r w:rsidRPr="0004530D">
        <w:rPr>
          <w:lang w:val="en-US"/>
        </w:rPr>
        <w:t xml:space="preserve"> </w:t>
      </w:r>
      <w:r w:rsidRPr="0004530D">
        <w:t>In</w:t>
      </w:r>
      <w:r w:rsidRPr="0004530D">
        <w:rPr>
          <w:lang w:val="en-US"/>
        </w:rPr>
        <w:t xml:space="preserve"> addition to the political and personal consequences for the parties to this act,</w:t>
      </w:r>
      <w:r w:rsidRPr="0004530D">
        <w:rPr>
          <w:rStyle w:val="FootnoteReference"/>
          <w:lang w:val="en-US"/>
        </w:rPr>
        <w:footnoteReference w:id="8"/>
      </w:r>
      <w:r w:rsidRPr="0004530D">
        <w:rPr>
          <w:lang w:val="en-US"/>
        </w:rPr>
        <w:t xml:space="preserve"> no services were held at the Cathedral for almost one year, </w:t>
      </w:r>
      <w:r w:rsidR="00E01D9F">
        <w:rPr>
          <w:lang w:val="en-US"/>
        </w:rPr>
        <w:t xml:space="preserve">with sacraments suspended in the meantime, </w:t>
      </w:r>
      <w:r w:rsidRPr="0004530D">
        <w:rPr>
          <w:lang w:val="en-US"/>
        </w:rPr>
        <w:t>because of the tainting by pollution of blood</w:t>
      </w:r>
      <w:r w:rsidR="00E01D9F">
        <w:rPr>
          <w:lang w:val="en-US"/>
        </w:rPr>
        <w:t>.</w:t>
      </w:r>
      <w:r w:rsidRPr="0004530D">
        <w:rPr>
          <w:rStyle w:val="FootnoteReference"/>
          <w:lang w:val="en-US"/>
        </w:rPr>
        <w:footnoteReference w:id="9"/>
      </w:r>
      <w:r w:rsidRPr="0004530D">
        <w:rPr>
          <w:lang w:val="en-US"/>
        </w:rPr>
        <w:t xml:space="preserve"> </w:t>
      </w:r>
      <w:r w:rsidR="00E01D9F">
        <w:rPr>
          <w:lang w:val="en-US"/>
        </w:rPr>
        <w:t xml:space="preserve">This prevented </w:t>
      </w:r>
      <w:r>
        <w:rPr>
          <w:lang w:val="en-US"/>
        </w:rPr>
        <w:t>a</w:t>
      </w:r>
      <w:r w:rsidRPr="0004530D">
        <w:rPr>
          <w:lang w:val="en-US"/>
        </w:rPr>
        <w:t xml:space="preserve"> funeral Mass or other public service </w:t>
      </w:r>
      <w:r w:rsidR="00E01D9F">
        <w:rPr>
          <w:lang w:val="en-US"/>
        </w:rPr>
        <w:t xml:space="preserve">at the Cathedral </w:t>
      </w:r>
      <w:r w:rsidRPr="0004530D">
        <w:rPr>
          <w:lang w:val="en-US"/>
        </w:rPr>
        <w:t>for Becket himself.</w:t>
      </w:r>
      <w:r w:rsidRPr="0004530D">
        <w:rPr>
          <w:rStyle w:val="FootnoteReference"/>
          <w:lang w:val="en-US"/>
        </w:rPr>
        <w:footnoteReference w:id="10"/>
      </w:r>
      <w:r w:rsidRPr="0004530D">
        <w:rPr>
          <w:lang w:val="en-US"/>
        </w:rPr>
        <w:t xml:space="preserve"> In the case of suicide at St. Paul’s,</w:t>
      </w:r>
      <w:r w:rsidR="00D159AB">
        <w:rPr>
          <w:rStyle w:val="FootnoteReference"/>
          <w:lang w:val="en-US"/>
        </w:rPr>
        <w:footnoteReference w:id="11"/>
      </w:r>
      <w:r w:rsidRPr="0004530D">
        <w:rPr>
          <w:lang w:val="en-US"/>
        </w:rPr>
        <w:t xml:space="preserve"> the question raised was what should be done by way of proper restoration in order to r</w:t>
      </w:r>
      <w:r>
        <w:rPr>
          <w:lang w:val="en-US"/>
        </w:rPr>
        <w:t>emedy the damage caused by the pollution</w:t>
      </w:r>
      <w:r w:rsidRPr="0004530D">
        <w:rPr>
          <w:lang w:val="en-US"/>
        </w:rPr>
        <w:t xml:space="preserve">. </w:t>
      </w:r>
    </w:p>
    <w:p w14:paraId="7507D789" w14:textId="77777777" w:rsidR="00183AC0" w:rsidRPr="00BD7537" w:rsidRDefault="00183AC0" w:rsidP="00CE1820">
      <w:pPr>
        <w:widowControl w:val="0"/>
        <w:autoSpaceDE w:val="0"/>
        <w:autoSpaceDN w:val="0"/>
        <w:adjustRightInd w:val="0"/>
        <w:rPr>
          <w:lang w:val="en-US"/>
        </w:rPr>
      </w:pPr>
    </w:p>
    <w:p w14:paraId="48E4A239" w14:textId="0D1365D9" w:rsidR="00183AC0" w:rsidRPr="00BD7537" w:rsidRDefault="00183AC0" w:rsidP="00CE1820">
      <w:pPr>
        <w:widowControl w:val="0"/>
        <w:autoSpaceDE w:val="0"/>
        <w:autoSpaceDN w:val="0"/>
        <w:adjustRightInd w:val="0"/>
        <w:rPr>
          <w:lang w:val="en-US"/>
        </w:rPr>
      </w:pPr>
      <w:r w:rsidRPr="00BD7537">
        <w:rPr>
          <w:lang w:val="en-US"/>
        </w:rPr>
        <w:t>Although very different in many respects, the Becket</w:t>
      </w:r>
      <w:r w:rsidR="00D159AB">
        <w:rPr>
          <w:lang w:val="en-US"/>
        </w:rPr>
        <w:t xml:space="preserve"> murder and St</w:t>
      </w:r>
      <w:r w:rsidR="009066CE">
        <w:rPr>
          <w:lang w:val="en-US"/>
        </w:rPr>
        <w:t>.</w:t>
      </w:r>
      <w:r w:rsidR="00D159AB">
        <w:rPr>
          <w:lang w:val="en-US"/>
        </w:rPr>
        <w:t xml:space="preserve"> Paul’s case</w:t>
      </w:r>
      <w:r w:rsidRPr="00BD7537">
        <w:rPr>
          <w:lang w:val="en-US"/>
        </w:rPr>
        <w:t xml:space="preserve"> provide illustrations of the system long established under Canon Law by which </w:t>
      </w:r>
      <w:r>
        <w:rPr>
          <w:lang w:val="en-US"/>
        </w:rPr>
        <w:t>church</w:t>
      </w:r>
      <w:r w:rsidRPr="00BD7537">
        <w:rPr>
          <w:lang w:val="en-US"/>
        </w:rPr>
        <w:t xml:space="preserve"> property, as a sacred space, has been the subject of special concern r</w:t>
      </w:r>
      <w:r>
        <w:rPr>
          <w:lang w:val="en-US"/>
        </w:rPr>
        <w:t xml:space="preserve">egarding, and protection from, </w:t>
      </w:r>
      <w:r w:rsidR="00BB702A">
        <w:rPr>
          <w:lang w:val="en-US"/>
        </w:rPr>
        <w:t>‘</w:t>
      </w:r>
      <w:r>
        <w:rPr>
          <w:lang w:val="en-US"/>
        </w:rPr>
        <w:t>pollution</w:t>
      </w:r>
      <w:r w:rsidR="00BB702A">
        <w:rPr>
          <w:lang w:val="en-US"/>
        </w:rPr>
        <w:t>’</w:t>
      </w:r>
      <w:r w:rsidRPr="00BD7537">
        <w:rPr>
          <w:lang w:val="en-US"/>
        </w:rPr>
        <w:t xml:space="preserve">. </w:t>
      </w:r>
      <w:r>
        <w:rPr>
          <w:lang w:val="en-US"/>
        </w:rPr>
        <w:t>Though now rarely used,</w:t>
      </w:r>
      <w:r w:rsidRPr="00BD7537">
        <w:rPr>
          <w:rStyle w:val="FootnoteReference"/>
          <w:lang w:val="en-US"/>
        </w:rPr>
        <w:footnoteReference w:id="12"/>
      </w:r>
      <w:r>
        <w:rPr>
          <w:lang w:val="en-US"/>
        </w:rPr>
        <w:t xml:space="preserve"> i</w:t>
      </w:r>
      <w:r w:rsidRPr="00BD7537">
        <w:rPr>
          <w:lang w:val="en-US"/>
        </w:rPr>
        <w:t>n the Middle Ages</w:t>
      </w:r>
      <w:r>
        <w:rPr>
          <w:lang w:val="en-US"/>
        </w:rPr>
        <w:t xml:space="preserve"> the Church Pollution regime</w:t>
      </w:r>
      <w:r w:rsidRPr="00BD7537">
        <w:rPr>
          <w:lang w:val="en-US"/>
        </w:rPr>
        <w:t xml:space="preserve"> was engaged </w:t>
      </w:r>
      <w:r>
        <w:rPr>
          <w:lang w:val="en-US"/>
        </w:rPr>
        <w:t>quite</w:t>
      </w:r>
      <w:r w:rsidR="009D5E8C">
        <w:rPr>
          <w:lang w:val="en-US"/>
        </w:rPr>
        <w:t xml:space="preserve"> commonly. It also comprised a</w:t>
      </w:r>
      <w:r w:rsidRPr="00BD7537">
        <w:rPr>
          <w:lang w:val="en-US"/>
        </w:rPr>
        <w:t xml:space="preserve"> sophisticated regulatory scheme, directed to the control of a highly valued aspect of the </w:t>
      </w:r>
      <w:r>
        <w:rPr>
          <w:lang w:val="en-US"/>
        </w:rPr>
        <w:t>medieval</w:t>
      </w:r>
      <w:r w:rsidRPr="00BD7537">
        <w:rPr>
          <w:lang w:val="en-US"/>
        </w:rPr>
        <w:t xml:space="preserve"> environment. </w:t>
      </w:r>
    </w:p>
    <w:p w14:paraId="06303D80" w14:textId="77777777" w:rsidR="00183AC0" w:rsidRPr="00BD7537" w:rsidRDefault="00183AC0" w:rsidP="00CE1820">
      <w:pPr>
        <w:widowControl w:val="0"/>
        <w:autoSpaceDE w:val="0"/>
        <w:autoSpaceDN w:val="0"/>
        <w:adjustRightInd w:val="0"/>
        <w:rPr>
          <w:lang w:val="en-US"/>
        </w:rPr>
      </w:pPr>
    </w:p>
    <w:p w14:paraId="03B41459" w14:textId="378A4071" w:rsidR="00D159AB" w:rsidRPr="001A0AC1" w:rsidRDefault="00183AC0" w:rsidP="00D159AB">
      <w:pPr>
        <w:widowControl w:val="0"/>
        <w:autoSpaceDE w:val="0"/>
        <w:autoSpaceDN w:val="0"/>
        <w:adjustRightInd w:val="0"/>
        <w:rPr>
          <w:rFonts w:cs="Verdana"/>
          <w:color w:val="3366FF"/>
          <w:szCs w:val="32"/>
          <w:lang w:val="en-US"/>
        </w:rPr>
      </w:pPr>
      <w:r w:rsidRPr="00BD7537">
        <w:rPr>
          <w:lang w:val="en-US"/>
        </w:rPr>
        <w:t xml:space="preserve">Given the </w:t>
      </w:r>
      <w:r w:rsidR="00C67809">
        <w:rPr>
          <w:lang w:val="en-US"/>
        </w:rPr>
        <w:t xml:space="preserve">extensive </w:t>
      </w:r>
      <w:r w:rsidRPr="00BD7537">
        <w:rPr>
          <w:lang w:val="en-US"/>
        </w:rPr>
        <w:t xml:space="preserve">timescale, and the variation of practices </w:t>
      </w:r>
      <w:r w:rsidR="009362ED">
        <w:rPr>
          <w:lang w:val="en-US"/>
        </w:rPr>
        <w:t>resulting</w:t>
      </w:r>
      <w:r w:rsidRPr="00BD7537">
        <w:rPr>
          <w:lang w:val="en-US"/>
        </w:rPr>
        <w:t xml:space="preserve"> from development and application across different communities, precise definitions are impossible. </w:t>
      </w:r>
      <w:r>
        <w:rPr>
          <w:lang w:val="en-US"/>
        </w:rPr>
        <w:t>We can</w:t>
      </w:r>
      <w:r w:rsidRPr="00BD7537">
        <w:rPr>
          <w:lang w:val="en-US"/>
        </w:rPr>
        <w:t>, however, establish some basic elements identifiable in the Canon Law regime: that church property was thought to merit a level of legal protection beyond ordinary land and chattels,</w:t>
      </w:r>
      <w:r w:rsidRPr="00BD7537">
        <w:rPr>
          <w:rStyle w:val="FootnoteReference"/>
          <w:lang w:val="en-US"/>
        </w:rPr>
        <w:footnoteReference w:id="13"/>
      </w:r>
      <w:r w:rsidRPr="00BD7537">
        <w:rPr>
          <w:lang w:val="en-US"/>
        </w:rPr>
        <w:t xml:space="preserve"> with church buildings and immediate surroundings enjoying a special status in law;</w:t>
      </w:r>
      <w:r w:rsidRPr="00BD7537">
        <w:rPr>
          <w:rStyle w:val="FootnoteReference"/>
          <w:lang w:val="en-US"/>
        </w:rPr>
        <w:footnoteReference w:id="14"/>
      </w:r>
      <w:r w:rsidRPr="00BD7537">
        <w:rPr>
          <w:lang w:val="en-US"/>
        </w:rPr>
        <w:t xml:space="preserve"> a</w:t>
      </w:r>
      <w:r>
        <w:rPr>
          <w:lang w:val="en-US"/>
        </w:rPr>
        <w:t>nd that the protection of that special</w:t>
      </w:r>
      <w:r w:rsidRPr="00BD7537">
        <w:rPr>
          <w:lang w:val="en-US"/>
        </w:rPr>
        <w:t xml:space="preserve"> property from differe</w:t>
      </w:r>
      <w:r>
        <w:rPr>
          <w:lang w:val="en-US"/>
        </w:rPr>
        <w:t>nt forms of offence</w:t>
      </w:r>
      <w:r w:rsidRPr="00BD7537">
        <w:rPr>
          <w:lang w:val="en-US"/>
        </w:rPr>
        <w:t xml:space="preserve"> was of great importance</w:t>
      </w:r>
      <w:r w:rsidR="009362ED">
        <w:rPr>
          <w:lang w:val="en-US"/>
        </w:rPr>
        <w:t>.</w:t>
      </w:r>
      <w:r w:rsidRPr="00BD7537">
        <w:rPr>
          <w:rStyle w:val="FootnoteReference"/>
          <w:lang w:val="en-US"/>
        </w:rPr>
        <w:footnoteReference w:id="15"/>
      </w:r>
      <w:r w:rsidR="009362ED">
        <w:rPr>
          <w:lang w:val="en-US"/>
        </w:rPr>
        <w:t xml:space="preserve"> That importance was </w:t>
      </w:r>
      <w:r w:rsidR="00783D5E">
        <w:rPr>
          <w:lang w:val="en-US"/>
        </w:rPr>
        <w:t xml:space="preserve">not </w:t>
      </w:r>
      <w:r w:rsidR="009362ED">
        <w:rPr>
          <w:lang w:val="en-US"/>
        </w:rPr>
        <w:t>limited to the property o</w:t>
      </w:r>
      <w:r w:rsidR="00D159AB">
        <w:rPr>
          <w:lang w:val="en-US"/>
        </w:rPr>
        <w:t>r fabric of the church buildings</w:t>
      </w:r>
      <w:r w:rsidR="00783D5E">
        <w:rPr>
          <w:lang w:val="en-US"/>
        </w:rPr>
        <w:t>,</w:t>
      </w:r>
      <w:r w:rsidR="009362ED">
        <w:rPr>
          <w:lang w:val="en-US"/>
        </w:rPr>
        <w:t xml:space="preserve"> nor to effects in the immediate area. The concern was with impacts on the broader spiritual</w:t>
      </w:r>
      <w:r w:rsidR="00634C6E">
        <w:rPr>
          <w:rStyle w:val="FootnoteReference"/>
          <w:lang w:val="en-US"/>
        </w:rPr>
        <w:footnoteReference w:id="16"/>
      </w:r>
      <w:r w:rsidR="009362ED">
        <w:rPr>
          <w:lang w:val="en-US"/>
        </w:rPr>
        <w:t xml:space="preserve"> environment, at least in part.</w:t>
      </w:r>
      <w:r w:rsidRPr="00BD7537">
        <w:rPr>
          <w:lang w:val="en-US"/>
        </w:rPr>
        <w:t xml:space="preserve"> The types of</w:t>
      </w:r>
      <w:r>
        <w:rPr>
          <w:lang w:val="en-US"/>
        </w:rPr>
        <w:t xml:space="preserve"> offences that might amount to sacrilege</w:t>
      </w:r>
      <w:r w:rsidRPr="00BD7537">
        <w:rPr>
          <w:lang w:val="en-US"/>
        </w:rPr>
        <w:t xml:space="preserve"> of such sacred property included brawling and fornicating.</w:t>
      </w:r>
      <w:r w:rsidRPr="00BD7537">
        <w:rPr>
          <w:rStyle w:val="FootnoteReference"/>
          <w:lang w:val="en-US"/>
        </w:rPr>
        <w:footnoteReference w:id="17"/>
      </w:r>
      <w:r w:rsidRPr="00BD7537">
        <w:rPr>
          <w:lang w:val="en-US"/>
        </w:rPr>
        <w:t xml:space="preserve"> </w:t>
      </w:r>
      <w:r>
        <w:rPr>
          <w:lang w:val="en-US"/>
        </w:rPr>
        <w:t>The offence of Pollution</w:t>
      </w:r>
      <w:r w:rsidR="00D159AB" w:rsidRPr="00BD7537">
        <w:rPr>
          <w:lang w:val="en-US"/>
        </w:rPr>
        <w:t>, however</w:t>
      </w:r>
      <w:r w:rsidR="00D159AB">
        <w:rPr>
          <w:lang w:val="en-US"/>
        </w:rPr>
        <w:t>,</w:t>
      </w:r>
      <w:r w:rsidRPr="00BD7537">
        <w:rPr>
          <w:lang w:val="en-US"/>
        </w:rPr>
        <w:t xml:space="preserve"> had more significant implications than </w:t>
      </w:r>
      <w:r w:rsidR="00783D5E">
        <w:rPr>
          <w:lang w:val="en-US"/>
        </w:rPr>
        <w:t xml:space="preserve">those arising from </w:t>
      </w:r>
      <w:r w:rsidRPr="00BD7537">
        <w:rPr>
          <w:lang w:val="en-US"/>
        </w:rPr>
        <w:t xml:space="preserve">general disturbances in churches and churchyards. </w:t>
      </w:r>
      <w:r>
        <w:rPr>
          <w:lang w:val="en-US"/>
        </w:rPr>
        <w:t>It</w:t>
      </w:r>
      <w:r w:rsidRPr="00BD7537">
        <w:rPr>
          <w:lang w:val="en-US"/>
        </w:rPr>
        <w:t xml:space="preserve"> seems </w:t>
      </w:r>
      <w:r w:rsidR="00D159AB">
        <w:rPr>
          <w:lang w:val="en-US"/>
        </w:rPr>
        <w:t>that</w:t>
      </w:r>
      <w:r w:rsidRPr="00BD7537">
        <w:rPr>
          <w:lang w:val="en-US"/>
        </w:rPr>
        <w:t xml:space="preserve"> the violent shedding of blood</w:t>
      </w:r>
      <w:r>
        <w:rPr>
          <w:lang w:val="en-US"/>
        </w:rPr>
        <w:t xml:space="preserve"> and acts related to that</w:t>
      </w:r>
      <w:r w:rsidR="00C67809">
        <w:rPr>
          <w:lang w:val="en-US"/>
        </w:rPr>
        <w:t xml:space="preserve"> </w:t>
      </w:r>
      <w:r w:rsidR="00066368">
        <w:rPr>
          <w:lang w:val="en-US"/>
        </w:rPr>
        <w:t>have</w:t>
      </w:r>
      <w:r w:rsidR="00C67809">
        <w:rPr>
          <w:lang w:val="en-US"/>
        </w:rPr>
        <w:t xml:space="preserve"> been a particular concern</w:t>
      </w:r>
      <w:r w:rsidRPr="00BD7537">
        <w:rPr>
          <w:lang w:val="en-US"/>
        </w:rPr>
        <w:t xml:space="preserve">. </w:t>
      </w:r>
    </w:p>
    <w:p w14:paraId="15337180" w14:textId="3B45EF9A" w:rsidR="00183AC0" w:rsidRPr="001A0AC1" w:rsidRDefault="00183AC0" w:rsidP="00CE1820">
      <w:pPr>
        <w:widowControl w:val="0"/>
        <w:autoSpaceDE w:val="0"/>
        <w:autoSpaceDN w:val="0"/>
        <w:adjustRightInd w:val="0"/>
        <w:ind w:left="567" w:right="1028"/>
        <w:rPr>
          <w:rFonts w:cs="Verdana"/>
          <w:color w:val="3366FF"/>
          <w:szCs w:val="32"/>
          <w:lang w:val="en-US"/>
        </w:rPr>
      </w:pPr>
    </w:p>
    <w:p w14:paraId="1F8503ED" w14:textId="489FEFF7" w:rsidR="00183AC0" w:rsidRPr="0043082F" w:rsidRDefault="00183AC0" w:rsidP="00CE1820">
      <w:pPr>
        <w:widowControl w:val="0"/>
        <w:autoSpaceDE w:val="0"/>
        <w:autoSpaceDN w:val="0"/>
        <w:adjustRightInd w:val="0"/>
        <w:rPr>
          <w:rFonts w:cs="Verdana"/>
          <w:szCs w:val="32"/>
          <w:lang w:val="en-US"/>
        </w:rPr>
      </w:pPr>
    </w:p>
    <w:p w14:paraId="4CF461C1" w14:textId="77777777" w:rsidR="00183AC0" w:rsidRPr="0043082F" w:rsidRDefault="00183AC0" w:rsidP="00CE1820">
      <w:pPr>
        <w:rPr>
          <w:b/>
        </w:rPr>
      </w:pPr>
      <w:r w:rsidRPr="0043082F">
        <w:rPr>
          <w:b/>
        </w:rPr>
        <w:t>The extent of Polluting Activities and Responses</w:t>
      </w:r>
    </w:p>
    <w:p w14:paraId="56570DF7" w14:textId="77777777" w:rsidR="00183AC0" w:rsidRPr="00BD7537" w:rsidRDefault="00183AC0" w:rsidP="00CE1820"/>
    <w:p w14:paraId="2FA6AE7A" w14:textId="11FFC187" w:rsidR="00196C36" w:rsidRPr="002542D6" w:rsidRDefault="00183AC0" w:rsidP="00D159AB">
      <w:pPr>
        <w:widowControl w:val="0"/>
        <w:autoSpaceDE w:val="0"/>
        <w:autoSpaceDN w:val="0"/>
        <w:adjustRightInd w:val="0"/>
        <w:rPr>
          <w:lang w:val="en-US"/>
        </w:rPr>
      </w:pPr>
      <w:r w:rsidRPr="002542D6">
        <w:rPr>
          <w:lang w:val="en-US"/>
        </w:rPr>
        <w:t>According to both Biblical tradition and Canon Law, bloodshed polluted the sacredness of churches and churchyards.</w:t>
      </w:r>
      <w:r w:rsidR="00C67809" w:rsidRPr="002542D6">
        <w:rPr>
          <w:rStyle w:val="FootnoteReference"/>
          <w:lang w:val="en-US"/>
        </w:rPr>
        <w:footnoteReference w:id="18"/>
      </w:r>
      <w:r w:rsidRPr="002542D6">
        <w:rPr>
          <w:lang w:val="en-US"/>
        </w:rPr>
        <w:t xml:space="preserve"> Historically, the church followed Leviticus 14 and 15 that forbid the bleeding or bloodstained from entering the Temple,</w:t>
      </w:r>
      <w:r w:rsidR="00D159AB" w:rsidRPr="002542D6">
        <w:rPr>
          <w:rStyle w:val="FootnoteReference"/>
          <w:lang w:val="en-US"/>
        </w:rPr>
        <w:footnoteReference w:id="19"/>
      </w:r>
      <w:r w:rsidR="00D159AB" w:rsidRPr="002542D6">
        <w:rPr>
          <w:lang w:val="en-US"/>
        </w:rPr>
        <w:t xml:space="preserve"> </w:t>
      </w:r>
      <w:r w:rsidRPr="002542D6">
        <w:rPr>
          <w:lang w:val="en-US"/>
        </w:rPr>
        <w:t>and the</w:t>
      </w:r>
      <w:r w:rsidR="00AF3975">
        <w:rPr>
          <w:lang w:val="en-US"/>
        </w:rPr>
        <w:t xml:space="preserve"> 12</w:t>
      </w:r>
      <w:r w:rsidR="00AF3975" w:rsidRPr="00AF3975">
        <w:rPr>
          <w:vertAlign w:val="superscript"/>
          <w:lang w:val="en-US"/>
        </w:rPr>
        <w:t>th</w:t>
      </w:r>
      <w:r w:rsidR="00AF3975">
        <w:rPr>
          <w:lang w:val="en-US"/>
        </w:rPr>
        <w:t xml:space="preserve"> c</w:t>
      </w:r>
      <w:r w:rsidR="00135BC7">
        <w:rPr>
          <w:lang w:val="en-US"/>
        </w:rPr>
        <w:t>entury</w:t>
      </w:r>
      <w:r w:rsidRPr="002542D6">
        <w:rPr>
          <w:lang w:val="en-US"/>
        </w:rPr>
        <w:t xml:space="preserve"> </w:t>
      </w:r>
      <w:r w:rsidRPr="002542D6">
        <w:rPr>
          <w:i/>
          <w:lang w:val="en-US"/>
        </w:rPr>
        <w:t>Decretum</w:t>
      </w:r>
      <w:r w:rsidRPr="002542D6">
        <w:rPr>
          <w:lang w:val="en-US"/>
        </w:rPr>
        <w:t xml:space="preserve"> of Gratian (and later provisions) required the expeditious restoration of any church defiled by blood</w:t>
      </w:r>
      <w:r w:rsidR="00196C36" w:rsidRPr="002542D6">
        <w:rPr>
          <w:lang w:val="en-US"/>
        </w:rPr>
        <w:t>:</w:t>
      </w:r>
    </w:p>
    <w:p w14:paraId="5EFF4BD9" w14:textId="77777777" w:rsidR="00196C36" w:rsidRPr="002542D6" w:rsidRDefault="00196C36" w:rsidP="00D159AB">
      <w:pPr>
        <w:widowControl w:val="0"/>
        <w:autoSpaceDE w:val="0"/>
        <w:autoSpaceDN w:val="0"/>
        <w:adjustRightInd w:val="0"/>
        <w:rPr>
          <w:lang w:val="en-US"/>
        </w:rPr>
      </w:pPr>
    </w:p>
    <w:p w14:paraId="0DC722E1" w14:textId="4A1D2FF7" w:rsidR="00D159AB" w:rsidRDefault="00196C36" w:rsidP="00196C36">
      <w:pPr>
        <w:ind w:left="426" w:right="744"/>
      </w:pPr>
      <w:r>
        <w:t>‘</w:t>
      </w:r>
      <w:r w:rsidRPr="00196C36">
        <w:t>For the churches once dedicated to God should not be consecrated again, unless destroyed by fire, or by bloodshed; by any source of pollution</w:t>
      </w:r>
      <w:r>
        <w:t xml:space="preserve"> </w:t>
      </w:r>
      <w:r w:rsidRPr="00196C36">
        <w:t>whatsoever, because just as a child, once baptised by any priest in the name of the Father, the Son, and the Holy Spirit, should not be baptised again: thus the place of God is not to be consecrated again,</w:t>
      </w:r>
      <w:r>
        <w:t xml:space="preserve"> </w:t>
      </w:r>
      <w:r w:rsidRPr="00196C36">
        <w:t>unless for those reasons named above; thus they will uphold the faith of the holy trinity for those things they have consecrated</w:t>
      </w:r>
      <w:r>
        <w:t>.’</w:t>
      </w:r>
      <w:r>
        <w:rPr>
          <w:rStyle w:val="FootnoteReference"/>
        </w:rPr>
        <w:footnoteReference w:id="20"/>
      </w:r>
      <w:r>
        <w:t xml:space="preserve"> </w:t>
      </w:r>
    </w:p>
    <w:p w14:paraId="457105BC" w14:textId="77777777" w:rsidR="00196C36" w:rsidRDefault="00196C36" w:rsidP="00CE1820">
      <w:pPr>
        <w:rPr>
          <w:lang w:val="en-US"/>
        </w:rPr>
      </w:pPr>
    </w:p>
    <w:p w14:paraId="3AA54C25" w14:textId="344706B3" w:rsidR="00183AC0" w:rsidRPr="00BD7537" w:rsidRDefault="00183AC0" w:rsidP="00CE1820">
      <w:pPr>
        <w:rPr>
          <w:lang w:val="en-US"/>
        </w:rPr>
      </w:pPr>
      <w:r w:rsidRPr="00BD7537">
        <w:rPr>
          <w:lang w:val="en-US"/>
        </w:rPr>
        <w:t>These principles are only one example of a more general societal concern regarding the pollution of sacred spaces</w:t>
      </w:r>
      <w:r>
        <w:rPr>
          <w:lang w:val="en-US"/>
        </w:rPr>
        <w:t>, and more generally,</w:t>
      </w:r>
      <w:r w:rsidRPr="00BD7537">
        <w:rPr>
          <w:lang w:val="en-US"/>
        </w:rPr>
        <w:t xml:space="preserve"> through defilem</w:t>
      </w:r>
      <w:r w:rsidR="009362ED">
        <w:rPr>
          <w:lang w:val="en-US"/>
        </w:rPr>
        <w:t>ent, often connected with blood</w:t>
      </w:r>
      <w:r w:rsidRPr="00BD7537">
        <w:rPr>
          <w:lang w:val="en-US"/>
        </w:rPr>
        <w:t xml:space="preserve">. </w:t>
      </w:r>
      <w:r w:rsidR="00783D5E">
        <w:t>H</w:t>
      </w:r>
      <w:r>
        <w:t>istorical records</w:t>
      </w:r>
      <w:r w:rsidR="00783D5E">
        <w:t xml:space="preserve"> suggest</w:t>
      </w:r>
      <w:r w:rsidRPr="00BD7537">
        <w:t xml:space="preserve"> that such polluting events were far more common,</w:t>
      </w:r>
      <w:r w:rsidRPr="00BD7537">
        <w:rPr>
          <w:rStyle w:val="FootnoteReference"/>
        </w:rPr>
        <w:footnoteReference w:id="21"/>
      </w:r>
      <w:r w:rsidRPr="00BD7537">
        <w:t xml:space="preserve"> or far more commonly addressed, in </w:t>
      </w:r>
      <w:r>
        <w:t>medieval</w:t>
      </w:r>
      <w:r w:rsidRPr="00BD7537">
        <w:t xml:space="preserve"> times than more recently. </w:t>
      </w:r>
      <w:r w:rsidRPr="00BD7537">
        <w:rPr>
          <w:lang w:val="en-US"/>
        </w:rPr>
        <w:t>The nature of many acts of pollution meant that there</w:t>
      </w:r>
      <w:r>
        <w:rPr>
          <w:lang w:val="en-US"/>
        </w:rPr>
        <w:t xml:space="preserve"> c</w:t>
      </w:r>
      <w:r w:rsidRPr="00BD7537">
        <w:rPr>
          <w:lang w:val="en-US"/>
        </w:rPr>
        <w:t>ould be overlapping jurisdictions relating to secular crime and ecclesiastical offence, but the common law was prepared to grant jurisdiction to the church in limited classes of such cases with special characteristics.</w:t>
      </w:r>
      <w:r w:rsidRPr="00BD7537">
        <w:rPr>
          <w:rStyle w:val="FootnoteReference"/>
          <w:lang w:val="en-US"/>
        </w:rPr>
        <w:footnoteReference w:id="22"/>
      </w:r>
      <w:r w:rsidRPr="00BD7537">
        <w:rPr>
          <w:lang w:val="en-US"/>
        </w:rPr>
        <w:t xml:space="preserve"> </w:t>
      </w:r>
      <w:r>
        <w:rPr>
          <w:lang w:val="en-US"/>
        </w:rPr>
        <w:t>This specific form of regulation</w:t>
      </w:r>
      <w:r w:rsidRPr="00BD7537">
        <w:rPr>
          <w:lang w:val="en-US"/>
        </w:rPr>
        <w:t xml:space="preserve"> around the pollution of churches can be found across many centuries. As well as cases within the English juri</w:t>
      </w:r>
      <w:r w:rsidR="00257747">
        <w:rPr>
          <w:lang w:val="en-US"/>
        </w:rPr>
        <w:t>sdiction, there are reports of Church P</w:t>
      </w:r>
      <w:r w:rsidRPr="00BD7537">
        <w:rPr>
          <w:lang w:val="en-US"/>
        </w:rPr>
        <w:t>ollution and re</w:t>
      </w:r>
      <w:r>
        <w:rPr>
          <w:lang w:val="en-US"/>
        </w:rPr>
        <w:t>storative</w:t>
      </w:r>
      <w:r w:rsidRPr="00BD7537">
        <w:rPr>
          <w:lang w:val="en-US"/>
        </w:rPr>
        <w:t xml:space="preserve"> actions taken in France,</w:t>
      </w:r>
      <w:r w:rsidRPr="00BD7537">
        <w:rPr>
          <w:rStyle w:val="FootnoteReference"/>
          <w:lang w:val="en-US"/>
        </w:rPr>
        <w:footnoteReference w:id="23"/>
      </w:r>
      <w:r w:rsidRPr="00BD7537">
        <w:rPr>
          <w:lang w:val="en-US"/>
        </w:rPr>
        <w:t xml:space="preserve"> the Isle of Man,</w:t>
      </w:r>
      <w:r w:rsidRPr="00BD7537">
        <w:rPr>
          <w:rStyle w:val="FootnoteReference"/>
          <w:lang w:val="en-US"/>
        </w:rPr>
        <w:footnoteReference w:id="24"/>
      </w:r>
      <w:r w:rsidRPr="00BD7537">
        <w:rPr>
          <w:lang w:val="en-US"/>
        </w:rPr>
        <w:t xml:space="preserve"> and the United States</w:t>
      </w:r>
      <w:r w:rsidR="009362ED">
        <w:rPr>
          <w:lang w:val="en-US"/>
        </w:rPr>
        <w:t>,</w:t>
      </w:r>
      <w:r w:rsidRPr="00BD7537">
        <w:rPr>
          <w:rStyle w:val="FootnoteReference"/>
          <w:lang w:val="en-US"/>
        </w:rPr>
        <w:footnoteReference w:id="25"/>
      </w:r>
      <w:r w:rsidR="009362ED">
        <w:rPr>
          <w:lang w:val="en-US"/>
        </w:rPr>
        <w:t xml:space="preserve"> for example.</w:t>
      </w:r>
      <w:r w:rsidRPr="00BD7537">
        <w:rPr>
          <w:lang w:val="en-US"/>
        </w:rPr>
        <w:t xml:space="preserve"> Although data in ecclesiastical records and elsewh</w:t>
      </w:r>
      <w:r>
        <w:rPr>
          <w:lang w:val="en-US"/>
        </w:rPr>
        <w:t>ere are limited and fragmented</w:t>
      </w:r>
      <w:r w:rsidRPr="00BD7537">
        <w:rPr>
          <w:lang w:val="en-US"/>
        </w:rPr>
        <w:t xml:space="preserve">, examination of some </w:t>
      </w:r>
      <w:r>
        <w:rPr>
          <w:lang w:val="en-US"/>
        </w:rPr>
        <w:t xml:space="preserve">historical </w:t>
      </w:r>
      <w:r w:rsidR="00257747">
        <w:rPr>
          <w:lang w:val="en-US"/>
        </w:rPr>
        <w:t>record series suggests that Church P</w:t>
      </w:r>
      <w:r w:rsidRPr="00BD7537">
        <w:rPr>
          <w:lang w:val="en-US"/>
        </w:rPr>
        <w:t>ol</w:t>
      </w:r>
      <w:r>
        <w:rPr>
          <w:lang w:val="en-US"/>
        </w:rPr>
        <w:t>lution issues arose regularly. Undertaking a</w:t>
      </w:r>
      <w:r w:rsidRPr="00BD7537">
        <w:rPr>
          <w:lang w:val="en-US"/>
        </w:rPr>
        <w:t xml:space="preserve"> survey of one </w:t>
      </w:r>
      <w:r>
        <w:rPr>
          <w:lang w:val="en-US"/>
        </w:rPr>
        <w:t>r</w:t>
      </w:r>
      <w:r w:rsidRPr="00BD7537">
        <w:rPr>
          <w:lang w:val="en-US"/>
        </w:rPr>
        <w:t xml:space="preserve">ecord </w:t>
      </w:r>
      <w:r>
        <w:rPr>
          <w:lang w:val="en-US"/>
        </w:rPr>
        <w:t>s</w:t>
      </w:r>
      <w:r w:rsidRPr="00BD7537">
        <w:rPr>
          <w:lang w:val="en-US"/>
        </w:rPr>
        <w:t>eries</w:t>
      </w:r>
      <w:r w:rsidRPr="00BD7537">
        <w:rPr>
          <w:rStyle w:val="FootnoteReference"/>
          <w:lang w:val="en-US"/>
        </w:rPr>
        <w:footnoteReference w:id="26"/>
      </w:r>
      <w:r w:rsidRPr="00BD7537">
        <w:rPr>
          <w:lang w:val="en-US"/>
        </w:rPr>
        <w:t xml:space="preserve"> shows that over a period from 1400 to 1452, there are re</w:t>
      </w:r>
      <w:r>
        <w:rPr>
          <w:lang w:val="en-US"/>
        </w:rPr>
        <w:t>port</w:t>
      </w:r>
      <w:r w:rsidRPr="00BD7537">
        <w:rPr>
          <w:lang w:val="en-US"/>
        </w:rPr>
        <w:t>s of around 30 cases within a fairly narrow geographical area (covering Devon and East Cornwall),</w:t>
      </w:r>
      <w:r w:rsidRPr="00BD7537">
        <w:rPr>
          <w:rStyle w:val="FootnoteReference"/>
          <w:lang w:val="en-US"/>
        </w:rPr>
        <w:footnoteReference w:id="27"/>
      </w:r>
      <w:r w:rsidRPr="00BD7537">
        <w:rPr>
          <w:lang w:val="en-US"/>
        </w:rPr>
        <w:t xml:space="preserve"> for example. This includes four separate occasions in a single location (Exeter Cathedral), as well as a range of others. That same series reports cases dating between 1296</w:t>
      </w:r>
      <w:r w:rsidRPr="00BD7537">
        <w:rPr>
          <w:rStyle w:val="FootnoteReference"/>
          <w:lang w:val="en-US"/>
        </w:rPr>
        <w:footnoteReference w:id="28"/>
      </w:r>
      <w:r w:rsidRPr="00BD7537">
        <w:rPr>
          <w:lang w:val="en-US"/>
        </w:rPr>
        <w:t xml:space="preserve"> and 1511.</w:t>
      </w:r>
      <w:r w:rsidRPr="00BD7537">
        <w:rPr>
          <w:rStyle w:val="FootnoteReference"/>
          <w:lang w:val="en-US"/>
        </w:rPr>
        <w:footnoteReference w:id="29"/>
      </w:r>
      <w:r w:rsidRPr="00BD7537">
        <w:rPr>
          <w:lang w:val="en-US"/>
        </w:rPr>
        <w:t xml:space="preserve"> These cases report ‘Commissions of Inquiry’ investigating allegations to determine whether there was in fact pollution through bloodshed,</w:t>
      </w:r>
      <w:r w:rsidRPr="00BD7537">
        <w:rPr>
          <w:rStyle w:val="FootnoteReference"/>
          <w:lang w:val="en-US"/>
        </w:rPr>
        <w:footnoteReference w:id="30"/>
      </w:r>
      <w:r w:rsidRPr="00BD7537">
        <w:rPr>
          <w:lang w:val="en-US"/>
        </w:rPr>
        <w:t xml:space="preserve"> ‘inhibiting’ </w:t>
      </w:r>
      <w:r>
        <w:rPr>
          <w:lang w:val="en-US"/>
        </w:rPr>
        <w:t>(suspending)</w:t>
      </w:r>
      <w:r w:rsidRPr="00BD7537">
        <w:rPr>
          <w:lang w:val="en-US"/>
        </w:rPr>
        <w:t xml:space="preserve"> divine service if there was,</w:t>
      </w:r>
      <w:r w:rsidRPr="00BD7537">
        <w:rPr>
          <w:rStyle w:val="FootnoteReference"/>
          <w:lang w:val="en-US"/>
        </w:rPr>
        <w:footnoteReference w:id="31"/>
      </w:r>
      <w:r w:rsidRPr="00BD7537">
        <w:rPr>
          <w:lang w:val="en-US"/>
        </w:rPr>
        <w:t xml:space="preserve"> and deciding whether activities such as burial might be resumed (having being inhibi</w:t>
      </w:r>
      <w:r>
        <w:rPr>
          <w:lang w:val="en-US"/>
        </w:rPr>
        <w:t>ted</w:t>
      </w:r>
      <w:r w:rsidRPr="00BD7537">
        <w:rPr>
          <w:lang w:val="en-US"/>
        </w:rPr>
        <w:t xml:space="preserve"> as a result of the pollution).</w:t>
      </w:r>
      <w:r w:rsidRPr="00BD7537">
        <w:rPr>
          <w:rStyle w:val="FootnoteReference"/>
          <w:lang w:val="en-US"/>
        </w:rPr>
        <w:footnoteReference w:id="32"/>
      </w:r>
      <w:r w:rsidRPr="00BD7537">
        <w:rPr>
          <w:lang w:val="en-US"/>
        </w:rPr>
        <w:t xml:space="preserve"> A number include declarations that there had not been such pollution.</w:t>
      </w:r>
      <w:r w:rsidRPr="00BD7537">
        <w:rPr>
          <w:rStyle w:val="FootnoteReference"/>
          <w:lang w:val="en-US"/>
        </w:rPr>
        <w:footnoteReference w:id="33"/>
      </w:r>
      <w:r w:rsidRPr="00BD7537">
        <w:rPr>
          <w:lang w:val="en-US"/>
        </w:rPr>
        <w:t xml:space="preserve"> </w:t>
      </w:r>
      <w:r>
        <w:rPr>
          <w:lang w:val="en-US"/>
        </w:rPr>
        <w:t>Court hearings were held to consider wheth</w:t>
      </w:r>
      <w:r w:rsidR="006E2315">
        <w:rPr>
          <w:lang w:val="en-US"/>
        </w:rPr>
        <w:t xml:space="preserve">er pollution had occurred, </w:t>
      </w:r>
      <w:r>
        <w:rPr>
          <w:lang w:val="en-US"/>
        </w:rPr>
        <w:t>the effect upon the church property</w:t>
      </w:r>
      <w:r w:rsidR="009362ED">
        <w:rPr>
          <w:lang w:val="en-US"/>
        </w:rPr>
        <w:t xml:space="preserve"> (and broader impacts)</w:t>
      </w:r>
      <w:r>
        <w:rPr>
          <w:lang w:val="en-US"/>
        </w:rPr>
        <w:t>, the appropriate response, and the guilt and punishment of individual polluters.</w:t>
      </w:r>
    </w:p>
    <w:p w14:paraId="7266E8C7" w14:textId="77777777" w:rsidR="00183AC0" w:rsidRPr="00BD7537" w:rsidRDefault="00183AC0" w:rsidP="00CE1820">
      <w:pPr>
        <w:rPr>
          <w:lang w:val="en-US"/>
        </w:rPr>
      </w:pPr>
    </w:p>
    <w:p w14:paraId="70FD031D" w14:textId="7E1453EA" w:rsidR="00183AC0" w:rsidRPr="00BD7537" w:rsidRDefault="00183AC0" w:rsidP="00CE1820">
      <w:pPr>
        <w:rPr>
          <w:lang w:val="en-US"/>
        </w:rPr>
      </w:pPr>
      <w:r w:rsidRPr="00BD7537">
        <w:rPr>
          <w:lang w:val="en-US"/>
        </w:rPr>
        <w:t>On the other hand, reports from a case in 1793 include a statement</w:t>
      </w:r>
      <w:r w:rsidR="00DE7178">
        <w:rPr>
          <w:lang w:val="en-US"/>
        </w:rPr>
        <w:t xml:space="preserve"> that pollution of churches is ‘</w:t>
      </w:r>
      <w:r w:rsidRPr="00BD7537">
        <w:rPr>
          <w:lang w:val="en-US"/>
        </w:rPr>
        <w:t>such a rare occurrence</w:t>
      </w:r>
      <w:r w:rsidR="00DE7178">
        <w:rPr>
          <w:lang w:val="en-US"/>
        </w:rPr>
        <w:t>’</w:t>
      </w:r>
      <w:r w:rsidRPr="00BD7537">
        <w:rPr>
          <w:lang w:val="en-US"/>
        </w:rPr>
        <w:t>, in the Isle of Man that the case was the only instance on the island</w:t>
      </w:r>
      <w:r w:rsidRPr="008326AC">
        <w:rPr>
          <w:lang w:val="en-US"/>
        </w:rPr>
        <w:t>.</w:t>
      </w:r>
      <w:r w:rsidRPr="008326AC">
        <w:rPr>
          <w:rStyle w:val="FootnoteReference"/>
          <w:lang w:val="en-US"/>
        </w:rPr>
        <w:footnoteReference w:id="34"/>
      </w:r>
      <w:r w:rsidR="00066368">
        <w:rPr>
          <w:lang w:val="en-US"/>
        </w:rPr>
        <w:t xml:space="preserve"> I</w:t>
      </w:r>
      <w:r w:rsidRPr="008326AC">
        <w:rPr>
          <w:lang w:val="en-US"/>
        </w:rPr>
        <w:t>t appears</w:t>
      </w:r>
      <w:r w:rsidRPr="00BD7537">
        <w:rPr>
          <w:lang w:val="en-US"/>
        </w:rPr>
        <w:t xml:space="preserve"> that the s</w:t>
      </w:r>
      <w:r w:rsidR="006E2315">
        <w:rPr>
          <w:lang w:val="en-US"/>
        </w:rPr>
        <w:t>cale</w:t>
      </w:r>
      <w:r w:rsidRPr="00BD7537">
        <w:rPr>
          <w:lang w:val="en-US"/>
        </w:rPr>
        <w:t xml:space="preserve"> of these p</w:t>
      </w:r>
      <w:r w:rsidR="00D159AB">
        <w:rPr>
          <w:lang w:val="en-US"/>
        </w:rPr>
        <w:t>ollution concerns</w:t>
      </w:r>
      <w:r w:rsidRPr="00BD7537">
        <w:rPr>
          <w:lang w:val="en-US"/>
        </w:rPr>
        <w:t xml:space="preserve"> have reduced significantly in later periods. Courts </w:t>
      </w:r>
      <w:r>
        <w:rPr>
          <w:lang w:val="en-US"/>
        </w:rPr>
        <w:t xml:space="preserve">held </w:t>
      </w:r>
      <w:r w:rsidRPr="00BD7537">
        <w:rPr>
          <w:lang w:val="en-US"/>
        </w:rPr>
        <w:t>for the purpos</w:t>
      </w:r>
      <w:r>
        <w:rPr>
          <w:lang w:val="en-US"/>
        </w:rPr>
        <w:t>e of pronouncing a Sentence of R</w:t>
      </w:r>
      <w:r w:rsidRPr="00BD7537">
        <w:rPr>
          <w:lang w:val="en-US"/>
        </w:rPr>
        <w:t>econciliation have probably been rarely held in England since the Reformation.</w:t>
      </w:r>
      <w:r w:rsidRPr="00BD7537">
        <w:rPr>
          <w:rStyle w:val="FootnoteReference"/>
          <w:lang w:val="en-US"/>
        </w:rPr>
        <w:footnoteReference w:id="35"/>
      </w:r>
      <w:r w:rsidRPr="00BD7537">
        <w:rPr>
          <w:lang w:val="en-US"/>
        </w:rPr>
        <w:t xml:space="preserve"> </w:t>
      </w:r>
    </w:p>
    <w:p w14:paraId="2150E274" w14:textId="77777777" w:rsidR="00183AC0" w:rsidRDefault="00183AC0" w:rsidP="00CE1820">
      <w:pPr>
        <w:rPr>
          <w:lang w:val="en-US"/>
        </w:rPr>
      </w:pPr>
    </w:p>
    <w:p w14:paraId="6180B34E" w14:textId="77777777" w:rsidR="000F3CE2" w:rsidRPr="00BD7537" w:rsidRDefault="000F3CE2" w:rsidP="00CE1820">
      <w:pPr>
        <w:rPr>
          <w:b/>
        </w:rPr>
      </w:pPr>
    </w:p>
    <w:p w14:paraId="370C3131" w14:textId="77777777" w:rsidR="00183AC0" w:rsidRPr="00BD7537" w:rsidRDefault="00183AC0" w:rsidP="00CE1820">
      <w:pPr>
        <w:rPr>
          <w:b/>
        </w:rPr>
      </w:pPr>
      <w:r>
        <w:rPr>
          <w:b/>
        </w:rPr>
        <w:t>Nature of Pollution</w:t>
      </w:r>
      <w:r w:rsidRPr="00BD7537">
        <w:rPr>
          <w:b/>
        </w:rPr>
        <w:t xml:space="preserve"> </w:t>
      </w:r>
    </w:p>
    <w:p w14:paraId="69C7EF5A" w14:textId="77777777" w:rsidR="00183AC0" w:rsidRPr="00BD7537" w:rsidRDefault="00183AC0" w:rsidP="00CE1820">
      <w:pPr>
        <w:rPr>
          <w:lang w:val="en-US"/>
        </w:rPr>
      </w:pPr>
    </w:p>
    <w:p w14:paraId="363645A2" w14:textId="27760C61" w:rsidR="00183AC0" w:rsidRPr="00BD7537" w:rsidRDefault="002542D6" w:rsidP="00CE1820">
      <w:pPr>
        <w:widowControl w:val="0"/>
        <w:autoSpaceDE w:val="0"/>
        <w:autoSpaceDN w:val="0"/>
        <w:adjustRightInd w:val="0"/>
        <w:rPr>
          <w:lang w:val="en-US"/>
        </w:rPr>
      </w:pPr>
      <w:r w:rsidRPr="00BD7537">
        <w:rPr>
          <w:lang w:val="en-US"/>
        </w:rPr>
        <w:t xml:space="preserve">The Becket </w:t>
      </w:r>
      <w:r>
        <w:rPr>
          <w:lang w:val="en-US"/>
        </w:rPr>
        <w:t>murder</w:t>
      </w:r>
      <w:r w:rsidRPr="00BD7537">
        <w:rPr>
          <w:lang w:val="en-US"/>
        </w:rPr>
        <w:t xml:space="preserve"> is a relatively early</w:t>
      </w:r>
      <w:r>
        <w:rPr>
          <w:lang w:val="en-US"/>
        </w:rPr>
        <w:t xml:space="preserve"> example of Church Pollution</w:t>
      </w:r>
      <w:r w:rsidRPr="00BD7537">
        <w:rPr>
          <w:lang w:val="en-US"/>
        </w:rPr>
        <w:t xml:space="preserve"> and very high profile one. Another significant (and politically charged) polluting event was the murder of John Comyn by Robert the Bruce</w:t>
      </w:r>
      <w:r>
        <w:rPr>
          <w:lang w:val="en-US"/>
        </w:rPr>
        <w:t xml:space="preserve"> </w:t>
      </w:r>
      <w:r w:rsidRPr="00BD7537">
        <w:rPr>
          <w:lang w:val="en-US"/>
        </w:rPr>
        <w:t>at the High Altar of the church of the Greyfriars at Dumfries, in 1306</w:t>
      </w:r>
      <w:r>
        <w:rPr>
          <w:lang w:val="en-US"/>
        </w:rPr>
        <w:t>, resulting</w:t>
      </w:r>
      <w:r w:rsidRPr="00BD7537">
        <w:rPr>
          <w:lang w:val="en-US"/>
        </w:rPr>
        <w:t xml:space="preserve"> in the desertion of the church by the friars </w:t>
      </w:r>
      <w:r>
        <w:rPr>
          <w:lang w:val="en-US"/>
        </w:rPr>
        <w:t xml:space="preserve">because of </w:t>
      </w:r>
      <w:r w:rsidRPr="00BD7537">
        <w:rPr>
          <w:lang w:val="en-US"/>
        </w:rPr>
        <w:t>the pollution.</w:t>
      </w:r>
      <w:r w:rsidRPr="00BD7537">
        <w:rPr>
          <w:rStyle w:val="FootnoteReference"/>
          <w:lang w:val="en-US"/>
        </w:rPr>
        <w:footnoteReference w:id="36"/>
      </w:r>
      <w:r w:rsidRPr="00BD7537">
        <w:rPr>
          <w:lang w:val="en-US"/>
        </w:rPr>
        <w:t xml:space="preserve"> These illustrations may be rather misleading as examples, </w:t>
      </w:r>
      <w:r>
        <w:rPr>
          <w:lang w:val="en-US"/>
        </w:rPr>
        <w:t xml:space="preserve">however, </w:t>
      </w:r>
      <w:r w:rsidRPr="00BD7537">
        <w:rPr>
          <w:lang w:val="en-US"/>
        </w:rPr>
        <w:t>as they involve serious crimes aside from the Canon Law issues</w:t>
      </w:r>
      <w:r>
        <w:rPr>
          <w:lang w:val="en-US"/>
        </w:rPr>
        <w:t>. More typical polluting acts</w:t>
      </w:r>
      <w:r w:rsidRPr="00BD7537">
        <w:rPr>
          <w:lang w:val="en-US"/>
        </w:rPr>
        <w:t xml:space="preserve"> often involved lower level violence, or even what might be viewed as horseplay. </w:t>
      </w:r>
      <w:r w:rsidR="00183AC0" w:rsidRPr="00BD7537">
        <w:rPr>
          <w:lang w:val="en-US"/>
        </w:rPr>
        <w:t>One example of much l</w:t>
      </w:r>
      <w:r w:rsidR="00183AC0">
        <w:rPr>
          <w:lang w:val="en-US"/>
        </w:rPr>
        <w:t>ess acute behaviour considered polluting</w:t>
      </w:r>
      <w:r w:rsidR="00183AC0" w:rsidRPr="00BD7537">
        <w:rPr>
          <w:lang w:val="en-US"/>
        </w:rPr>
        <w:t xml:space="preserve"> involves priests</w:t>
      </w:r>
      <w:r w:rsidR="00DE7178">
        <w:rPr>
          <w:lang w:val="en-US"/>
        </w:rPr>
        <w:t xml:space="preserve"> quarreling after one had ‘</w:t>
      </w:r>
      <w:r w:rsidR="00183AC0" w:rsidRPr="00BD7537">
        <w:rPr>
          <w:lang w:val="en-US"/>
        </w:rPr>
        <w:t>tripp</w:t>
      </w:r>
      <w:r w:rsidR="00183AC0">
        <w:rPr>
          <w:lang w:val="en-US"/>
        </w:rPr>
        <w:t>ed</w:t>
      </w:r>
      <w:r w:rsidR="00DE7178">
        <w:rPr>
          <w:lang w:val="en-US"/>
        </w:rPr>
        <w:t>’</w:t>
      </w:r>
      <w:r w:rsidR="00183AC0" w:rsidRPr="00BD7537">
        <w:rPr>
          <w:lang w:val="en-US"/>
        </w:rPr>
        <w:t xml:space="preserve"> saying the verses of the day and the other had laughed</w:t>
      </w:r>
      <w:r w:rsidR="009066CE">
        <w:rPr>
          <w:lang w:val="en-US"/>
        </w:rPr>
        <w:t xml:space="preserve"> (the ‘Quarreling Priests’ case)</w:t>
      </w:r>
      <w:r w:rsidR="00183AC0" w:rsidRPr="00BD7537">
        <w:rPr>
          <w:lang w:val="en-US"/>
        </w:rPr>
        <w:t>.</w:t>
      </w:r>
      <w:r w:rsidR="009066CE" w:rsidRPr="00BD7537">
        <w:rPr>
          <w:rStyle w:val="FootnoteReference"/>
          <w:lang w:val="en-US"/>
        </w:rPr>
        <w:footnoteReference w:id="37"/>
      </w:r>
      <w:r w:rsidR="009066CE" w:rsidRPr="00BD7537">
        <w:rPr>
          <w:lang w:val="en-US"/>
        </w:rPr>
        <w:t xml:space="preserve"> </w:t>
      </w:r>
      <w:r w:rsidR="00183AC0" w:rsidRPr="00BD7537">
        <w:rPr>
          <w:lang w:val="en-US"/>
        </w:rPr>
        <w:t xml:space="preserve"> </w:t>
      </w:r>
      <w:r w:rsidR="00183AC0">
        <w:rPr>
          <w:lang w:val="en-US"/>
        </w:rPr>
        <w:t>The first then</w:t>
      </w:r>
      <w:r w:rsidR="00183AC0" w:rsidRPr="00BD7537">
        <w:rPr>
          <w:lang w:val="en-US"/>
        </w:rPr>
        <w:t xml:space="preserve"> threw a psalter at the other and broke the skin of his head so that a slight amount of blood appeared. The priests reported this to the Lord Archbishop of York, who decided that the church required </w:t>
      </w:r>
      <w:r w:rsidR="006E2315">
        <w:rPr>
          <w:lang w:val="en-US"/>
        </w:rPr>
        <w:t>‘</w:t>
      </w:r>
      <w:r w:rsidR="00183AC0" w:rsidRPr="00BD7537">
        <w:rPr>
          <w:lang w:val="en-US"/>
        </w:rPr>
        <w:t>reconciliation</w:t>
      </w:r>
      <w:r w:rsidR="006E2315">
        <w:rPr>
          <w:lang w:val="en-US"/>
        </w:rPr>
        <w:t>’</w:t>
      </w:r>
      <w:r w:rsidR="00183AC0" w:rsidRPr="00BD7537">
        <w:rPr>
          <w:lang w:val="en-US"/>
        </w:rPr>
        <w:t xml:space="preserve"> as a result of the violent act. At times, it seems that even events such as the presence of ‘foul beasts’, or use of church property for storage of building mater</w:t>
      </w:r>
      <w:r w:rsidR="00183AC0">
        <w:rPr>
          <w:lang w:val="en-US"/>
        </w:rPr>
        <w:t xml:space="preserve">ials, may have been considered </w:t>
      </w:r>
      <w:r w:rsidR="00183AC0" w:rsidRPr="00BD7537">
        <w:rPr>
          <w:lang w:val="en-US"/>
        </w:rPr>
        <w:t>polluting</w:t>
      </w:r>
      <w:r w:rsidR="00183AC0" w:rsidRPr="00BD7537">
        <w:rPr>
          <w:rStyle w:val="FootnoteReference"/>
          <w:lang w:val="en-US"/>
        </w:rPr>
        <w:footnoteReference w:id="38"/>
      </w:r>
      <w:r w:rsidR="00183AC0" w:rsidRPr="00BD7537">
        <w:rPr>
          <w:lang w:val="en-US"/>
        </w:rPr>
        <w:t xml:space="preserve"> in some sense. Th</w:t>
      </w:r>
      <w:r w:rsidR="00183AC0">
        <w:rPr>
          <w:lang w:val="en-US"/>
        </w:rPr>
        <w:t xml:space="preserve">ose were </w:t>
      </w:r>
      <w:r w:rsidR="00DE7178">
        <w:rPr>
          <w:lang w:val="en-US"/>
        </w:rPr>
        <w:t>‘</w:t>
      </w:r>
      <w:r w:rsidR="00183AC0">
        <w:rPr>
          <w:lang w:val="en-US"/>
        </w:rPr>
        <w:t>lesser</w:t>
      </w:r>
      <w:r w:rsidR="00183AC0" w:rsidRPr="00BD7537">
        <w:rPr>
          <w:lang w:val="en-US"/>
        </w:rPr>
        <w:t xml:space="preserve"> forms</w:t>
      </w:r>
      <w:r w:rsidR="00DE7178">
        <w:rPr>
          <w:lang w:val="en-US"/>
        </w:rPr>
        <w:t>’</w:t>
      </w:r>
      <w:r w:rsidR="00183AC0">
        <w:rPr>
          <w:lang w:val="en-US"/>
        </w:rPr>
        <w:t xml:space="preserve">, however, to be </w:t>
      </w:r>
      <w:r w:rsidR="00DE7178">
        <w:rPr>
          <w:lang w:val="en-US"/>
        </w:rPr>
        <w:t>‘</w:t>
      </w:r>
      <w:r w:rsidR="00183AC0" w:rsidRPr="00BD7537">
        <w:rPr>
          <w:lang w:val="en-US"/>
        </w:rPr>
        <w:t>distinguished f</w:t>
      </w:r>
      <w:r w:rsidR="00183AC0">
        <w:rPr>
          <w:lang w:val="en-US"/>
        </w:rPr>
        <w:t>rom pollution by blood-shedding</w:t>
      </w:r>
      <w:r w:rsidR="00DE7178">
        <w:rPr>
          <w:lang w:val="en-US"/>
        </w:rPr>
        <w:t>’</w:t>
      </w:r>
      <w:r w:rsidR="00183AC0" w:rsidRPr="00BD7537">
        <w:rPr>
          <w:lang w:val="en-US"/>
        </w:rPr>
        <w:t>.</w:t>
      </w:r>
      <w:r w:rsidR="00183AC0" w:rsidRPr="00BD7537">
        <w:rPr>
          <w:rStyle w:val="FootnoteReference"/>
          <w:lang w:val="en-US"/>
        </w:rPr>
        <w:footnoteReference w:id="39"/>
      </w:r>
    </w:p>
    <w:p w14:paraId="5B1A2DF1" w14:textId="77777777" w:rsidR="00183AC0" w:rsidRPr="00BD7537" w:rsidRDefault="00183AC0" w:rsidP="00CE1820">
      <w:pPr>
        <w:rPr>
          <w:lang w:val="en-US"/>
        </w:rPr>
      </w:pPr>
    </w:p>
    <w:p w14:paraId="16616B71" w14:textId="6C32EFA4" w:rsidR="00183AC0" w:rsidRPr="00AF3975" w:rsidRDefault="00183AC0" w:rsidP="00CE1820">
      <w:pPr>
        <w:widowControl w:val="0"/>
        <w:autoSpaceDE w:val="0"/>
        <w:autoSpaceDN w:val="0"/>
        <w:adjustRightInd w:val="0"/>
        <w:rPr>
          <w:lang w:val="en-US"/>
        </w:rPr>
      </w:pPr>
      <w:r w:rsidRPr="009066CE">
        <w:rPr>
          <w:lang w:val="en-US"/>
        </w:rPr>
        <w:t xml:space="preserve">Both the </w:t>
      </w:r>
      <w:r w:rsidR="009066CE" w:rsidRPr="009066CE">
        <w:rPr>
          <w:lang w:val="en-US"/>
        </w:rPr>
        <w:t>‘Quarrelling P</w:t>
      </w:r>
      <w:r w:rsidRPr="009066CE">
        <w:rPr>
          <w:lang w:val="en-US"/>
        </w:rPr>
        <w:t xml:space="preserve">riests’ and the Becket </w:t>
      </w:r>
      <w:r w:rsidR="00D159AB" w:rsidRPr="009066CE">
        <w:rPr>
          <w:lang w:val="en-US"/>
        </w:rPr>
        <w:t>murder</w:t>
      </w:r>
      <w:r w:rsidRPr="009066CE">
        <w:rPr>
          <w:lang w:val="en-US"/>
        </w:rPr>
        <w:t xml:space="preserve"> combined violent</w:t>
      </w:r>
      <w:r w:rsidRPr="00BD7537">
        <w:rPr>
          <w:lang w:val="en-US"/>
        </w:rPr>
        <w:t xml:space="preserve"> act/intent and physical contamination through spilling blood, though to very different degrees.</w:t>
      </w:r>
      <w:r w:rsidR="00CC6131">
        <w:rPr>
          <w:lang w:val="en-US"/>
        </w:rPr>
        <w:t xml:space="preserve"> By the </w:t>
      </w:r>
      <w:r w:rsidR="00AF3975">
        <w:rPr>
          <w:lang w:val="en-US"/>
        </w:rPr>
        <w:t>13</w:t>
      </w:r>
      <w:r w:rsidR="00AF3975" w:rsidRPr="00AF3975">
        <w:rPr>
          <w:vertAlign w:val="superscript"/>
          <w:lang w:val="en-US"/>
        </w:rPr>
        <w:t>th</w:t>
      </w:r>
      <w:r w:rsidR="00AF3975">
        <w:rPr>
          <w:lang w:val="en-US"/>
        </w:rPr>
        <w:t xml:space="preserve"> c</w:t>
      </w:r>
      <w:r w:rsidR="00DD2854">
        <w:rPr>
          <w:lang w:val="en-US"/>
        </w:rPr>
        <w:t>entury</w:t>
      </w:r>
      <w:r w:rsidR="00CC6131">
        <w:rPr>
          <w:lang w:val="en-US"/>
        </w:rPr>
        <w:t xml:space="preserve">, it was suggested that intentional violence was the polluting act (whether with or without the shedding of blood), and not blood flowing in any ‘natural’ </w:t>
      </w:r>
      <w:r w:rsidR="00CC6131" w:rsidRPr="00E01D9F">
        <w:rPr>
          <w:lang w:val="en-US"/>
        </w:rPr>
        <w:t>way</w:t>
      </w:r>
      <w:r w:rsidR="00E01D9F" w:rsidRPr="00E01D9F">
        <w:rPr>
          <w:rStyle w:val="FootnoteReference"/>
          <w:lang w:val="en-US"/>
        </w:rPr>
        <w:footnoteReference w:id="40"/>
      </w:r>
      <w:r w:rsidR="00E01D9F" w:rsidRPr="00E01D9F">
        <w:rPr>
          <w:lang w:val="en-US"/>
        </w:rPr>
        <w:t xml:space="preserve"> </w:t>
      </w:r>
      <w:r w:rsidR="00E01D9F" w:rsidRPr="00E01D9F">
        <w:rPr>
          <w:rFonts w:cs="Courier"/>
          <w:szCs w:val="26"/>
          <w:lang w:val="en-US"/>
        </w:rPr>
        <w:t>(by a natural nosebleed, for example).</w:t>
      </w:r>
      <w:r w:rsidR="00E01D9F" w:rsidRPr="00E01D9F">
        <w:rPr>
          <w:rStyle w:val="FootnoteReference"/>
          <w:lang w:val="en-US"/>
        </w:rPr>
        <w:t xml:space="preserve"> </w:t>
      </w:r>
      <w:r>
        <w:rPr>
          <w:lang w:val="en-US"/>
        </w:rPr>
        <w:t>Focus on violent acts, in relation to both sacred space and personnel, perhaps reflects important messages regarding the authority and ‘natural order’ of the Church. ‘Unnatural’ disruption could be seen as a challenge to these.</w:t>
      </w:r>
    </w:p>
    <w:p w14:paraId="32638F51" w14:textId="77777777" w:rsidR="00183AC0" w:rsidRPr="00BD7537" w:rsidRDefault="00183AC0" w:rsidP="00CE1820">
      <w:pPr>
        <w:rPr>
          <w:lang w:val="en-US"/>
        </w:rPr>
      </w:pPr>
      <w:r>
        <w:rPr>
          <w:lang w:val="en-US"/>
        </w:rPr>
        <w:t xml:space="preserve"> </w:t>
      </w:r>
    </w:p>
    <w:p w14:paraId="307DD1EC" w14:textId="74F6A26A" w:rsidR="00183AC0" w:rsidRPr="00BD7537" w:rsidRDefault="00183AC0" w:rsidP="00CE1820">
      <w:pPr>
        <w:rPr>
          <w:lang w:val="en-US"/>
        </w:rPr>
      </w:pPr>
      <w:r w:rsidRPr="00BD7537">
        <w:rPr>
          <w:lang w:val="en-US"/>
        </w:rPr>
        <w:t>Although physical contamination (such as through shedding of blood) would not always be a requirement for pollution, the presence of a material substance may have provided clear evidence of the defiling act</w:t>
      </w:r>
      <w:r>
        <w:rPr>
          <w:lang w:val="en-US"/>
        </w:rPr>
        <w:t xml:space="preserve">, </w:t>
      </w:r>
      <w:r w:rsidRPr="00BD7537">
        <w:rPr>
          <w:lang w:val="en-US"/>
        </w:rPr>
        <w:t>even if the violent inten</w:t>
      </w:r>
      <w:r>
        <w:rPr>
          <w:lang w:val="en-US"/>
        </w:rPr>
        <w:t>t were in fact the key element</w:t>
      </w:r>
      <w:r w:rsidRPr="00BD7537">
        <w:rPr>
          <w:lang w:val="en-US"/>
        </w:rPr>
        <w:t xml:space="preserve">. </w:t>
      </w:r>
      <w:r>
        <w:t>As well as an obvious indicator of the existence of violent intent, blood may also provide evidence of the degree of violence intended (as manifested in the outcome</w:t>
      </w:r>
      <w:r w:rsidR="00066368">
        <w:t xml:space="preserve">). </w:t>
      </w:r>
      <w:r>
        <w:t xml:space="preserve">The visual/physical, or tangible contamination through </w:t>
      </w:r>
      <w:r w:rsidRPr="00BD7537">
        <w:t>presence of blood may also provide a more immediately compelling motivation for remedial action, than more intangible or abstract contamination.</w:t>
      </w:r>
      <w:r w:rsidRPr="00BD7537">
        <w:rPr>
          <w:rStyle w:val="FootnoteReference"/>
        </w:rPr>
        <w:footnoteReference w:id="41"/>
      </w:r>
      <w:r>
        <w:t xml:space="preserve"> </w:t>
      </w:r>
    </w:p>
    <w:p w14:paraId="65EB06C0" w14:textId="77777777" w:rsidR="00183AC0" w:rsidRDefault="00183AC0" w:rsidP="00CE1820">
      <w:pPr>
        <w:widowControl w:val="0"/>
        <w:autoSpaceDE w:val="0"/>
        <w:autoSpaceDN w:val="0"/>
        <w:adjustRightInd w:val="0"/>
      </w:pPr>
    </w:p>
    <w:p w14:paraId="623AAD33" w14:textId="77777777" w:rsidR="000F3CE2" w:rsidRPr="00BD7537" w:rsidRDefault="000F3CE2" w:rsidP="00CE1820">
      <w:pPr>
        <w:widowControl w:val="0"/>
        <w:autoSpaceDE w:val="0"/>
        <w:autoSpaceDN w:val="0"/>
        <w:adjustRightInd w:val="0"/>
      </w:pPr>
    </w:p>
    <w:p w14:paraId="216BAB1A" w14:textId="77777777" w:rsidR="000F3CE2" w:rsidRPr="00BD7537" w:rsidRDefault="000F3CE2" w:rsidP="000F3CE2">
      <w:pPr>
        <w:rPr>
          <w:b/>
        </w:rPr>
      </w:pPr>
      <w:r w:rsidRPr="00BD7537">
        <w:rPr>
          <w:b/>
        </w:rPr>
        <w:t xml:space="preserve">‘Target’ of Pollution </w:t>
      </w:r>
    </w:p>
    <w:p w14:paraId="3A8FD046" w14:textId="77777777" w:rsidR="000F3CE2" w:rsidRPr="00BD7537" w:rsidRDefault="000F3CE2" w:rsidP="000F3CE2">
      <w:pPr>
        <w:rPr>
          <w:b/>
        </w:rPr>
      </w:pPr>
    </w:p>
    <w:p w14:paraId="3A35E060" w14:textId="77777777" w:rsidR="000F3CE2" w:rsidRPr="00BD7537" w:rsidRDefault="000F3CE2" w:rsidP="000F3CE2">
      <w:r w:rsidRPr="00BD7537">
        <w:t xml:space="preserve">Not all parts of the </w:t>
      </w:r>
      <w:r>
        <w:t>church were equally sensitive receptors</w:t>
      </w:r>
      <w:r w:rsidRPr="00BD7537">
        <w:t xml:space="preserve"> of polluting acts. Both churchyard and </w:t>
      </w:r>
      <w:r>
        <w:t>church</w:t>
      </w:r>
      <w:r w:rsidRPr="00BD7537">
        <w:t xml:space="preserve"> building could suffer from pollution, but the impact would </w:t>
      </w:r>
      <w:r w:rsidRPr="00CC6131">
        <w:t>differ. Decretals established that pollution of the churchyard would not itself include pollution of the church, but pollution of church would affect an adjacent churchyard as well.</w:t>
      </w:r>
      <w:r w:rsidRPr="00CC6131">
        <w:rPr>
          <w:rStyle w:val="FootnoteReference"/>
        </w:rPr>
        <w:footnoteReference w:id="42"/>
      </w:r>
      <w:r w:rsidRPr="00CC6131">
        <w:t xml:space="preserve"> It also seems that the precise focus of the act could be important. An act that took</w:t>
      </w:r>
      <w:r w:rsidRPr="00BD7537">
        <w:t xml:space="preserve"> place at, or closer to, the altar might not need to be so severe in order to have polluti</w:t>
      </w:r>
      <w:r>
        <w:t>ng effect, so that there was a ‘</w:t>
      </w:r>
      <w:r w:rsidRPr="00BD7537">
        <w:t>graduated sense of sacrality</w:t>
      </w:r>
      <w:r>
        <w:t>’</w:t>
      </w:r>
      <w:r w:rsidRPr="00BD7537">
        <w:t>, with pollution considered more or less offensive depending on the</w:t>
      </w:r>
      <w:r>
        <w:t xml:space="preserve"> sensitivity of the</w:t>
      </w:r>
      <w:r w:rsidRPr="00BD7537">
        <w:t xml:space="preserve"> specific location.</w:t>
      </w:r>
      <w:r w:rsidRPr="00BD7537">
        <w:rPr>
          <w:rStyle w:val="FootnoteReference"/>
        </w:rPr>
        <w:footnoteReference w:id="43"/>
      </w:r>
      <w:r w:rsidRPr="00BD7537">
        <w:t xml:space="preserve"> Simi</w:t>
      </w:r>
      <w:r>
        <w:t xml:space="preserve">larly, it appears that suicide </w:t>
      </w:r>
      <w:r w:rsidRPr="00BD7537">
        <w:t xml:space="preserve">in the midst of </w:t>
      </w:r>
      <w:r>
        <w:t>the congregation during service’</w:t>
      </w:r>
      <w:r w:rsidRPr="00BD7537">
        <w:t xml:space="preserve"> would aggravate the act of pollution.</w:t>
      </w:r>
      <w:r w:rsidRPr="00BD7537">
        <w:rPr>
          <w:rStyle w:val="FootnoteReference"/>
        </w:rPr>
        <w:footnoteReference w:id="44"/>
      </w:r>
    </w:p>
    <w:p w14:paraId="3FED9FA3" w14:textId="77777777" w:rsidR="000F3CE2" w:rsidRPr="00BD7537" w:rsidRDefault="000F3CE2" w:rsidP="000F3CE2"/>
    <w:p w14:paraId="1A12051C" w14:textId="77777777" w:rsidR="000F3CE2" w:rsidRDefault="000F3CE2" w:rsidP="000F3CE2">
      <w:r w:rsidRPr="00BD7537">
        <w:t xml:space="preserve">Though the main focus for pollution concerns and protection was </w:t>
      </w:r>
      <w:r>
        <w:t>church</w:t>
      </w:r>
      <w:r w:rsidRPr="00BD7537">
        <w:t xml:space="preserve"> property, these could also include the clergy in some senses. As the basis for pollution is a form of defilement or sacrilege, the object could include </w:t>
      </w:r>
      <w:r>
        <w:t>embodiment of the holy</w:t>
      </w:r>
      <w:r w:rsidRPr="00BD7537">
        <w:t xml:space="preserve"> in the mode of human body, as well as </w:t>
      </w:r>
      <w:r>
        <w:t xml:space="preserve">sacred </w:t>
      </w:r>
      <w:r w:rsidRPr="00BD7537">
        <w:t xml:space="preserve">space. In the Becket </w:t>
      </w:r>
      <w:r>
        <w:t>murder</w:t>
      </w:r>
      <w:r w:rsidRPr="00BD7537">
        <w:t xml:space="preserve">, for example, the polluting acts were considered doubly sacrilegious as they consisted both bloodshed in the most holy part of the Cathedral and violence perpetrated to </w:t>
      </w:r>
      <w:r>
        <w:t xml:space="preserve">a </w:t>
      </w:r>
      <w:r w:rsidRPr="00BD7537">
        <w:t>holy figure.</w:t>
      </w:r>
      <w:r w:rsidRPr="00BD7537">
        <w:rPr>
          <w:rStyle w:val="FootnoteReference"/>
        </w:rPr>
        <w:footnoteReference w:id="45"/>
      </w:r>
      <w:r w:rsidRPr="00BD7537">
        <w:t xml:space="preserve"> </w:t>
      </w:r>
    </w:p>
    <w:p w14:paraId="405AD54B" w14:textId="77777777" w:rsidR="000F3CE2" w:rsidRDefault="000F3CE2" w:rsidP="000F3CE2"/>
    <w:p w14:paraId="046EE08D" w14:textId="77777777" w:rsidR="00183AC0" w:rsidRPr="00BD7537" w:rsidRDefault="00183AC0" w:rsidP="00CE1820">
      <w:pPr>
        <w:rPr>
          <w:b/>
        </w:rPr>
      </w:pPr>
    </w:p>
    <w:p w14:paraId="2CA92ACF" w14:textId="77777777" w:rsidR="00183AC0" w:rsidRPr="007B7449" w:rsidRDefault="00183AC0" w:rsidP="00CE1820">
      <w:pPr>
        <w:widowControl w:val="0"/>
        <w:autoSpaceDE w:val="0"/>
        <w:autoSpaceDN w:val="0"/>
        <w:adjustRightInd w:val="0"/>
        <w:rPr>
          <w:b/>
          <w:lang w:val="en-US"/>
        </w:rPr>
      </w:pPr>
      <w:r w:rsidRPr="007B7449">
        <w:rPr>
          <w:b/>
          <w:lang w:val="en-US"/>
        </w:rPr>
        <w:t>Pollution Impacts and Restoration</w:t>
      </w:r>
    </w:p>
    <w:p w14:paraId="70DC19C4" w14:textId="77777777" w:rsidR="00183AC0" w:rsidRPr="00BD7537" w:rsidRDefault="00183AC0" w:rsidP="00CE1820">
      <w:pPr>
        <w:widowControl w:val="0"/>
        <w:autoSpaceDE w:val="0"/>
        <w:autoSpaceDN w:val="0"/>
        <w:adjustRightInd w:val="0"/>
      </w:pPr>
    </w:p>
    <w:p w14:paraId="46D57AD9" w14:textId="5E6CB33B" w:rsidR="00183AC0" w:rsidRPr="006E2315" w:rsidRDefault="00183AC0" w:rsidP="00CE1820">
      <w:pPr>
        <w:widowControl w:val="0"/>
        <w:autoSpaceDE w:val="0"/>
        <w:autoSpaceDN w:val="0"/>
        <w:adjustRightInd w:val="0"/>
        <w:rPr>
          <w:lang w:val="en-US"/>
        </w:rPr>
      </w:pPr>
      <w:r w:rsidRPr="00BD7537">
        <w:t xml:space="preserve">Where pollution of a church had been established, there was a range of consequences, for a variety of people. </w:t>
      </w:r>
      <w:r w:rsidRPr="00BD7537">
        <w:rPr>
          <w:lang w:val="en-US"/>
        </w:rPr>
        <w:t xml:space="preserve">For individual miscreants, their acts might result in prosecution and penalty under ecclesiastical law. Of wider significance, however, was the effect on the </w:t>
      </w:r>
      <w:r>
        <w:rPr>
          <w:lang w:val="en-US"/>
        </w:rPr>
        <w:t>church</w:t>
      </w:r>
      <w:r w:rsidRPr="00BD7537">
        <w:rPr>
          <w:lang w:val="en-US"/>
        </w:rPr>
        <w:t xml:space="preserve"> and consequential impacts on the community</w:t>
      </w:r>
      <w:r w:rsidR="00EB2049">
        <w:rPr>
          <w:lang w:val="en-US"/>
        </w:rPr>
        <w:t>, including those on the wider spiritual environment</w:t>
      </w:r>
      <w:r w:rsidRPr="00BD7537">
        <w:rPr>
          <w:lang w:val="en-US"/>
        </w:rPr>
        <w:t>.</w:t>
      </w:r>
      <w:r w:rsidR="006E2315">
        <w:rPr>
          <w:lang w:val="en-US"/>
        </w:rPr>
        <w:t xml:space="preserve"> </w:t>
      </w:r>
      <w:r w:rsidRPr="00BD7537">
        <w:rPr>
          <w:lang w:val="en-US"/>
        </w:rPr>
        <w:t>Where acts included p</w:t>
      </w:r>
      <w:r>
        <w:rPr>
          <w:lang w:val="en-US"/>
        </w:rPr>
        <w:t>otentially polluting</w:t>
      </w:r>
      <w:r w:rsidRPr="00BD7537">
        <w:rPr>
          <w:lang w:val="en-US"/>
        </w:rPr>
        <w:t xml:space="preserve"> elements, there were important implications for (church) society as well as individuals. </w:t>
      </w:r>
      <w:r>
        <w:rPr>
          <w:lang w:val="en-US"/>
        </w:rPr>
        <w:t>If</w:t>
      </w:r>
      <w:r w:rsidRPr="00BD7537">
        <w:rPr>
          <w:lang w:val="en-US"/>
        </w:rPr>
        <w:t xml:space="preserve"> sacred property was </w:t>
      </w:r>
      <w:r>
        <w:rPr>
          <w:lang w:val="en-US"/>
        </w:rPr>
        <w:t>defiled in a way that polluted</w:t>
      </w:r>
      <w:r w:rsidRPr="00BD7537">
        <w:rPr>
          <w:lang w:val="en-US"/>
        </w:rPr>
        <w:t xml:space="preserve"> it, the consequences of the polluting activity</w:t>
      </w:r>
      <w:r>
        <w:rPr>
          <w:lang w:val="en-US"/>
        </w:rPr>
        <w:t xml:space="preserve"> </w:t>
      </w:r>
      <w:r w:rsidRPr="00BD7537">
        <w:rPr>
          <w:lang w:val="en-US"/>
        </w:rPr>
        <w:t xml:space="preserve">had to be addressed. The (sacred nature of the) property </w:t>
      </w:r>
      <w:r>
        <w:rPr>
          <w:lang w:val="en-US"/>
        </w:rPr>
        <w:t>required</w:t>
      </w:r>
      <w:r w:rsidRPr="00BD7537">
        <w:rPr>
          <w:lang w:val="en-US"/>
        </w:rPr>
        <w:t xml:space="preserve"> re</w:t>
      </w:r>
      <w:r>
        <w:rPr>
          <w:lang w:val="en-US"/>
        </w:rPr>
        <w:t>habilitation</w:t>
      </w:r>
      <w:r w:rsidRPr="00BD7537">
        <w:rPr>
          <w:lang w:val="en-US"/>
        </w:rPr>
        <w:t xml:space="preserve"> through a procedure including a form of restoration. Re-dedication, or re-consecration, is </w:t>
      </w:r>
      <w:r w:rsidRPr="00BD7537">
        <w:rPr>
          <w:rFonts w:cs="Courier"/>
          <w:szCs w:val="26"/>
          <w:lang w:val="en-US"/>
        </w:rPr>
        <w:t>a repetition of the en</w:t>
      </w:r>
      <w:r>
        <w:rPr>
          <w:rFonts w:cs="Courier"/>
          <w:szCs w:val="26"/>
          <w:lang w:val="en-US"/>
        </w:rPr>
        <w:t xml:space="preserve">tire dedication ceremony, but </w:t>
      </w:r>
      <w:r w:rsidR="00EB2049">
        <w:rPr>
          <w:rFonts w:cs="Courier"/>
          <w:szCs w:val="26"/>
          <w:lang w:val="en-US"/>
        </w:rPr>
        <w:t>‘</w:t>
      </w:r>
      <w:r>
        <w:rPr>
          <w:rFonts w:cs="Courier"/>
          <w:szCs w:val="26"/>
          <w:lang w:val="en-US"/>
        </w:rPr>
        <w:t>reconciliation</w:t>
      </w:r>
      <w:r w:rsidR="00EB2049">
        <w:rPr>
          <w:rFonts w:cs="Courier"/>
          <w:szCs w:val="26"/>
          <w:lang w:val="en-US"/>
        </w:rPr>
        <w:t>’</w:t>
      </w:r>
      <w:r w:rsidRPr="00BD7537">
        <w:rPr>
          <w:rFonts w:cs="Courier"/>
          <w:szCs w:val="26"/>
          <w:lang w:val="en-US"/>
        </w:rPr>
        <w:t xml:space="preserve"> refers essentially to a </w:t>
      </w:r>
      <w:r w:rsidR="006E2315">
        <w:rPr>
          <w:rFonts w:cs="Courier"/>
          <w:szCs w:val="26"/>
          <w:lang w:val="en-US"/>
        </w:rPr>
        <w:t xml:space="preserve">secondary </w:t>
      </w:r>
      <w:r w:rsidRPr="00BD7537">
        <w:rPr>
          <w:rFonts w:cs="Courier"/>
          <w:szCs w:val="26"/>
          <w:lang w:val="en-US"/>
        </w:rPr>
        <w:t>ceremony including blessing with holy water (see below).  The former implies that a church has completely lost its sacred character</w:t>
      </w:r>
      <w:r>
        <w:rPr>
          <w:rFonts w:cs="Courier"/>
          <w:szCs w:val="26"/>
          <w:lang w:val="en-US"/>
        </w:rPr>
        <w:t>;</w:t>
      </w:r>
      <w:r w:rsidRPr="00BD7537">
        <w:rPr>
          <w:rFonts w:cs="Courier"/>
          <w:szCs w:val="26"/>
          <w:lang w:val="en-US"/>
        </w:rPr>
        <w:t xml:space="preserve"> the latter </w:t>
      </w:r>
      <w:bookmarkStart w:id="0" w:name="_GoBack"/>
      <w:bookmarkEnd w:id="0"/>
      <w:r w:rsidRPr="00BD7537">
        <w:rPr>
          <w:rFonts w:cs="Courier"/>
          <w:szCs w:val="26"/>
          <w:lang w:val="en-US"/>
        </w:rPr>
        <w:t xml:space="preserve">implies that </w:t>
      </w:r>
      <w:r>
        <w:rPr>
          <w:rFonts w:cs="Courier"/>
          <w:szCs w:val="26"/>
          <w:lang w:val="en-US"/>
        </w:rPr>
        <w:t xml:space="preserve">although </w:t>
      </w:r>
      <w:r w:rsidRPr="00BD7537">
        <w:rPr>
          <w:rFonts w:cs="Courier"/>
          <w:szCs w:val="26"/>
          <w:lang w:val="en-US"/>
        </w:rPr>
        <w:t xml:space="preserve">the church is defiled, </w:t>
      </w:r>
      <w:r>
        <w:rPr>
          <w:rFonts w:cs="Courier"/>
          <w:szCs w:val="26"/>
          <w:lang w:val="en-US"/>
        </w:rPr>
        <w:t>it remains</w:t>
      </w:r>
      <w:r w:rsidRPr="00BD7537">
        <w:rPr>
          <w:rFonts w:cs="Courier"/>
          <w:szCs w:val="26"/>
          <w:lang w:val="en-US"/>
        </w:rPr>
        <w:t xml:space="preserve"> sacred. </w:t>
      </w:r>
    </w:p>
    <w:p w14:paraId="06D6C069" w14:textId="77777777" w:rsidR="00183AC0" w:rsidRPr="00BD7537" w:rsidRDefault="00183AC0" w:rsidP="00CE1820">
      <w:pPr>
        <w:widowControl w:val="0"/>
        <w:autoSpaceDE w:val="0"/>
        <w:autoSpaceDN w:val="0"/>
        <w:adjustRightInd w:val="0"/>
        <w:rPr>
          <w:rFonts w:cs="Courier"/>
          <w:szCs w:val="26"/>
          <w:lang w:val="en-US"/>
        </w:rPr>
      </w:pPr>
    </w:p>
    <w:p w14:paraId="77A02CFF" w14:textId="3C36F107" w:rsidR="00183AC0" w:rsidRDefault="00183AC0" w:rsidP="00CE1820">
      <w:pPr>
        <w:rPr>
          <w:lang w:val="en-US"/>
        </w:rPr>
      </w:pPr>
      <w:r w:rsidRPr="000F3CE2">
        <w:rPr>
          <w:lang w:val="en-US"/>
        </w:rPr>
        <w:t>As with the nature of pollution, the</w:t>
      </w:r>
      <w:r w:rsidRPr="00BD7537">
        <w:rPr>
          <w:lang w:val="en-US"/>
        </w:rPr>
        <w:t xml:space="preserve"> precise form of purifying ritual required seems to have been rather fluid over the time and localities.</w:t>
      </w:r>
      <w:r w:rsidRPr="00BD7537">
        <w:rPr>
          <w:rStyle w:val="FootnoteReference"/>
          <w:lang w:val="en-US"/>
        </w:rPr>
        <w:footnoteReference w:id="46"/>
      </w:r>
      <w:r w:rsidRPr="00BD7537">
        <w:rPr>
          <w:lang w:val="en-US"/>
        </w:rPr>
        <w:t xml:space="preserve"> </w:t>
      </w:r>
      <w:r w:rsidR="009066CE">
        <w:rPr>
          <w:lang w:val="en-US"/>
        </w:rPr>
        <w:t>I</w:t>
      </w:r>
      <w:r w:rsidRPr="00BD7537">
        <w:rPr>
          <w:lang w:val="en-US"/>
        </w:rPr>
        <w:t>t seems</w:t>
      </w:r>
      <w:r w:rsidR="009066CE">
        <w:rPr>
          <w:lang w:val="en-US"/>
        </w:rPr>
        <w:t>, however,</w:t>
      </w:r>
      <w:r w:rsidRPr="00BD7537">
        <w:rPr>
          <w:lang w:val="en-US"/>
        </w:rPr>
        <w:t xml:space="preserve"> that in England the mo</w:t>
      </w:r>
      <w:r>
        <w:rPr>
          <w:lang w:val="en-US"/>
        </w:rPr>
        <w:t>re commonly accepted method of restoration</w:t>
      </w:r>
      <w:r w:rsidRPr="00BD7537">
        <w:rPr>
          <w:lang w:val="en-US"/>
        </w:rPr>
        <w:t xml:space="preserve"> was in the lesser form of a reconciliation conducted by a </w:t>
      </w:r>
      <w:r>
        <w:rPr>
          <w:lang w:val="en-US"/>
        </w:rPr>
        <w:t>bishop</w:t>
      </w:r>
      <w:r w:rsidRPr="00BD7537">
        <w:rPr>
          <w:lang w:val="en-US"/>
        </w:rPr>
        <w:t>.</w:t>
      </w:r>
      <w:r w:rsidRPr="00BD7537">
        <w:rPr>
          <w:rStyle w:val="FootnoteReference"/>
          <w:lang w:val="en-US"/>
        </w:rPr>
        <w:footnoteReference w:id="47"/>
      </w:r>
      <w:r w:rsidRPr="00BD7537">
        <w:rPr>
          <w:lang w:val="en-US"/>
        </w:rPr>
        <w:t xml:space="preserve"> A chapter in the Gregorian Decretals stated that</w:t>
      </w:r>
      <w:r>
        <w:rPr>
          <w:lang w:val="en-US"/>
        </w:rPr>
        <w:t xml:space="preserve"> the shedding of blood must be reconciled</w:t>
      </w:r>
      <w:r w:rsidRPr="00BD7537">
        <w:rPr>
          <w:lang w:val="en-US"/>
        </w:rPr>
        <w:t xml:space="preserve"> by the formal </w:t>
      </w:r>
      <w:r w:rsidRPr="009066CE">
        <w:rPr>
          <w:lang w:val="en-US"/>
        </w:rPr>
        <w:t>action of the bishop.</w:t>
      </w:r>
      <w:r w:rsidRPr="009066CE">
        <w:rPr>
          <w:rStyle w:val="FootnoteReference"/>
          <w:lang w:val="en-US"/>
        </w:rPr>
        <w:footnoteReference w:id="48"/>
      </w:r>
      <w:r w:rsidRPr="009066CE">
        <w:rPr>
          <w:lang w:val="en-US"/>
        </w:rPr>
        <w:t xml:space="preserve"> The </w:t>
      </w:r>
      <w:r w:rsidR="009066CE" w:rsidRPr="009066CE">
        <w:rPr>
          <w:lang w:val="en-US"/>
        </w:rPr>
        <w:t xml:space="preserve">St. Paul’s </w:t>
      </w:r>
      <w:r w:rsidRPr="009066CE">
        <w:rPr>
          <w:lang w:val="en-US"/>
        </w:rPr>
        <w:t>case considered this point exactly, notin</w:t>
      </w:r>
      <w:r w:rsidRPr="00BD7537">
        <w:rPr>
          <w:lang w:val="en-US"/>
        </w:rPr>
        <w:t xml:space="preserve">g </w:t>
      </w:r>
      <w:r>
        <w:rPr>
          <w:lang w:val="en-US"/>
        </w:rPr>
        <w:t xml:space="preserve">that despite </w:t>
      </w:r>
      <w:r w:rsidRPr="00BD7537">
        <w:rPr>
          <w:lang w:val="en-US"/>
        </w:rPr>
        <w:t xml:space="preserve">suggestions that a re-consecration was necessary several precedents </w:t>
      </w:r>
      <w:r>
        <w:rPr>
          <w:lang w:val="en-US"/>
        </w:rPr>
        <w:t>could be</w:t>
      </w:r>
      <w:r w:rsidRPr="00BD7537">
        <w:rPr>
          <w:lang w:val="en-US"/>
        </w:rPr>
        <w:t xml:space="preserve"> found whereby a Sentence of Reconciliation was pronounced after a homicide by violence in a cathedral or church (</w:t>
      </w:r>
      <w:r w:rsidRPr="009066CE">
        <w:rPr>
          <w:lang w:val="en-US"/>
        </w:rPr>
        <w:t xml:space="preserve">including </w:t>
      </w:r>
      <w:r w:rsidR="00D159AB" w:rsidRPr="009066CE">
        <w:rPr>
          <w:lang w:val="en-US"/>
        </w:rPr>
        <w:t>the Becket murder</w:t>
      </w:r>
      <w:r w:rsidRPr="009066CE">
        <w:rPr>
          <w:lang w:val="en-US"/>
        </w:rPr>
        <w:t>),</w:t>
      </w:r>
      <w:r w:rsidRPr="00BD7537">
        <w:rPr>
          <w:lang w:val="en-US"/>
        </w:rPr>
        <w:t xml:space="preserve"> </w:t>
      </w:r>
      <w:r>
        <w:rPr>
          <w:lang w:val="en-US"/>
        </w:rPr>
        <w:t>there being</w:t>
      </w:r>
      <w:r w:rsidRPr="00BD7537">
        <w:rPr>
          <w:lang w:val="en-US"/>
        </w:rPr>
        <w:t xml:space="preserve"> a diversity in practice since the Reformation.</w:t>
      </w:r>
      <w:r w:rsidRPr="00BD7537">
        <w:rPr>
          <w:rStyle w:val="FootnoteReference"/>
          <w:lang w:val="en-US"/>
        </w:rPr>
        <w:footnoteReference w:id="49"/>
      </w:r>
      <w:r w:rsidRPr="00BD7537">
        <w:rPr>
          <w:lang w:val="en-US"/>
        </w:rPr>
        <w:t xml:space="preserve"> </w:t>
      </w:r>
    </w:p>
    <w:p w14:paraId="56EB1CF5" w14:textId="77777777" w:rsidR="00183AC0" w:rsidRDefault="00183AC0" w:rsidP="00CE1820">
      <w:pPr>
        <w:rPr>
          <w:lang w:val="en-US"/>
        </w:rPr>
      </w:pPr>
    </w:p>
    <w:p w14:paraId="3684BF40" w14:textId="77777777" w:rsidR="00DE7178" w:rsidRDefault="00183AC0" w:rsidP="00CE1820">
      <w:pPr>
        <w:rPr>
          <w:lang w:val="en-US"/>
        </w:rPr>
      </w:pPr>
      <w:r w:rsidRPr="00BD7537">
        <w:rPr>
          <w:lang w:val="en-US"/>
        </w:rPr>
        <w:t>The reconciliation ritual involved various rites of atonement, and restoration, with the first part a ritual cleansing.</w:t>
      </w:r>
      <w:r w:rsidRPr="00BD7537">
        <w:rPr>
          <w:rStyle w:val="FootnoteReference"/>
          <w:lang w:val="en-US"/>
        </w:rPr>
        <w:footnoteReference w:id="50"/>
      </w:r>
      <w:r w:rsidRPr="00BD7537">
        <w:rPr>
          <w:lang w:val="en-US"/>
        </w:rPr>
        <w:t xml:space="preserve"> That cleansing included both physical and spiritual senses.</w:t>
      </w:r>
      <w:r w:rsidRPr="00BD7537">
        <w:rPr>
          <w:rStyle w:val="FootnoteReference"/>
          <w:lang w:val="en-US"/>
        </w:rPr>
        <w:footnoteReference w:id="51"/>
      </w:r>
      <w:r w:rsidR="00DE7178">
        <w:rPr>
          <w:lang w:val="en-US"/>
        </w:rPr>
        <w:t xml:space="preserve">  </w:t>
      </w:r>
    </w:p>
    <w:p w14:paraId="1748A762" w14:textId="77777777" w:rsidR="00DE7178" w:rsidRDefault="00DE7178" w:rsidP="00CE1820">
      <w:pPr>
        <w:rPr>
          <w:lang w:val="en-US"/>
        </w:rPr>
      </w:pPr>
    </w:p>
    <w:p w14:paraId="594A1F62" w14:textId="77777777" w:rsidR="00DE7178" w:rsidRDefault="00DE7178" w:rsidP="00CE1820">
      <w:pPr>
        <w:ind w:left="567" w:right="602"/>
        <w:rPr>
          <w:lang w:val="en-US"/>
        </w:rPr>
      </w:pPr>
      <w:r>
        <w:rPr>
          <w:lang w:val="en-US"/>
        </w:rPr>
        <w:t>‘</w:t>
      </w:r>
      <w:r w:rsidR="006E2315">
        <w:rPr>
          <w:lang w:val="en-US"/>
        </w:rPr>
        <w:t>[</w:t>
      </w:r>
      <w:r w:rsidR="00183AC0" w:rsidRPr="00BD7537">
        <w:rPr>
          <w:lang w:val="en-US"/>
        </w:rPr>
        <w:t>The</w:t>
      </w:r>
      <w:r w:rsidR="006E2315">
        <w:rPr>
          <w:lang w:val="en-US"/>
        </w:rPr>
        <w:t>]</w:t>
      </w:r>
      <w:r w:rsidR="00183AC0" w:rsidRPr="00BD7537">
        <w:rPr>
          <w:lang w:val="en-US"/>
        </w:rPr>
        <w:t xml:space="preserve"> defilement was traditionally considered to have ramifications that radiated beyond the local community.  The parish priest could not remedy it insofar as the church required reconciliation by the bishop. And his intervention was dramatic. Circling the church three times, he cleansed the polluted spot with aspersions of holy water, mixed with salt, wine and ashes. His prayers were fraught with the langu</w:t>
      </w:r>
      <w:r>
        <w:rPr>
          <w:lang w:val="en-US"/>
        </w:rPr>
        <w:t>age of defilement and purgation’</w:t>
      </w:r>
      <w:r w:rsidR="00183AC0" w:rsidRPr="00BD7537">
        <w:rPr>
          <w:lang w:val="en-US"/>
        </w:rPr>
        <w:t>.</w:t>
      </w:r>
      <w:r w:rsidR="00183AC0" w:rsidRPr="00BD7537">
        <w:rPr>
          <w:rStyle w:val="FootnoteReference"/>
          <w:lang w:val="en-US"/>
        </w:rPr>
        <w:footnoteReference w:id="52"/>
      </w:r>
      <w:r w:rsidR="006E2315">
        <w:rPr>
          <w:lang w:val="en-US"/>
        </w:rPr>
        <w:t xml:space="preserve"> </w:t>
      </w:r>
    </w:p>
    <w:p w14:paraId="03D3EB53" w14:textId="77777777" w:rsidR="00DE7178" w:rsidRDefault="00DE7178" w:rsidP="00CE1820">
      <w:pPr>
        <w:rPr>
          <w:lang w:val="en-US"/>
        </w:rPr>
      </w:pPr>
    </w:p>
    <w:p w14:paraId="14C2D99E" w14:textId="6602BAA3" w:rsidR="00183AC0" w:rsidRPr="00BD7537" w:rsidRDefault="00183AC0" w:rsidP="00CE1820">
      <w:pPr>
        <w:rPr>
          <w:lang w:val="en-US"/>
        </w:rPr>
      </w:pPr>
      <w:r>
        <w:rPr>
          <w:lang w:val="en-US"/>
        </w:rPr>
        <w:t xml:space="preserve">The </w:t>
      </w:r>
      <w:r w:rsidRPr="00BD7537">
        <w:rPr>
          <w:lang w:val="en-US"/>
        </w:rPr>
        <w:t>pollution was seen as somethi</w:t>
      </w:r>
      <w:r w:rsidR="00DE7178">
        <w:rPr>
          <w:lang w:val="en-US"/>
        </w:rPr>
        <w:t>ng that could be scrubbed away ‘</w:t>
      </w:r>
      <w:r>
        <w:rPr>
          <w:lang w:val="en-US"/>
        </w:rPr>
        <w:t>like dirt in a roo</w:t>
      </w:r>
      <w:r w:rsidR="00DE7178">
        <w:rPr>
          <w:lang w:val="en-US"/>
        </w:rPr>
        <w:t>m’</w:t>
      </w:r>
      <w:r w:rsidRPr="00BD7537">
        <w:rPr>
          <w:lang w:val="en-US"/>
        </w:rPr>
        <w:t>, and the ritual of reconciliation treats the church much like a person in need of scrubbing.</w:t>
      </w:r>
      <w:r w:rsidRPr="00BD7537">
        <w:rPr>
          <w:rStyle w:val="FootnoteReference"/>
          <w:lang w:val="en-US"/>
        </w:rPr>
        <w:footnoteReference w:id="53"/>
      </w:r>
      <w:r w:rsidRPr="00BD7537">
        <w:rPr>
          <w:lang w:val="en-US"/>
        </w:rPr>
        <w:t xml:space="preserve"> </w:t>
      </w:r>
    </w:p>
    <w:p w14:paraId="12234A7C" w14:textId="77777777" w:rsidR="00183AC0" w:rsidRPr="00BD7537" w:rsidRDefault="00183AC0" w:rsidP="00CE1820">
      <w:pPr>
        <w:rPr>
          <w:lang w:val="en-US"/>
        </w:rPr>
      </w:pPr>
    </w:p>
    <w:p w14:paraId="6EED207B" w14:textId="0DB9D44D" w:rsidR="00183AC0" w:rsidRPr="00BD7537" w:rsidRDefault="00183AC0" w:rsidP="006E7FA1">
      <w:pPr>
        <w:ind w:right="35"/>
        <w:rPr>
          <w:lang w:val="en-US"/>
        </w:rPr>
      </w:pPr>
      <w:r w:rsidRPr="00BD7537">
        <w:rPr>
          <w:lang w:val="en-US"/>
        </w:rPr>
        <w:t>The requirement for reconciliation raised further issues. An effective process had to be arranged and undertaken</w:t>
      </w:r>
      <w:r w:rsidR="006E2315">
        <w:rPr>
          <w:lang w:val="en-US"/>
        </w:rPr>
        <w:t>, and t</w:t>
      </w:r>
      <w:r w:rsidRPr="00BD7537">
        <w:rPr>
          <w:lang w:val="en-US"/>
        </w:rPr>
        <w:t xml:space="preserve">he costs </w:t>
      </w:r>
      <w:r w:rsidR="006E2315">
        <w:rPr>
          <w:lang w:val="en-US"/>
        </w:rPr>
        <w:t xml:space="preserve">met </w:t>
      </w:r>
      <w:r w:rsidRPr="00BD7537">
        <w:rPr>
          <w:lang w:val="en-US"/>
        </w:rPr>
        <w:t>of u</w:t>
      </w:r>
      <w:r w:rsidR="006E2315">
        <w:rPr>
          <w:lang w:val="en-US"/>
        </w:rPr>
        <w:t>ndertaking the restorative acts</w:t>
      </w:r>
      <w:r w:rsidRPr="00BD7537">
        <w:rPr>
          <w:lang w:val="en-US"/>
        </w:rPr>
        <w:t>. Crucially, the impacts of the impairment of the property would have to be addressed in the intervening period. At the heart of the issue was the effect of the pollution on</w:t>
      </w:r>
      <w:r w:rsidR="00634C6E">
        <w:rPr>
          <w:lang w:val="en-US"/>
        </w:rPr>
        <w:t xml:space="preserve"> and beyond</w:t>
      </w:r>
      <w:r w:rsidRPr="00BD7537">
        <w:rPr>
          <w:lang w:val="en-US"/>
        </w:rPr>
        <w:t xml:space="preserve"> the sacred property. This rendered the space no longer effective in delivering services (literally and </w:t>
      </w:r>
      <w:r w:rsidR="00DE7178">
        <w:rPr>
          <w:lang w:val="en-US"/>
        </w:rPr>
        <w:t>conceptually) as the pollution ‘</w:t>
      </w:r>
      <w:r w:rsidRPr="00BD7537">
        <w:rPr>
          <w:lang w:val="en-US"/>
        </w:rPr>
        <w:t>suspended the efficacy of [c</w:t>
      </w:r>
      <w:r w:rsidR="00DE7178">
        <w:rPr>
          <w:lang w:val="en-US"/>
        </w:rPr>
        <w:t>hurches] as media to the divine’</w:t>
      </w:r>
      <w:r w:rsidRPr="00BD7537">
        <w:rPr>
          <w:lang w:val="en-US"/>
        </w:rPr>
        <w:t>.</w:t>
      </w:r>
      <w:r w:rsidRPr="00BD7537">
        <w:rPr>
          <w:rStyle w:val="FootnoteReference"/>
          <w:lang w:val="en-US"/>
        </w:rPr>
        <w:footnoteReference w:id="54"/>
      </w:r>
      <w:r w:rsidRPr="00BD7537">
        <w:rPr>
          <w:lang w:val="en-US"/>
        </w:rPr>
        <w:t xml:space="preserve"> Until the sacred space was reconciled, all sacraments and burials were </w:t>
      </w:r>
      <w:r>
        <w:rPr>
          <w:lang w:val="en-US"/>
        </w:rPr>
        <w:t xml:space="preserve">inhibited </w:t>
      </w:r>
      <w:r w:rsidR="00DE7178">
        <w:rPr>
          <w:lang w:val="en-US"/>
        </w:rPr>
        <w:t>for fear of ‘</w:t>
      </w:r>
      <w:r w:rsidRPr="00BD7537">
        <w:rPr>
          <w:lang w:val="en-US"/>
        </w:rPr>
        <w:t xml:space="preserve">endangering the souls of </w:t>
      </w:r>
      <w:r w:rsidR="00DE7178">
        <w:rPr>
          <w:lang w:val="en-US"/>
        </w:rPr>
        <w:t>parishioners’</w:t>
      </w:r>
      <w:r w:rsidRPr="00BD7537">
        <w:rPr>
          <w:lang w:val="en-US"/>
        </w:rPr>
        <w:t>.</w:t>
      </w:r>
      <w:r w:rsidRPr="00BD7537">
        <w:rPr>
          <w:rStyle w:val="FootnoteReference"/>
          <w:lang w:val="en-US"/>
        </w:rPr>
        <w:footnoteReference w:id="55"/>
      </w:r>
      <w:r w:rsidRPr="00BD7537">
        <w:rPr>
          <w:lang w:val="en-US"/>
        </w:rPr>
        <w:t xml:space="preserve"> The implications of pollution were therefore significant in both spiritual and practical terms. </w:t>
      </w:r>
    </w:p>
    <w:p w14:paraId="6487C50B" w14:textId="77777777" w:rsidR="00183AC0" w:rsidRPr="00BD7537" w:rsidRDefault="00183AC0" w:rsidP="00CE1820">
      <w:pPr>
        <w:widowControl w:val="0"/>
        <w:autoSpaceDE w:val="0"/>
        <w:autoSpaceDN w:val="0"/>
        <w:adjustRightInd w:val="0"/>
      </w:pPr>
    </w:p>
    <w:p w14:paraId="479F34A7" w14:textId="77777777" w:rsidR="00183AC0" w:rsidRPr="00BD7537" w:rsidRDefault="00183AC0" w:rsidP="00CE1820">
      <w:pPr>
        <w:widowControl w:val="0"/>
        <w:autoSpaceDE w:val="0"/>
        <w:autoSpaceDN w:val="0"/>
        <w:adjustRightInd w:val="0"/>
      </w:pPr>
    </w:p>
    <w:p w14:paraId="41B3B599" w14:textId="77777777" w:rsidR="00183AC0" w:rsidRPr="00BD7537" w:rsidRDefault="00183AC0" w:rsidP="00CE1820">
      <w:pPr>
        <w:widowControl w:val="0"/>
        <w:autoSpaceDE w:val="0"/>
        <w:autoSpaceDN w:val="0"/>
        <w:adjustRightInd w:val="0"/>
        <w:rPr>
          <w:b/>
        </w:rPr>
      </w:pPr>
      <w:r w:rsidRPr="00BD7537">
        <w:rPr>
          <w:b/>
        </w:rPr>
        <w:t>Identification of Polluting Events</w:t>
      </w:r>
    </w:p>
    <w:p w14:paraId="264A7AA3" w14:textId="77777777" w:rsidR="00183AC0" w:rsidRPr="00BD7537" w:rsidRDefault="00183AC0" w:rsidP="00CE1820">
      <w:pPr>
        <w:widowControl w:val="0"/>
        <w:autoSpaceDE w:val="0"/>
        <w:autoSpaceDN w:val="0"/>
        <w:adjustRightInd w:val="0"/>
      </w:pPr>
    </w:p>
    <w:p w14:paraId="124F80B5" w14:textId="4C4E5933" w:rsidR="00183AC0" w:rsidRPr="00BD7537" w:rsidRDefault="00183AC0" w:rsidP="00CE1820">
      <w:pPr>
        <w:rPr>
          <w:lang w:val="en-US"/>
        </w:rPr>
      </w:pPr>
      <w:r w:rsidRPr="00BD7537">
        <w:rPr>
          <w:lang w:val="en-US"/>
        </w:rPr>
        <w:t xml:space="preserve">A problem common to different forms of pollution is that of knowledge of its existence, and so the potential impacts. In the case of </w:t>
      </w:r>
      <w:r w:rsidR="00D85295">
        <w:rPr>
          <w:lang w:val="en-US"/>
        </w:rPr>
        <w:t xml:space="preserve">Church </w:t>
      </w:r>
      <w:r w:rsidRPr="00BD7537">
        <w:rPr>
          <w:lang w:val="en-US"/>
        </w:rPr>
        <w:t xml:space="preserve">Pollution, those responsible may be the only ones with knowledge of </w:t>
      </w:r>
      <w:r>
        <w:rPr>
          <w:lang w:val="en-US"/>
        </w:rPr>
        <w:t xml:space="preserve">the polluting event, and so </w:t>
      </w:r>
      <w:r w:rsidRPr="00BD7537">
        <w:rPr>
          <w:lang w:val="en-US"/>
        </w:rPr>
        <w:t xml:space="preserve">the existence of the pollution. </w:t>
      </w:r>
      <w:r>
        <w:rPr>
          <w:lang w:val="en-US"/>
        </w:rPr>
        <w:t>A</w:t>
      </w:r>
      <w:r w:rsidRPr="00BD7537">
        <w:rPr>
          <w:lang w:val="en-US"/>
        </w:rPr>
        <w:t xml:space="preserve"> tension </w:t>
      </w:r>
      <w:r>
        <w:rPr>
          <w:lang w:val="en-US"/>
        </w:rPr>
        <w:t xml:space="preserve">can be identified </w:t>
      </w:r>
      <w:r w:rsidRPr="00BD7537">
        <w:rPr>
          <w:lang w:val="en-US"/>
        </w:rPr>
        <w:t xml:space="preserve">between concerns about the implications for the individual </w:t>
      </w:r>
      <w:r>
        <w:rPr>
          <w:lang w:val="en-US"/>
        </w:rPr>
        <w:t xml:space="preserve">polluter </w:t>
      </w:r>
      <w:r w:rsidRPr="00BD7537">
        <w:rPr>
          <w:lang w:val="en-US"/>
        </w:rPr>
        <w:t>(which might include status in society, as well as financial and other penalties), and concerns about the impact of the sp</w:t>
      </w:r>
      <w:r w:rsidR="00634C6E">
        <w:rPr>
          <w:lang w:val="en-US"/>
        </w:rPr>
        <w:t xml:space="preserve">iritual impairment on </w:t>
      </w:r>
      <w:r w:rsidRPr="00BD7537">
        <w:rPr>
          <w:lang w:val="en-US"/>
        </w:rPr>
        <w:t>individual</w:t>
      </w:r>
      <w:r w:rsidR="00634C6E">
        <w:rPr>
          <w:lang w:val="en-US"/>
        </w:rPr>
        <w:t>s</w:t>
      </w:r>
      <w:r w:rsidRPr="00BD7537">
        <w:rPr>
          <w:lang w:val="en-US"/>
        </w:rPr>
        <w:t xml:space="preserve"> and</w:t>
      </w:r>
      <w:r>
        <w:rPr>
          <w:lang w:val="en-US"/>
        </w:rPr>
        <w:t xml:space="preserve"> the community more generally. Self-reporting</w:t>
      </w:r>
      <w:r w:rsidRPr="00BD7537">
        <w:rPr>
          <w:lang w:val="en-US"/>
        </w:rPr>
        <w:t xml:space="preserve"> may have been very limited, and so many cases involve witnesses to brawls or other violent acts. Of the many examples are cases involving the striking of a clerk with a stick (drawing blood) in Edenbridge Church during Sunday Mass by </w:t>
      </w:r>
      <w:r w:rsidRPr="00BD7537">
        <w:t xml:space="preserve">Robert de Steyngrave (knight) </w:t>
      </w:r>
      <w:r w:rsidRPr="00BD7537">
        <w:rPr>
          <w:lang w:val="en-US"/>
        </w:rPr>
        <w:t>in 1329.</w:t>
      </w:r>
      <w:r w:rsidRPr="00BD7537">
        <w:rPr>
          <w:rStyle w:val="FootnoteReference"/>
          <w:lang w:val="en-US"/>
        </w:rPr>
        <w:footnoteReference w:id="56"/>
      </w:r>
      <w:r w:rsidRPr="00BD7537">
        <w:rPr>
          <w:lang w:val="en-US"/>
        </w:rPr>
        <w:t xml:space="preserve"> </w:t>
      </w:r>
    </w:p>
    <w:p w14:paraId="0F0949CB" w14:textId="77777777" w:rsidR="00183AC0" w:rsidRPr="00BD7537" w:rsidRDefault="00183AC0" w:rsidP="00CE1820">
      <w:pPr>
        <w:rPr>
          <w:lang w:val="en-US"/>
        </w:rPr>
      </w:pPr>
    </w:p>
    <w:p w14:paraId="7260A066" w14:textId="1317E291" w:rsidR="00183AC0" w:rsidRPr="00BD7537" w:rsidRDefault="00183AC0" w:rsidP="00CE1820">
      <w:pPr>
        <w:rPr>
          <w:lang w:val="en-US"/>
        </w:rPr>
      </w:pPr>
      <w:r w:rsidRPr="00BD7537">
        <w:rPr>
          <w:lang w:val="en-US"/>
        </w:rPr>
        <w:t>When notified of p</w:t>
      </w:r>
      <w:r>
        <w:rPr>
          <w:lang w:val="en-US"/>
        </w:rPr>
        <w:t>otential pollution, the bishop c</w:t>
      </w:r>
      <w:r w:rsidRPr="00BD7537">
        <w:rPr>
          <w:lang w:val="en-US"/>
        </w:rPr>
        <w:t xml:space="preserve">ould send investigative commissions to determine whether restorative action was actually required. A number of the cases identified in the survey </w:t>
      </w:r>
      <w:r>
        <w:rPr>
          <w:lang w:val="en-US"/>
        </w:rPr>
        <w:t xml:space="preserve">undertaken </w:t>
      </w:r>
      <w:r w:rsidRPr="00BD7537">
        <w:rPr>
          <w:lang w:val="en-US"/>
        </w:rPr>
        <w:t xml:space="preserve">of </w:t>
      </w:r>
      <w:r>
        <w:rPr>
          <w:lang w:val="en-US"/>
        </w:rPr>
        <w:t xml:space="preserve">a </w:t>
      </w:r>
      <w:r w:rsidRPr="00BD7537">
        <w:rPr>
          <w:lang w:val="en-US"/>
        </w:rPr>
        <w:t>Record series (above) reflect the four different commissions issued by a particularly conscientious Bishop of Exeter.</w:t>
      </w:r>
      <w:r w:rsidRPr="00BD7537">
        <w:rPr>
          <w:rStyle w:val="FootnoteReference"/>
          <w:lang w:val="en-US"/>
        </w:rPr>
        <w:footnoteReference w:id="57"/>
      </w:r>
      <w:r w:rsidRPr="00BD7537">
        <w:rPr>
          <w:lang w:val="en-US"/>
        </w:rPr>
        <w:t xml:space="preserve"> A further, perhaps more systematic</w:t>
      </w:r>
      <w:r w:rsidR="00634C6E">
        <w:rPr>
          <w:lang w:val="en-US"/>
        </w:rPr>
        <w:t>,</w:t>
      </w:r>
      <w:r w:rsidRPr="00BD7537">
        <w:rPr>
          <w:lang w:val="en-US"/>
        </w:rPr>
        <w:t xml:space="preserve"> approach also existed in the form of</w:t>
      </w:r>
      <w:r w:rsidR="006E2315">
        <w:rPr>
          <w:lang w:val="en-US"/>
        </w:rPr>
        <w:t xml:space="preserve"> a</w:t>
      </w:r>
      <w:r w:rsidRPr="00BD7537">
        <w:rPr>
          <w:lang w:val="en-US"/>
        </w:rPr>
        <w:t xml:space="preserve"> ‘Visitation’</w:t>
      </w:r>
      <w:r w:rsidR="00634C6E">
        <w:rPr>
          <w:lang w:val="en-US"/>
        </w:rPr>
        <w:t>:</w:t>
      </w:r>
      <w:r w:rsidRPr="00BD7537">
        <w:rPr>
          <w:lang w:val="en-US"/>
        </w:rPr>
        <w:t xml:space="preserve"> the process by which the </w:t>
      </w:r>
      <w:r>
        <w:rPr>
          <w:lang w:val="en-US"/>
        </w:rPr>
        <w:t>church</w:t>
      </w:r>
      <w:r w:rsidRPr="00BD7537">
        <w:rPr>
          <w:lang w:val="en-US"/>
        </w:rPr>
        <w:t xml:space="preserve"> periodically sought to enforce ecclesiastical discipli</w:t>
      </w:r>
      <w:r w:rsidR="006E2315">
        <w:rPr>
          <w:lang w:val="en-US"/>
        </w:rPr>
        <w:t xml:space="preserve">ne. As an aspect of Canon Law, </w:t>
      </w:r>
      <w:r w:rsidR="00441B7E">
        <w:rPr>
          <w:lang w:val="en-US"/>
        </w:rPr>
        <w:t xml:space="preserve">Church </w:t>
      </w:r>
      <w:r w:rsidR="006E2315">
        <w:rPr>
          <w:lang w:val="en-US"/>
        </w:rPr>
        <w:t>P</w:t>
      </w:r>
      <w:r w:rsidRPr="00BD7537">
        <w:rPr>
          <w:lang w:val="en-US"/>
        </w:rPr>
        <w:t xml:space="preserve">ollution was in part regulated through a kind of inspection system in this form. Bishops and their authorised staff would tour parishes to ensure that </w:t>
      </w:r>
      <w:r>
        <w:rPr>
          <w:lang w:val="en-US"/>
        </w:rPr>
        <w:t>church</w:t>
      </w:r>
      <w:r w:rsidRPr="00BD7537">
        <w:rPr>
          <w:lang w:val="en-US"/>
        </w:rPr>
        <w:t xml:space="preserve"> laws were being followed, identify breaches, and take enforcement action where necessary.</w:t>
      </w:r>
      <w:r w:rsidRPr="00BD7537">
        <w:rPr>
          <w:rStyle w:val="FootnoteReference"/>
          <w:lang w:val="en-US"/>
        </w:rPr>
        <w:footnoteReference w:id="58"/>
      </w:r>
      <w:r w:rsidRPr="00BD7537">
        <w:rPr>
          <w:lang w:val="en-US"/>
        </w:rPr>
        <w:t xml:space="preserve"> Allegations of immorality, and a wide variety of other matte</w:t>
      </w:r>
      <w:r w:rsidR="006E2315">
        <w:rPr>
          <w:lang w:val="en-US"/>
        </w:rPr>
        <w:t>rs were ‘presented’ during the V</w:t>
      </w:r>
      <w:r w:rsidRPr="00BD7537">
        <w:rPr>
          <w:lang w:val="en-US"/>
        </w:rPr>
        <w:t xml:space="preserve">isitation, including </w:t>
      </w:r>
      <w:r w:rsidR="00441B7E">
        <w:rPr>
          <w:lang w:val="en-US"/>
        </w:rPr>
        <w:t>C</w:t>
      </w:r>
      <w:r>
        <w:rPr>
          <w:lang w:val="en-US"/>
        </w:rPr>
        <w:t>hurch</w:t>
      </w:r>
      <w:r w:rsidR="00441B7E">
        <w:rPr>
          <w:lang w:val="en-US"/>
        </w:rPr>
        <w:t xml:space="preserve"> P</w:t>
      </w:r>
      <w:r w:rsidRPr="00BD7537">
        <w:rPr>
          <w:lang w:val="en-US"/>
        </w:rPr>
        <w:t xml:space="preserve">ollution. The focus of some of </w:t>
      </w:r>
      <w:r>
        <w:rPr>
          <w:lang w:val="en-US"/>
        </w:rPr>
        <w:t>these regulatory</w:t>
      </w:r>
      <w:r w:rsidRPr="00BD7537">
        <w:rPr>
          <w:lang w:val="en-US"/>
        </w:rPr>
        <w:t xml:space="preserve"> activities was to investigate the existence of pollution, and arrange for remedial acts to be undertaken. </w:t>
      </w:r>
    </w:p>
    <w:p w14:paraId="7FF656F9" w14:textId="77777777" w:rsidR="00183AC0" w:rsidRPr="00BD7537" w:rsidRDefault="00183AC0" w:rsidP="00CE1820">
      <w:pPr>
        <w:rPr>
          <w:lang w:val="en-US"/>
        </w:rPr>
      </w:pPr>
    </w:p>
    <w:p w14:paraId="28737A48" w14:textId="77777777" w:rsidR="00183AC0" w:rsidRPr="00BD7537" w:rsidRDefault="00183AC0" w:rsidP="00CE1820">
      <w:pPr>
        <w:rPr>
          <w:lang w:val="en-US"/>
        </w:rPr>
      </w:pPr>
    </w:p>
    <w:p w14:paraId="7126DE51" w14:textId="77777777" w:rsidR="00183AC0" w:rsidRPr="00BD7537" w:rsidRDefault="00183AC0" w:rsidP="00CE1820">
      <w:pPr>
        <w:widowControl w:val="0"/>
        <w:autoSpaceDE w:val="0"/>
        <w:autoSpaceDN w:val="0"/>
        <w:adjustRightInd w:val="0"/>
        <w:rPr>
          <w:b/>
        </w:rPr>
      </w:pPr>
      <w:r w:rsidRPr="00BD7537">
        <w:rPr>
          <w:b/>
        </w:rPr>
        <w:t>Pollution Offence and Sanctions</w:t>
      </w:r>
    </w:p>
    <w:p w14:paraId="7B2BB22C" w14:textId="77777777" w:rsidR="00183AC0" w:rsidRPr="00BD7537" w:rsidRDefault="00183AC0" w:rsidP="00CE1820">
      <w:pPr>
        <w:rPr>
          <w:lang w:val="en-US"/>
        </w:rPr>
      </w:pPr>
    </w:p>
    <w:p w14:paraId="565F3FCA" w14:textId="7E1B03B0" w:rsidR="00183AC0" w:rsidRPr="00586EE8" w:rsidRDefault="00183AC0" w:rsidP="00CE1820">
      <w:r w:rsidRPr="00BD7537">
        <w:rPr>
          <w:lang w:val="en-US"/>
        </w:rPr>
        <w:t>The question of</w:t>
      </w:r>
      <w:r>
        <w:rPr>
          <w:lang w:val="en-US"/>
        </w:rPr>
        <w:t xml:space="preserve"> individual responsibility or liability</w:t>
      </w:r>
      <w:r w:rsidRPr="00BD7537">
        <w:rPr>
          <w:lang w:val="en-US"/>
        </w:rPr>
        <w:t xml:space="preserve"> for </w:t>
      </w:r>
      <w:r w:rsidR="00634C6E">
        <w:rPr>
          <w:lang w:val="en-US"/>
        </w:rPr>
        <w:t>pollution</w:t>
      </w:r>
      <w:r w:rsidRPr="00BD7537">
        <w:rPr>
          <w:lang w:val="en-US"/>
        </w:rPr>
        <w:t xml:space="preserve"> was one that frequently found its way to the Consistory Courts, together with proceedings to determine what action (such as a reconciliation) might be appropriate. Though the proceedings in earlier cases may have been less formal, in later cases at least, court sessions would examine a ‘cause’, with the accused cited to appear before the court.</w:t>
      </w:r>
      <w:r w:rsidRPr="00BD7537">
        <w:rPr>
          <w:rStyle w:val="FootnoteReference"/>
          <w:lang w:val="en-US"/>
        </w:rPr>
        <w:footnoteReference w:id="59"/>
      </w:r>
      <w:r w:rsidRPr="00BD7537">
        <w:rPr>
          <w:lang w:val="en-US"/>
        </w:rPr>
        <w:t xml:space="preserve"> The procedure undertaken was a prosecution </w:t>
      </w:r>
      <w:r w:rsidRPr="00BD7537">
        <w:rPr>
          <w:i/>
          <w:lang w:val="en-US"/>
        </w:rPr>
        <w:t>ex officio</w:t>
      </w:r>
      <w:r w:rsidRPr="00BD7537">
        <w:rPr>
          <w:lang w:val="en-US"/>
        </w:rPr>
        <w:t xml:space="preserve">, and so a kind of </w:t>
      </w:r>
      <w:r>
        <w:rPr>
          <w:lang w:val="en-US"/>
        </w:rPr>
        <w:t xml:space="preserve">spiritual </w:t>
      </w:r>
      <w:r w:rsidRPr="00BD7537">
        <w:rPr>
          <w:lang w:val="en-US"/>
        </w:rPr>
        <w:t>criminal offence prosecuted in the name of the court itself, against those who had publicly violated accepted norms of Christian behaviour.</w:t>
      </w:r>
      <w:r w:rsidRPr="00BD7537">
        <w:rPr>
          <w:rStyle w:val="FootnoteReference"/>
          <w:lang w:val="en-US"/>
        </w:rPr>
        <w:footnoteReference w:id="60"/>
      </w:r>
      <w:r w:rsidRPr="00BD7537">
        <w:rPr>
          <w:lang w:val="en-US"/>
        </w:rPr>
        <w:t xml:space="preserve"> The investigation of the existence of pollution, and responsibility for that, relied upon evidence given on oath – </w:t>
      </w:r>
      <w:r>
        <w:rPr>
          <w:lang w:val="en-US"/>
        </w:rPr>
        <w:t xml:space="preserve">for example, </w:t>
      </w:r>
      <w:r w:rsidRPr="00BD7537">
        <w:rPr>
          <w:lang w:val="en-US"/>
        </w:rPr>
        <w:t xml:space="preserve">the Archdeacon of </w:t>
      </w:r>
      <w:r w:rsidR="00DE7178">
        <w:rPr>
          <w:lang w:val="en-US"/>
        </w:rPr>
        <w:t>Exeter and master Henry Webber ‘</w:t>
      </w:r>
      <w:r w:rsidRPr="00BD7537">
        <w:rPr>
          <w:lang w:val="en-US"/>
        </w:rPr>
        <w:t>to enquire on oath whether, as has been reported, the chapel of All Hallows and Honyton</w:t>
      </w:r>
      <w:r w:rsidR="00DE7178">
        <w:rPr>
          <w:lang w:val="en-US"/>
        </w:rPr>
        <w:t xml:space="preserve"> has been polluted by bloodshed’</w:t>
      </w:r>
      <w:r w:rsidRPr="00BD7537">
        <w:rPr>
          <w:lang w:val="en-US"/>
        </w:rPr>
        <w:t xml:space="preserve">, and </w:t>
      </w:r>
      <w:r w:rsidR="00DE7178">
        <w:rPr>
          <w:lang w:val="en-US"/>
        </w:rPr>
        <w:t>‘</w:t>
      </w:r>
      <w:r w:rsidRPr="00BD7537">
        <w:rPr>
          <w:lang w:val="en-US"/>
        </w:rPr>
        <w:t>whether William Faryndon inflicted violence on sir John Lyghtfote chaplain; if the chapel has been polluted to inhibit divine worship the</w:t>
      </w:r>
      <w:r w:rsidR="006E2315">
        <w:rPr>
          <w:lang w:val="en-US"/>
        </w:rPr>
        <w:t>re until it has been reconciled</w:t>
      </w:r>
      <w:r w:rsidR="00DE7178">
        <w:rPr>
          <w:lang w:val="en-US"/>
        </w:rPr>
        <w:t xml:space="preserve"> and to certify’</w:t>
      </w:r>
      <w:r w:rsidRPr="00BD7537">
        <w:rPr>
          <w:lang w:val="en-US"/>
        </w:rPr>
        <w:t>.</w:t>
      </w:r>
      <w:r w:rsidRPr="00BD7537">
        <w:rPr>
          <w:rStyle w:val="FootnoteReference"/>
          <w:lang w:val="en-US"/>
        </w:rPr>
        <w:footnoteReference w:id="61"/>
      </w:r>
      <w:r w:rsidRPr="00BD7537">
        <w:rPr>
          <w:lang w:val="en-US"/>
        </w:rPr>
        <w:t xml:space="preserve"> </w:t>
      </w:r>
      <w:r>
        <w:rPr>
          <w:lang w:val="en-US"/>
        </w:rPr>
        <w:t>The accused would be required to swear innocence and to find others to swear as to his/her trustworthiness; the system of Purgation and Compurgation.</w:t>
      </w:r>
      <w:r>
        <w:rPr>
          <w:rStyle w:val="FootnoteReference"/>
          <w:lang w:val="en-US"/>
        </w:rPr>
        <w:footnoteReference w:id="62"/>
      </w:r>
      <w:r>
        <w:rPr>
          <w:lang w:val="en-US"/>
        </w:rPr>
        <w:t xml:space="preserve"> </w:t>
      </w:r>
      <w:r w:rsidRPr="00BD7537">
        <w:rPr>
          <w:lang w:val="en-US"/>
        </w:rPr>
        <w:t>A case in 1511 from the York Consistory Court Cause Papers illustrates how witness evidence was given as to the alleged violence</w:t>
      </w:r>
      <w:r>
        <w:rPr>
          <w:lang w:val="en-US"/>
        </w:rPr>
        <w:t xml:space="preserve"> in order to counter Purgation</w:t>
      </w:r>
      <w:r w:rsidR="00DE7178">
        <w:rPr>
          <w:lang w:val="en-US"/>
        </w:rPr>
        <w:t>: ‘</w:t>
      </w:r>
      <w:r>
        <w:t xml:space="preserve">after </w:t>
      </w:r>
      <w:r w:rsidRPr="00BD7537">
        <w:t>mature delibe</w:t>
      </w:r>
      <w:r>
        <w:t>ration</w:t>
      </w:r>
      <w:r w:rsidRPr="00BD7537">
        <w:t xml:space="preserve"> they said that Shaw, having been violently struck, spilled blood twice from his hand to the ground [in the churchyard], but as to the finer details they could not comment.</w:t>
      </w:r>
      <w:r w:rsidR="00DE7178">
        <w:t>’</w:t>
      </w:r>
      <w:r w:rsidRPr="00BD7537">
        <w:rPr>
          <w:rStyle w:val="FootnoteReference"/>
        </w:rPr>
        <w:footnoteReference w:id="63"/>
      </w:r>
      <w:r>
        <w:t xml:space="preserve"> </w:t>
      </w:r>
      <w:r w:rsidRPr="00BD7537">
        <w:t>The seriousness which (at least some) cited parties took proceedings is illustrated by the deployment of four legal representatives (</w:t>
      </w:r>
      <w:r>
        <w:t>P</w:t>
      </w:r>
      <w:r w:rsidRPr="00BD7537">
        <w:t xml:space="preserve">roctors) </w:t>
      </w:r>
      <w:r>
        <w:t xml:space="preserve">by Shaw </w:t>
      </w:r>
      <w:r w:rsidRPr="00BD7537">
        <w:t xml:space="preserve">to hear the decision of the court when </w:t>
      </w:r>
      <w:r w:rsidR="00062975">
        <w:t xml:space="preserve">himself </w:t>
      </w:r>
      <w:r w:rsidRPr="00BD7537">
        <w:t>unable to attend.</w:t>
      </w:r>
      <w:r w:rsidRPr="00BD7537">
        <w:rPr>
          <w:rStyle w:val="FootnoteReference"/>
        </w:rPr>
        <w:footnoteReference w:id="64"/>
      </w:r>
      <w:r w:rsidRPr="00BD7537">
        <w:t xml:space="preserve"> </w:t>
      </w:r>
    </w:p>
    <w:p w14:paraId="1F1F0153" w14:textId="77777777" w:rsidR="00183AC0" w:rsidRPr="00BD7537" w:rsidRDefault="00183AC0" w:rsidP="00CE1820">
      <w:pPr>
        <w:rPr>
          <w:lang w:val="en-US"/>
        </w:rPr>
      </w:pPr>
    </w:p>
    <w:p w14:paraId="038297EF" w14:textId="357C8AEC" w:rsidR="00183AC0" w:rsidRPr="00BD7537" w:rsidRDefault="00183AC0" w:rsidP="00CE1820">
      <w:pPr>
        <w:rPr>
          <w:lang w:val="en-US"/>
        </w:rPr>
      </w:pPr>
      <w:r w:rsidRPr="00BD7537">
        <w:rPr>
          <w:lang w:val="en-US"/>
        </w:rPr>
        <w:t>The immediate c</w:t>
      </w:r>
      <w:r>
        <w:rPr>
          <w:lang w:val="en-US"/>
        </w:rPr>
        <w:t>onsequences for the individual polluter</w:t>
      </w:r>
      <w:r w:rsidRPr="00BD7537">
        <w:rPr>
          <w:lang w:val="en-US"/>
        </w:rPr>
        <w:t xml:space="preserve"> could include both financial </w:t>
      </w:r>
      <w:r>
        <w:rPr>
          <w:lang w:val="en-US"/>
        </w:rPr>
        <w:t xml:space="preserve">sanctions </w:t>
      </w:r>
      <w:r w:rsidRPr="00BD7537">
        <w:rPr>
          <w:lang w:val="en-US"/>
        </w:rPr>
        <w:t xml:space="preserve">and ‘moral’ censure. A significant factor </w:t>
      </w:r>
      <w:r>
        <w:rPr>
          <w:lang w:val="en-US"/>
        </w:rPr>
        <w:t>c</w:t>
      </w:r>
      <w:r w:rsidRPr="00BD7537">
        <w:rPr>
          <w:lang w:val="en-US"/>
        </w:rPr>
        <w:t>ould be the court fees payable</w:t>
      </w:r>
      <w:r>
        <w:rPr>
          <w:lang w:val="en-US"/>
        </w:rPr>
        <w:t>.</w:t>
      </w:r>
      <w:r w:rsidRPr="00BD7537">
        <w:rPr>
          <w:rStyle w:val="FootnoteReference"/>
          <w:lang w:val="en-US"/>
        </w:rPr>
        <w:footnoteReference w:id="65"/>
      </w:r>
      <w:r w:rsidRPr="00BD7537">
        <w:rPr>
          <w:lang w:val="en-US"/>
        </w:rPr>
        <w:t xml:space="preserve"> The </w:t>
      </w:r>
      <w:r w:rsidR="000030CE">
        <w:rPr>
          <w:lang w:val="en-US"/>
        </w:rPr>
        <w:t>scale</w:t>
      </w:r>
      <w:r w:rsidRPr="00BD7537">
        <w:rPr>
          <w:lang w:val="en-US"/>
        </w:rPr>
        <w:t xml:space="preserve"> of fees payable in relation to the ceremony of reconciliation </w:t>
      </w:r>
      <w:r w:rsidR="000030CE">
        <w:rPr>
          <w:lang w:val="en-US"/>
        </w:rPr>
        <w:t>reflected</w:t>
      </w:r>
      <w:r>
        <w:rPr>
          <w:lang w:val="en-US"/>
        </w:rPr>
        <w:t xml:space="preserve"> their </w:t>
      </w:r>
      <w:r w:rsidRPr="00BD7537">
        <w:rPr>
          <w:lang w:val="en-US"/>
        </w:rPr>
        <w:t>valu</w:t>
      </w:r>
      <w:r>
        <w:rPr>
          <w:lang w:val="en-US"/>
        </w:rPr>
        <w:t xml:space="preserve">e as a </w:t>
      </w:r>
      <w:r w:rsidRPr="00BD7537">
        <w:rPr>
          <w:lang w:val="en-US"/>
        </w:rPr>
        <w:t xml:space="preserve">source of income for bishops. </w:t>
      </w:r>
      <w:r w:rsidRPr="009B5D41">
        <w:t>Records from 1495 demonstrat</w:t>
      </w:r>
      <w:r>
        <w:t>e</w:t>
      </w:r>
      <w:r w:rsidRPr="009B5D41">
        <w:t xml:space="preserve"> a fee of over 66s. for each act of reconciliation undertaken by a </w:t>
      </w:r>
      <w:r>
        <w:t>bishop.</w:t>
      </w:r>
      <w:r w:rsidRPr="00BD7537">
        <w:rPr>
          <w:rStyle w:val="FootnoteReference"/>
          <w:lang w:val="en-US"/>
        </w:rPr>
        <w:footnoteReference w:id="66"/>
      </w:r>
      <w:r>
        <w:t xml:space="preserve"> </w:t>
      </w:r>
      <w:r>
        <w:rPr>
          <w:lang w:val="en-US"/>
        </w:rPr>
        <w:t>On pronouncing the Sentence of Reconciliation in the case of the ‘quarreling priests’ (see above), t</w:t>
      </w:r>
      <w:r w:rsidR="00DE7178">
        <w:rPr>
          <w:lang w:val="en-US"/>
        </w:rPr>
        <w:t>he Archbishop said that ‘</w:t>
      </w:r>
      <w:r>
        <w:rPr>
          <w:lang w:val="en-US"/>
        </w:rPr>
        <w:t xml:space="preserve">… </w:t>
      </w:r>
      <w:r w:rsidRPr="00BD7537">
        <w:rPr>
          <w:lang w:val="en-US"/>
        </w:rPr>
        <w:t>he wished to have first 8s. 4d., then afterwards 6 Marks and finally 40s. for the expenses of the reconciliation</w:t>
      </w:r>
      <w:r>
        <w:rPr>
          <w:lang w:val="en-US"/>
        </w:rPr>
        <w:t>.</w:t>
      </w:r>
      <w:r w:rsidR="00DE7178">
        <w:rPr>
          <w:lang w:val="en-US"/>
        </w:rPr>
        <w:t>’</w:t>
      </w:r>
      <w:r w:rsidRPr="00BD7537">
        <w:rPr>
          <w:rStyle w:val="FootnoteReference"/>
          <w:lang w:val="en-US"/>
        </w:rPr>
        <w:footnoteReference w:id="67"/>
      </w:r>
      <w:r w:rsidRPr="00BD7537">
        <w:rPr>
          <w:lang w:val="en-US"/>
        </w:rPr>
        <w:t xml:space="preserve"> The </w:t>
      </w:r>
      <w:r>
        <w:rPr>
          <w:lang w:val="en-US"/>
        </w:rPr>
        <w:t>importance</w:t>
      </w:r>
      <w:r w:rsidRPr="00BD7537">
        <w:rPr>
          <w:lang w:val="en-US"/>
        </w:rPr>
        <w:t xml:space="preserve"> of recovering payment for these services was not overlooked; the Bishop of Rochester in</w:t>
      </w:r>
      <w:r w:rsidR="00DE7178">
        <w:rPr>
          <w:lang w:val="en-US"/>
        </w:rPr>
        <w:t xml:space="preserve"> 1346 empowering any bishop to ‘</w:t>
      </w:r>
      <w:r w:rsidRPr="00BD7537">
        <w:rPr>
          <w:lang w:val="en-US"/>
        </w:rPr>
        <w:t xml:space="preserve">…reconcile Isleham parish church polluted by bloodshed, </w:t>
      </w:r>
      <w:r w:rsidRPr="00BD7537">
        <w:rPr>
          <w:i/>
          <w:lang w:val="en-US"/>
        </w:rPr>
        <w:t>and to receive the ‘procurations’ due</w:t>
      </w:r>
      <w:r w:rsidR="00DE7178">
        <w:rPr>
          <w:lang w:val="en-US"/>
        </w:rPr>
        <w:t>…’</w:t>
      </w:r>
      <w:r w:rsidRPr="00BD7537">
        <w:rPr>
          <w:lang w:val="en-US"/>
        </w:rPr>
        <w:t xml:space="preserve"> to the </w:t>
      </w:r>
      <w:r>
        <w:rPr>
          <w:lang w:val="en-US"/>
        </w:rPr>
        <w:t>bishop</w:t>
      </w:r>
      <w:r w:rsidRPr="00BD7537">
        <w:rPr>
          <w:lang w:val="en-US"/>
        </w:rPr>
        <w:t xml:space="preserve"> (as he was too ill to act himself).</w:t>
      </w:r>
      <w:r w:rsidRPr="00BD7537">
        <w:rPr>
          <w:rStyle w:val="FootnoteReference"/>
          <w:lang w:val="en-US"/>
        </w:rPr>
        <w:footnoteReference w:id="68"/>
      </w:r>
      <w:r w:rsidRPr="00BD7537">
        <w:rPr>
          <w:lang w:val="en-US"/>
        </w:rPr>
        <w:t xml:space="preserve"> </w:t>
      </w:r>
    </w:p>
    <w:p w14:paraId="440B69F1" w14:textId="77777777" w:rsidR="00183AC0" w:rsidRPr="00BD7537" w:rsidRDefault="00183AC0" w:rsidP="00CE1820">
      <w:pPr>
        <w:rPr>
          <w:lang w:val="en-US"/>
        </w:rPr>
      </w:pPr>
    </w:p>
    <w:p w14:paraId="04EC0C49" w14:textId="77777777" w:rsidR="00183AC0" w:rsidRPr="00BD7537" w:rsidRDefault="00183AC0" w:rsidP="00CE1820">
      <w:pPr>
        <w:rPr>
          <w:lang w:val="en-US"/>
        </w:rPr>
      </w:pPr>
      <w:r w:rsidRPr="00BD7537">
        <w:rPr>
          <w:lang w:val="en-US"/>
        </w:rPr>
        <w:t>A</w:t>
      </w:r>
      <w:r>
        <w:rPr>
          <w:lang w:val="en-US"/>
        </w:rPr>
        <w:t xml:space="preserve">s well as meeting the costs of restorative action </w:t>
      </w:r>
      <w:r w:rsidRPr="00BD7537">
        <w:rPr>
          <w:lang w:val="en-US"/>
        </w:rPr>
        <w:t xml:space="preserve">and any associated court fees, offenders faced additional sanctions, as punishment, and/or to secure compliance with court orders and </w:t>
      </w:r>
      <w:r>
        <w:rPr>
          <w:lang w:val="en-US"/>
        </w:rPr>
        <w:t xml:space="preserve">demonstrate </w:t>
      </w:r>
      <w:r w:rsidRPr="00BD7537">
        <w:rPr>
          <w:lang w:val="en-US"/>
        </w:rPr>
        <w:t>church authority. Punishments in the church courts included: coercive penalties, designed to secure compliance (such as excommunication); retributive penalties, such as fines; and purgative penalties designed to humiliate and purify of guilt (such as public penance).</w:t>
      </w:r>
      <w:r w:rsidRPr="00BD7537">
        <w:rPr>
          <w:rStyle w:val="FootnoteReference"/>
          <w:lang w:val="en-US"/>
        </w:rPr>
        <w:footnoteReference w:id="69"/>
      </w:r>
      <w:r w:rsidRPr="00BD7537">
        <w:rPr>
          <w:lang w:val="en-US"/>
        </w:rPr>
        <w:t xml:space="preserve"> </w:t>
      </w:r>
    </w:p>
    <w:p w14:paraId="6E9FF5CD" w14:textId="77777777" w:rsidR="00183AC0" w:rsidRPr="00BD7537" w:rsidRDefault="00183AC0" w:rsidP="00CE1820">
      <w:pPr>
        <w:rPr>
          <w:lang w:val="en-US"/>
        </w:rPr>
      </w:pPr>
    </w:p>
    <w:p w14:paraId="09A5BCE7" w14:textId="150930AA" w:rsidR="00183AC0" w:rsidRDefault="00183AC0" w:rsidP="00CE1820">
      <w:pPr>
        <w:rPr>
          <w:lang w:val="en-US"/>
        </w:rPr>
      </w:pPr>
      <w:r w:rsidRPr="00BD7537">
        <w:rPr>
          <w:lang w:val="en-US"/>
        </w:rPr>
        <w:t xml:space="preserve">Penance was usually a </w:t>
      </w:r>
      <w:r>
        <w:rPr>
          <w:lang w:val="en-US"/>
        </w:rPr>
        <w:t xml:space="preserve">public, shame-based, punishment, </w:t>
      </w:r>
      <w:r w:rsidRPr="00BD7537">
        <w:rPr>
          <w:lang w:val="en-US"/>
        </w:rPr>
        <w:t>aimed at bringing the sinful to repentance and the community to forgiveness.</w:t>
      </w:r>
      <w:r w:rsidR="000A68AC">
        <w:rPr>
          <w:lang w:val="en-US"/>
        </w:rPr>
        <w:t xml:space="preserve"> </w:t>
      </w:r>
      <w:r w:rsidRPr="00BD7537">
        <w:rPr>
          <w:lang w:val="en-US"/>
        </w:rPr>
        <w:t>It typically involved public confession of sin before the congregation, often wearing particular clothing (such as a white sheet), though might vary in nature and severity to fit a particular offence.</w:t>
      </w:r>
      <w:r>
        <w:rPr>
          <w:rStyle w:val="FootnoteReference"/>
          <w:lang w:val="en-US"/>
        </w:rPr>
        <w:footnoteReference w:id="70"/>
      </w:r>
      <w:r w:rsidRPr="00BD7537">
        <w:rPr>
          <w:lang w:val="en-US"/>
        </w:rPr>
        <w:t xml:space="preserve"> Henry II’s penance of being publicly flogged</w:t>
      </w:r>
      <w:r w:rsidR="00652DED">
        <w:rPr>
          <w:rStyle w:val="FootnoteReference"/>
          <w:lang w:val="en-US"/>
        </w:rPr>
        <w:footnoteReference w:id="71"/>
      </w:r>
      <w:r w:rsidR="00652DED">
        <w:rPr>
          <w:lang w:val="en-US"/>
        </w:rPr>
        <w:t xml:space="preserve"> </w:t>
      </w:r>
      <w:r w:rsidRPr="00BD7537">
        <w:rPr>
          <w:lang w:val="en-US"/>
        </w:rPr>
        <w:t>by the Monks at Becket’s tomb in Canterbury</w:t>
      </w:r>
      <w:r>
        <w:rPr>
          <w:lang w:val="en-US"/>
        </w:rPr>
        <w:t xml:space="preserve"> in 1174</w:t>
      </w:r>
      <w:r w:rsidRPr="00BD7537">
        <w:rPr>
          <w:lang w:val="en-US"/>
        </w:rPr>
        <w:t xml:space="preserve"> is a particularly graphic example.  </w:t>
      </w:r>
      <w:r>
        <w:rPr>
          <w:lang w:val="en-US"/>
        </w:rPr>
        <w:t>P</w:t>
      </w:r>
      <w:r w:rsidRPr="00BD7537">
        <w:rPr>
          <w:lang w:val="en-US"/>
        </w:rPr>
        <w:t xml:space="preserve">olluters of churches were </w:t>
      </w:r>
      <w:r w:rsidR="000030CE">
        <w:rPr>
          <w:lang w:val="en-US"/>
        </w:rPr>
        <w:t xml:space="preserve">often </w:t>
      </w:r>
      <w:r w:rsidRPr="00BD7537">
        <w:rPr>
          <w:lang w:val="en-US"/>
        </w:rPr>
        <w:t>made to process before parishioners and sometimes publicly beaten, then forced to make an offering during mass.</w:t>
      </w:r>
      <w:r w:rsidRPr="00BD7537">
        <w:rPr>
          <w:rStyle w:val="FootnoteReference"/>
          <w:lang w:val="en-US"/>
        </w:rPr>
        <w:footnoteReference w:id="72"/>
      </w:r>
      <w:r>
        <w:rPr>
          <w:lang w:val="en-US"/>
        </w:rPr>
        <w:t xml:space="preserve"> The communal nature of repentance and forgiveness, and engagement in ceremonial cleansing would have reinforced the legitimacy and authority of the Church. The enforcement against the </w:t>
      </w:r>
      <w:r w:rsidR="00453589" w:rsidRPr="000F3CE2">
        <w:rPr>
          <w:lang w:val="en-US"/>
        </w:rPr>
        <w:t>‘Quarreling P</w:t>
      </w:r>
      <w:r w:rsidRPr="000F3CE2">
        <w:rPr>
          <w:lang w:val="en-US"/>
        </w:rPr>
        <w:t>riests’ may also have publicly demonstrated the universal</w:t>
      </w:r>
      <w:r>
        <w:rPr>
          <w:lang w:val="en-US"/>
        </w:rPr>
        <w:t xml:space="preserve"> application (and so legitimacy) of church authority. </w:t>
      </w:r>
    </w:p>
    <w:p w14:paraId="364C8E1C" w14:textId="77777777" w:rsidR="00183AC0" w:rsidRDefault="00183AC0" w:rsidP="00CE1820">
      <w:pPr>
        <w:rPr>
          <w:lang w:val="en-US"/>
        </w:rPr>
      </w:pPr>
    </w:p>
    <w:p w14:paraId="06D7D7FB" w14:textId="0A4B50A4" w:rsidR="00DE7178" w:rsidRDefault="00183AC0" w:rsidP="00CE1820">
      <w:pPr>
        <w:rPr>
          <w:lang w:val="en-US"/>
        </w:rPr>
      </w:pPr>
      <w:r w:rsidRPr="00BD7537">
        <w:rPr>
          <w:lang w:val="en-US"/>
        </w:rPr>
        <w:t>Excommunication</w:t>
      </w:r>
      <w:r>
        <w:rPr>
          <w:rStyle w:val="FootnoteReference"/>
          <w:lang w:val="en-US"/>
        </w:rPr>
        <w:footnoteReference w:id="73"/>
      </w:r>
      <w:r w:rsidRPr="00BD7537">
        <w:rPr>
          <w:lang w:val="en-US"/>
        </w:rPr>
        <w:t xml:space="preserve"> </w:t>
      </w:r>
      <w:r>
        <w:rPr>
          <w:lang w:val="en-US"/>
        </w:rPr>
        <w:t>could be imposed in two different forms</w:t>
      </w:r>
      <w:r w:rsidRPr="00BD7537">
        <w:rPr>
          <w:lang w:val="en-US"/>
        </w:rPr>
        <w:t>.</w:t>
      </w:r>
      <w:r w:rsidR="0035146C">
        <w:rPr>
          <w:rStyle w:val="FootnoteReference"/>
          <w:lang w:val="en-US"/>
        </w:rPr>
        <w:footnoteReference w:id="74"/>
      </w:r>
      <w:r w:rsidRPr="00BD7537">
        <w:rPr>
          <w:lang w:val="en-US"/>
        </w:rPr>
        <w:t xml:space="preserve"> The first (‘minor’) was a form of temporary exclusion from the church, with potential suspension of other rights to take part in the religious community. The second </w:t>
      </w:r>
      <w:r>
        <w:rPr>
          <w:lang w:val="en-US"/>
        </w:rPr>
        <w:t xml:space="preserve">(‘major’) </w:t>
      </w:r>
      <w:r w:rsidRPr="00BD7537">
        <w:rPr>
          <w:lang w:val="en-US"/>
        </w:rPr>
        <w:t>was the more serious and permanent form. This isolated the excommunicate from all forms of Christian society, including conversation, and provision of food.</w:t>
      </w:r>
      <w:r w:rsidRPr="00BD7537">
        <w:rPr>
          <w:rStyle w:val="FootnoteReference"/>
          <w:lang w:val="en-US"/>
        </w:rPr>
        <w:footnoteReference w:id="75"/>
      </w:r>
      <w:r w:rsidRPr="00BD7537">
        <w:rPr>
          <w:lang w:val="en-US"/>
        </w:rPr>
        <w:t xml:space="preserve"> </w:t>
      </w:r>
      <w:r w:rsidR="00AA7438">
        <w:rPr>
          <w:lang w:val="en-US"/>
        </w:rPr>
        <w:t>Where the polluting act involved the laying of violent hands on a cleric or monk, an ipso facto sentence of excommunication was incurred (</w:t>
      </w:r>
      <w:r w:rsidR="00AA7438">
        <w:rPr>
          <w:i/>
          <w:lang w:val="en-US"/>
        </w:rPr>
        <w:t>si qui suadente</w:t>
      </w:r>
      <w:r w:rsidR="00AA7438">
        <w:rPr>
          <w:lang w:val="en-US"/>
        </w:rPr>
        <w:t>).</w:t>
      </w:r>
      <w:r w:rsidR="00AA7438">
        <w:rPr>
          <w:rStyle w:val="FootnoteReference"/>
          <w:lang w:val="en-US"/>
        </w:rPr>
        <w:footnoteReference w:id="76"/>
      </w:r>
      <w:r w:rsidR="00AA7438">
        <w:rPr>
          <w:lang w:val="en-US"/>
        </w:rPr>
        <w:t xml:space="preserve"> </w:t>
      </w:r>
      <w:r w:rsidRPr="00BD7537">
        <w:rPr>
          <w:lang w:val="en-US"/>
        </w:rPr>
        <w:t>Excommunication was the most serious sanction available for the Consistory Courts,</w:t>
      </w:r>
      <w:r w:rsidRPr="00BD7537">
        <w:rPr>
          <w:rStyle w:val="FootnoteReference"/>
          <w:lang w:val="en-US"/>
        </w:rPr>
        <w:footnoteReference w:id="77"/>
      </w:r>
      <w:r w:rsidRPr="00BD7537">
        <w:rPr>
          <w:lang w:val="en-US"/>
        </w:rPr>
        <w:t xml:space="preserve"> combining both s</w:t>
      </w:r>
      <w:r w:rsidR="00E5134A">
        <w:rPr>
          <w:lang w:val="en-US"/>
        </w:rPr>
        <w:t xml:space="preserve">piritual and practical impacts. </w:t>
      </w:r>
      <w:r w:rsidRPr="00BD7537">
        <w:rPr>
          <w:lang w:val="en-US"/>
        </w:rPr>
        <w:t>In 1446 at Exeter Cathe</w:t>
      </w:r>
      <w:r>
        <w:rPr>
          <w:lang w:val="en-US"/>
        </w:rPr>
        <w:t>dral, for example, a number of offenders</w:t>
      </w:r>
      <w:r w:rsidRPr="00BD7537">
        <w:rPr>
          <w:lang w:val="en-US"/>
        </w:rPr>
        <w:t xml:space="preserve"> were pronounced excommunicate </w:t>
      </w:r>
      <w:r w:rsidR="00340D10">
        <w:rPr>
          <w:lang w:val="en-US"/>
        </w:rPr>
        <w:t>‘</w:t>
      </w:r>
      <w:r w:rsidRPr="00BD7537">
        <w:rPr>
          <w:lang w:val="en-US"/>
        </w:rPr>
        <w:t xml:space="preserve">bringing </w:t>
      </w:r>
    </w:p>
    <w:p w14:paraId="31F497BF" w14:textId="25D2F631" w:rsidR="00183AC0" w:rsidRPr="00BD7537" w:rsidRDefault="00183AC0" w:rsidP="00CE1820">
      <w:pPr>
        <w:rPr>
          <w:lang w:val="en-US"/>
        </w:rPr>
      </w:pPr>
      <w:r w:rsidRPr="00BD7537">
        <w:rPr>
          <w:lang w:val="en-US"/>
        </w:rPr>
        <w:t>that curse upon themselves, some by polluting the cemetery with bloodshed, and the rest (seeing the first go unpunished) by shedding blood again in the cemetery and the church during divine service</w:t>
      </w:r>
      <w:r w:rsidR="00DE7178">
        <w:rPr>
          <w:lang w:val="en-US"/>
        </w:rPr>
        <w:t>’</w:t>
      </w:r>
      <w:r w:rsidRPr="00BD7537">
        <w:rPr>
          <w:lang w:val="en-US"/>
        </w:rPr>
        <w:t>.</w:t>
      </w:r>
      <w:r>
        <w:rPr>
          <w:rStyle w:val="FootnoteReference"/>
          <w:lang w:val="en-US"/>
        </w:rPr>
        <w:footnoteReference w:id="78"/>
      </w:r>
      <w:r w:rsidRPr="00BD7537">
        <w:rPr>
          <w:lang w:val="en-US"/>
        </w:rPr>
        <w:t xml:space="preserve"> Records from 1511 identify the initial excommunication, incurred by </w:t>
      </w:r>
      <w:r w:rsidR="00DE7178">
        <w:rPr>
          <w:lang w:val="en-US"/>
        </w:rPr>
        <w:t>‘</w:t>
      </w:r>
      <w:r w:rsidRPr="00BD7537">
        <w:rPr>
          <w:lang w:val="en-US"/>
        </w:rPr>
        <w:t xml:space="preserve">sacrilege and pollution of the cathedral burying </w:t>
      </w:r>
      <w:r w:rsidR="00DE7178">
        <w:rPr>
          <w:lang w:val="en-US"/>
        </w:rPr>
        <w:t>ground’</w:t>
      </w:r>
      <w:r w:rsidRPr="00BD7537">
        <w:rPr>
          <w:lang w:val="en-US"/>
        </w:rPr>
        <w:t xml:space="preserve">, and subsequent </w:t>
      </w:r>
      <w:r w:rsidR="00DE7178">
        <w:rPr>
          <w:lang w:val="en-US"/>
        </w:rPr>
        <w:t>‘</w:t>
      </w:r>
      <w:r w:rsidRPr="00BD7537">
        <w:rPr>
          <w:lang w:val="en-US"/>
        </w:rPr>
        <w:t>absolut</w:t>
      </w:r>
      <w:r w:rsidR="00DE7178">
        <w:rPr>
          <w:lang w:val="en-US"/>
        </w:rPr>
        <w:t>ion and penance for the offence’</w:t>
      </w:r>
      <w:r w:rsidRPr="00BD7537">
        <w:rPr>
          <w:lang w:val="en-US"/>
        </w:rPr>
        <w:t>.</w:t>
      </w:r>
      <w:r w:rsidRPr="00BD7537">
        <w:rPr>
          <w:rStyle w:val="FootnoteReference"/>
          <w:lang w:val="en-US"/>
        </w:rPr>
        <w:footnoteReference w:id="79"/>
      </w:r>
      <w:r w:rsidRPr="00BD7537">
        <w:rPr>
          <w:lang w:val="en-US"/>
        </w:rPr>
        <w:t xml:space="preserve"> The case of </w:t>
      </w:r>
      <w:r w:rsidRPr="00BD7537">
        <w:t>Robert de Steyngrave in 1329</w:t>
      </w:r>
      <w:r w:rsidRPr="00BD7537">
        <w:rPr>
          <w:rStyle w:val="FootnoteReference"/>
        </w:rPr>
        <w:footnoteReference w:id="80"/>
      </w:r>
      <w:r w:rsidRPr="00BD7537">
        <w:t xml:space="preserve"> provides an example of the different penalties and sanctions employed. Absolution from excommunication followed an undertaking to make restitution and to obtain the reconciliation of the church, if required, with a </w:t>
      </w:r>
      <w:r>
        <w:t>financial deposit given to his P</w:t>
      </w:r>
      <w:r w:rsidRPr="00BD7537">
        <w:t>roctor for that purpose.</w:t>
      </w:r>
      <w:r w:rsidR="00E5134A">
        <w:t xml:space="preserve"> </w:t>
      </w:r>
      <w:r>
        <w:rPr>
          <w:lang w:val="en-US"/>
        </w:rPr>
        <w:t xml:space="preserve">In addition to punishment for the commission of offences, </w:t>
      </w:r>
      <w:r w:rsidR="000030CE" w:rsidRPr="00BD7537">
        <w:rPr>
          <w:lang w:val="en-US"/>
        </w:rPr>
        <w:t>the ecclesiastical courts often imposed sanctions including major excommunication</w:t>
      </w:r>
      <w:r>
        <w:rPr>
          <w:lang w:val="en-US"/>
        </w:rPr>
        <w:t xml:space="preserve"> in order to secure obedience with orders.</w:t>
      </w:r>
      <w:r>
        <w:rPr>
          <w:rStyle w:val="FootnoteReference"/>
          <w:lang w:val="en-US"/>
        </w:rPr>
        <w:footnoteReference w:id="81"/>
      </w:r>
      <w:r>
        <w:rPr>
          <w:lang w:val="en-US"/>
        </w:rPr>
        <w:t xml:space="preserve"> </w:t>
      </w:r>
      <w:r w:rsidRPr="00BD7537">
        <w:rPr>
          <w:lang w:val="en-US"/>
        </w:rPr>
        <w:t xml:space="preserve"> </w:t>
      </w:r>
    </w:p>
    <w:p w14:paraId="0F6E507C" w14:textId="77777777" w:rsidR="00183AC0" w:rsidRPr="00BD7537" w:rsidRDefault="00183AC0" w:rsidP="00CE1820">
      <w:pPr>
        <w:rPr>
          <w:lang w:val="en-US"/>
        </w:rPr>
      </w:pPr>
    </w:p>
    <w:p w14:paraId="16124D36" w14:textId="0FB64CDB" w:rsidR="00183AC0" w:rsidRPr="00BD7537" w:rsidRDefault="00183AC0" w:rsidP="00CE1820">
      <w:pPr>
        <w:rPr>
          <w:lang w:val="en-US"/>
        </w:rPr>
      </w:pPr>
      <w:r w:rsidRPr="00BD7537">
        <w:rPr>
          <w:lang w:val="en-US"/>
        </w:rPr>
        <w:t xml:space="preserve">Punishment of the offender is one thing, but </w:t>
      </w:r>
      <w:r>
        <w:rPr>
          <w:lang w:val="en-US"/>
        </w:rPr>
        <w:t>bishop</w:t>
      </w:r>
      <w:r w:rsidRPr="00BD7537">
        <w:rPr>
          <w:lang w:val="en-US"/>
        </w:rPr>
        <w:t>s were not going to forego their reconciliation fees if that could be helped. If these could not be secured from an identifiable offender, it seems that the local church (which was, essentially, the local community) could be required to make payment. An example of this can be found in a case from 1330, where Wynand le Veel confessed to an assault in the churchyard of Snodland, and had his penance set as procuring the reconciliation of the churchyard polluted by the drawing of blood</w:t>
      </w:r>
      <w:r w:rsidR="00507444">
        <w:rPr>
          <w:lang w:val="en-US"/>
        </w:rPr>
        <w:t xml:space="preserve"> (the ‘Snodland case’)</w:t>
      </w:r>
      <w:r w:rsidRPr="00BD7537">
        <w:rPr>
          <w:lang w:val="en-US"/>
        </w:rPr>
        <w:t>.</w:t>
      </w:r>
      <w:r w:rsidRPr="00BD7537">
        <w:rPr>
          <w:rStyle w:val="FootnoteReference"/>
          <w:lang w:val="en-US"/>
        </w:rPr>
        <w:footnoteReference w:id="82"/>
      </w:r>
      <w:r w:rsidRPr="00BD7537">
        <w:rPr>
          <w:lang w:val="en-US"/>
        </w:rPr>
        <w:t xml:space="preserve"> Some seven months later, the parishioners of Snodland were ordered to pay the ‘procurations’ due to the bishop for the enforced reconciliation of their churchyard, le Veel having failed to appear and pronounced ‘contumacious’.</w:t>
      </w:r>
      <w:r w:rsidRPr="00BD7537">
        <w:rPr>
          <w:rStyle w:val="FootnoteReference"/>
          <w:lang w:val="en-US"/>
        </w:rPr>
        <w:footnoteReference w:id="83"/>
      </w:r>
      <w:r w:rsidRPr="00BD7537">
        <w:rPr>
          <w:lang w:val="en-US"/>
        </w:rPr>
        <w:t xml:space="preserve"> The grounds for this (secondary) community responsibility for the costs of restoration may have included the benefit that would be received through the </w:t>
      </w:r>
      <w:r>
        <w:rPr>
          <w:lang w:val="en-US"/>
        </w:rPr>
        <w:t xml:space="preserve">restoration of the church and </w:t>
      </w:r>
      <w:r w:rsidRPr="00BD7537">
        <w:rPr>
          <w:lang w:val="en-US"/>
        </w:rPr>
        <w:t xml:space="preserve">reinstatement of services and/or a form of community responsibility in failing to ‘give up’ the actual offender/polluter. </w:t>
      </w:r>
    </w:p>
    <w:p w14:paraId="5728D1E1" w14:textId="77777777" w:rsidR="00183AC0" w:rsidRDefault="00183AC0" w:rsidP="00CE1820"/>
    <w:p w14:paraId="54088698" w14:textId="77777777" w:rsidR="00183AC0" w:rsidRDefault="00183AC0" w:rsidP="00CE1820"/>
    <w:p w14:paraId="66205799" w14:textId="77777777" w:rsidR="00183AC0" w:rsidRPr="00A146B8" w:rsidRDefault="00183AC0" w:rsidP="00CE1820">
      <w:pPr>
        <w:rPr>
          <w:b/>
        </w:rPr>
      </w:pPr>
      <w:r>
        <w:rPr>
          <w:b/>
        </w:rPr>
        <w:t>The Medieval Regulation of Church Pollution</w:t>
      </w:r>
    </w:p>
    <w:p w14:paraId="01CD7562" w14:textId="77777777" w:rsidR="00183AC0" w:rsidRPr="00BD7537" w:rsidRDefault="00183AC0" w:rsidP="00CE1820"/>
    <w:p w14:paraId="421CDA30" w14:textId="544F23B3" w:rsidR="00183AC0" w:rsidRPr="00BD7537" w:rsidRDefault="00183AC0" w:rsidP="00CE1820">
      <w:pPr>
        <w:rPr>
          <w:lang w:val="en-US"/>
        </w:rPr>
      </w:pPr>
      <w:r w:rsidRPr="00BD7537">
        <w:rPr>
          <w:lang w:val="en-US"/>
        </w:rPr>
        <w:t>It seems, therefore, that a fairly sophisticated set of regulatory processes and structures existed that w</w:t>
      </w:r>
      <w:r>
        <w:rPr>
          <w:lang w:val="en-US"/>
        </w:rPr>
        <w:t>as</w:t>
      </w:r>
      <w:r w:rsidRPr="00BD7537">
        <w:rPr>
          <w:lang w:val="en-US"/>
        </w:rPr>
        <w:t xml:space="preserve"> concer</w:t>
      </w:r>
      <w:r w:rsidR="00441B7E">
        <w:rPr>
          <w:lang w:val="en-US"/>
        </w:rPr>
        <w:t>ned with the identification of C</w:t>
      </w:r>
      <w:r w:rsidRPr="00BD7537">
        <w:rPr>
          <w:lang w:val="en-US"/>
        </w:rPr>
        <w:t xml:space="preserve">hurch </w:t>
      </w:r>
      <w:r w:rsidR="00441B7E">
        <w:rPr>
          <w:lang w:val="en-US"/>
        </w:rPr>
        <w:t>P</w:t>
      </w:r>
      <w:r w:rsidRPr="00BD7537">
        <w:rPr>
          <w:lang w:val="en-US"/>
        </w:rPr>
        <w:t>ollution and its remediation. The main purposes were to ensure the protection of church property for its intr</w:t>
      </w:r>
      <w:r>
        <w:rPr>
          <w:lang w:val="en-US"/>
        </w:rPr>
        <w:t xml:space="preserve">insic value and importance (or </w:t>
      </w:r>
      <w:r w:rsidRPr="00BD7537">
        <w:rPr>
          <w:lang w:val="en-US"/>
        </w:rPr>
        <w:t xml:space="preserve">holiness), but also to guarantee </w:t>
      </w:r>
      <w:r>
        <w:rPr>
          <w:lang w:val="en-US"/>
        </w:rPr>
        <w:t xml:space="preserve">that the </w:t>
      </w:r>
      <w:r w:rsidRPr="00BD7537">
        <w:rPr>
          <w:lang w:val="en-US"/>
        </w:rPr>
        <w:t xml:space="preserve">services provided </w:t>
      </w:r>
      <w:r w:rsidR="000030CE">
        <w:rPr>
          <w:lang w:val="en-US"/>
        </w:rPr>
        <w:t xml:space="preserve">and broader spiritual environment </w:t>
      </w:r>
      <w:r w:rsidRPr="00BD7537">
        <w:rPr>
          <w:lang w:val="en-US"/>
        </w:rPr>
        <w:t>were preserved, in both preventive and restorative senses. These systems were designed to ensure that action was undertaken, in order to maintain spiritual integrity, and so to avoid, or remedy, impairment as well as securing funds for any remediation required. This included prosecution of offenders, with a progressive set of enforcement tools</w:t>
      </w:r>
      <w:r w:rsidR="00E5134A">
        <w:rPr>
          <w:lang w:val="en-US"/>
        </w:rPr>
        <w:t xml:space="preserve"> </w:t>
      </w:r>
      <w:r>
        <w:rPr>
          <w:lang w:val="en-US"/>
        </w:rPr>
        <w:t xml:space="preserve">to ensure </w:t>
      </w:r>
      <w:r w:rsidRPr="00BD7537">
        <w:rPr>
          <w:lang w:val="en-US"/>
        </w:rPr>
        <w:t>comp</w:t>
      </w:r>
      <w:r>
        <w:rPr>
          <w:lang w:val="en-US"/>
        </w:rPr>
        <w:t>liance</w:t>
      </w:r>
      <w:r w:rsidRPr="00BD7537">
        <w:rPr>
          <w:lang w:val="en-US"/>
        </w:rPr>
        <w:t xml:space="preserve"> with the regulatory system, </w:t>
      </w:r>
      <w:r>
        <w:rPr>
          <w:lang w:val="en-US"/>
        </w:rPr>
        <w:t>and church/court authority. Though founded in large part upon shame and public humiliation, the</w:t>
      </w:r>
      <w:r w:rsidRPr="00BD7537">
        <w:rPr>
          <w:lang w:val="en-US"/>
        </w:rPr>
        <w:t xml:space="preserve"> objective was to correct behavior and ‘encourage’ individuals back into the church community and</w:t>
      </w:r>
      <w:r>
        <w:rPr>
          <w:lang w:val="en-US"/>
        </w:rPr>
        <w:t xml:space="preserve"> so was another form of </w:t>
      </w:r>
      <w:r w:rsidRPr="00BD7537">
        <w:rPr>
          <w:lang w:val="en-US"/>
        </w:rPr>
        <w:t>reconciliation (being medicinal rather than punitive).</w:t>
      </w:r>
      <w:r w:rsidRPr="00BD7537">
        <w:rPr>
          <w:rStyle w:val="FootnoteReference"/>
          <w:lang w:val="en-US"/>
        </w:rPr>
        <w:footnoteReference w:id="84"/>
      </w:r>
      <w:r w:rsidRPr="00BD7537">
        <w:rPr>
          <w:lang w:val="en-US"/>
        </w:rPr>
        <w:t xml:space="preserve"> Once a sentence was lifted, with the offender coming back into the fold, no stigma remained.</w:t>
      </w:r>
      <w:r w:rsidRPr="00BD7537">
        <w:rPr>
          <w:rStyle w:val="FootnoteReference"/>
          <w:lang w:val="en-US"/>
        </w:rPr>
        <w:footnoteReference w:id="85"/>
      </w:r>
      <w:r>
        <w:rPr>
          <w:lang w:val="en-US"/>
        </w:rPr>
        <w:t xml:space="preserve"> </w:t>
      </w:r>
    </w:p>
    <w:p w14:paraId="67EB3602" w14:textId="77777777" w:rsidR="00183AC0" w:rsidRDefault="00183AC0" w:rsidP="00CE1820">
      <w:pPr>
        <w:widowControl w:val="0"/>
        <w:autoSpaceDE w:val="0"/>
        <w:autoSpaceDN w:val="0"/>
        <w:adjustRightInd w:val="0"/>
      </w:pPr>
    </w:p>
    <w:p w14:paraId="4583E203" w14:textId="77777777" w:rsidR="00183AC0" w:rsidRDefault="00183AC0" w:rsidP="00CE1820">
      <w:pPr>
        <w:widowControl w:val="0"/>
        <w:autoSpaceDE w:val="0"/>
        <w:autoSpaceDN w:val="0"/>
        <w:adjustRightInd w:val="0"/>
      </w:pPr>
      <w:r>
        <w:t>The sanctions,</w:t>
      </w:r>
      <w:r w:rsidR="00E5134A">
        <w:t xml:space="preserve"> in particular, provide a </w:t>
      </w:r>
      <w:r>
        <w:t xml:space="preserve">contrast with the system of secular law at the time. The Canon and Common Law jurisdictions overlapped </w:t>
      </w:r>
      <w:r w:rsidR="00E5134A">
        <w:t xml:space="preserve">in </w:t>
      </w:r>
      <w:r>
        <w:t>many areas</w:t>
      </w:r>
      <w:r w:rsidR="000030CE">
        <w:t>,</w:t>
      </w:r>
      <w:r>
        <w:t xml:space="preserve"> including crimes such as murder.</w:t>
      </w:r>
      <w:r>
        <w:rPr>
          <w:rStyle w:val="FootnoteReference"/>
        </w:rPr>
        <w:footnoteReference w:id="86"/>
      </w:r>
      <w:r>
        <w:t xml:space="preserve"> Unlike Canon Law responses, however, punishments inflicted by the temporal authorities routinely involved a variety of brutal acts, such as different forms of corporal, and capital, penalty. Yet, as we shall see, the</w:t>
      </w:r>
      <w:r w:rsidR="00E5134A">
        <w:t xml:space="preserve"> relative deterrence of these prospective </w:t>
      </w:r>
      <w:r w:rsidR="000030CE">
        <w:t>sanction</w:t>
      </w:r>
      <w:r w:rsidR="00E5134A">
        <w:t xml:space="preserve">s does not always seem to match what we might expect today. This reveals the need </w:t>
      </w:r>
      <w:r w:rsidR="009D5E8C">
        <w:t xml:space="preserve">to </w:t>
      </w:r>
      <w:r>
        <w:t xml:space="preserve">understand how the ‘Medieval Mind’ may have perceived </w:t>
      </w:r>
      <w:r w:rsidR="00E5134A">
        <w:t xml:space="preserve">and prioritised matters </w:t>
      </w:r>
      <w:r>
        <w:t>very different</w:t>
      </w:r>
      <w:r w:rsidR="00E5134A">
        <w:t>ly</w:t>
      </w:r>
      <w:r>
        <w:t>.</w:t>
      </w:r>
    </w:p>
    <w:p w14:paraId="6F826D85" w14:textId="77777777" w:rsidR="00183AC0" w:rsidRDefault="00183AC0" w:rsidP="00CE1820">
      <w:pPr>
        <w:widowControl w:val="0"/>
        <w:autoSpaceDE w:val="0"/>
        <w:autoSpaceDN w:val="0"/>
        <w:adjustRightInd w:val="0"/>
      </w:pPr>
    </w:p>
    <w:p w14:paraId="79B07EC0" w14:textId="77777777" w:rsidR="00183AC0" w:rsidRDefault="00183AC0" w:rsidP="00CE1820">
      <w:pPr>
        <w:rPr>
          <w:b/>
          <w:lang w:val="en-US"/>
        </w:rPr>
      </w:pPr>
    </w:p>
    <w:p w14:paraId="02FB7A46" w14:textId="77777777" w:rsidR="00183AC0" w:rsidRPr="00BD7537" w:rsidRDefault="00F02E30" w:rsidP="00CE1820">
      <w:pPr>
        <w:jc w:val="center"/>
        <w:rPr>
          <w:b/>
          <w:lang w:val="en-US"/>
        </w:rPr>
      </w:pPr>
      <w:r>
        <w:rPr>
          <w:b/>
          <w:lang w:val="en-US"/>
        </w:rPr>
        <w:t>II</w:t>
      </w:r>
      <w:r w:rsidR="00E5134A">
        <w:rPr>
          <w:b/>
          <w:lang w:val="en-US"/>
        </w:rPr>
        <w:t xml:space="preserve"> </w:t>
      </w:r>
      <w:r w:rsidR="00E5134A" w:rsidRPr="00BD7537">
        <w:rPr>
          <w:b/>
          <w:lang w:val="en-US"/>
        </w:rPr>
        <w:t>CONNECTIONS WITH CONTEMPORARY ENVIRONMENTAL LAW</w:t>
      </w:r>
    </w:p>
    <w:p w14:paraId="048E7FEA" w14:textId="77777777" w:rsidR="00475CB9" w:rsidRDefault="00475CB9" w:rsidP="00CE1820">
      <w:pPr>
        <w:rPr>
          <w:b/>
          <w:color w:val="008000"/>
          <w:lang w:val="en-US"/>
        </w:rPr>
      </w:pPr>
    </w:p>
    <w:p w14:paraId="69CDD520" w14:textId="22D76CB0" w:rsidR="00475CB9" w:rsidRPr="00BD7537" w:rsidRDefault="00475CB9" w:rsidP="00CE1820">
      <w:pPr>
        <w:rPr>
          <w:lang w:val="en-US"/>
        </w:rPr>
      </w:pPr>
      <w:r>
        <w:rPr>
          <w:lang w:val="en-US"/>
        </w:rPr>
        <w:t>O</w:t>
      </w:r>
      <w:r w:rsidRPr="00BD7537">
        <w:rPr>
          <w:lang w:val="en-US"/>
        </w:rPr>
        <w:t xml:space="preserve">ne should always be cautious in viewing historical information through a contemporary lens; it is all too tempting to apply assumptions and to superimpose modern concepts and structures inappropriately. Nevertheless, there are certain similarities and connections between the regulation of </w:t>
      </w:r>
      <w:r w:rsidR="00441B7E">
        <w:rPr>
          <w:lang w:val="en-US"/>
        </w:rPr>
        <w:t>C</w:t>
      </w:r>
      <w:r>
        <w:rPr>
          <w:lang w:val="en-US"/>
        </w:rPr>
        <w:t>hurch</w:t>
      </w:r>
      <w:r w:rsidRPr="00BD7537">
        <w:rPr>
          <w:lang w:val="en-US"/>
        </w:rPr>
        <w:t xml:space="preserve"> </w:t>
      </w:r>
      <w:r w:rsidR="00441B7E">
        <w:rPr>
          <w:lang w:val="en-US"/>
        </w:rPr>
        <w:t>P</w:t>
      </w:r>
      <w:r w:rsidRPr="00BD7537">
        <w:rPr>
          <w:lang w:val="en-US"/>
        </w:rPr>
        <w:t xml:space="preserve">ollution and </w:t>
      </w:r>
      <w:r w:rsidR="00E94288">
        <w:rPr>
          <w:lang w:val="en-US"/>
        </w:rPr>
        <w:t xml:space="preserve">aspects of </w:t>
      </w:r>
      <w:r w:rsidRPr="00BD7537">
        <w:rPr>
          <w:lang w:val="en-US"/>
        </w:rPr>
        <w:t>contemporary environmental law that seem apparent.</w:t>
      </w:r>
    </w:p>
    <w:p w14:paraId="18762866" w14:textId="77777777" w:rsidR="00475CB9" w:rsidRPr="00BD7537" w:rsidRDefault="00475CB9" w:rsidP="00CE1820">
      <w:pPr>
        <w:rPr>
          <w:lang w:val="en-US"/>
        </w:rPr>
      </w:pPr>
    </w:p>
    <w:p w14:paraId="07F89E4F" w14:textId="77777777" w:rsidR="00475CB9" w:rsidRPr="00475CB9" w:rsidRDefault="00475CB9" w:rsidP="00CE1820">
      <w:pPr>
        <w:rPr>
          <w:b/>
          <w:lang w:val="en-US"/>
        </w:rPr>
      </w:pPr>
    </w:p>
    <w:p w14:paraId="67DDFA96" w14:textId="77777777" w:rsidR="00640F6D" w:rsidRPr="00475CB9" w:rsidRDefault="00640F6D" w:rsidP="00CE1820">
      <w:pPr>
        <w:rPr>
          <w:b/>
          <w:lang w:val="en-US"/>
        </w:rPr>
      </w:pPr>
      <w:r w:rsidRPr="00475CB9">
        <w:rPr>
          <w:b/>
          <w:lang w:val="en-US"/>
        </w:rPr>
        <w:t>The Moral Foundations of Pollution</w:t>
      </w:r>
    </w:p>
    <w:p w14:paraId="49E34E0B" w14:textId="77777777" w:rsidR="00640F6D" w:rsidRPr="00475CB9" w:rsidRDefault="00640F6D" w:rsidP="00CE1820">
      <w:pPr>
        <w:rPr>
          <w:highlight w:val="yellow"/>
          <w:lang w:val="en-US"/>
        </w:rPr>
      </w:pPr>
    </w:p>
    <w:p w14:paraId="6F2752F9" w14:textId="62541589" w:rsidR="00C62D80" w:rsidRDefault="00E94288" w:rsidP="00CE1820">
      <w:pPr>
        <w:rPr>
          <w:lang w:val="en-US"/>
        </w:rPr>
      </w:pPr>
      <w:r>
        <w:rPr>
          <w:lang w:val="en-US"/>
        </w:rPr>
        <w:t>On a</w:t>
      </w:r>
      <w:r w:rsidR="00441B7E">
        <w:rPr>
          <w:lang w:val="en-US"/>
        </w:rPr>
        <w:t xml:space="preserve"> general level, C</w:t>
      </w:r>
      <w:r w:rsidR="00475CB9" w:rsidRPr="00475CB9">
        <w:rPr>
          <w:lang w:val="en-US"/>
        </w:rPr>
        <w:t>hurch</w:t>
      </w:r>
      <w:r w:rsidR="00441B7E">
        <w:rPr>
          <w:lang w:val="en-US"/>
        </w:rPr>
        <w:t xml:space="preserve"> P</w:t>
      </w:r>
      <w:r w:rsidR="00475CB9" w:rsidRPr="00475CB9">
        <w:rPr>
          <w:lang w:val="en-US"/>
        </w:rPr>
        <w:t xml:space="preserve">ollution illustrates the complex nature of concepts such as ‘pollution’ and ‘contamination’. </w:t>
      </w:r>
      <w:r w:rsidR="00640F6D" w:rsidRPr="00475CB9">
        <w:rPr>
          <w:lang w:val="en-US"/>
        </w:rPr>
        <w:t>Though coupled very much with physical contamination of the natural environment in modern thought, there are, of course, deeply moral foundations for the concept of ‘pollution’, deriving from earlier meanings and application.</w:t>
      </w:r>
      <w:r w:rsidR="00640F6D" w:rsidRPr="00475CB9">
        <w:rPr>
          <w:rStyle w:val="FootnoteReference"/>
          <w:lang w:val="en-US"/>
        </w:rPr>
        <w:footnoteReference w:id="87"/>
      </w:r>
      <w:r w:rsidR="00640F6D" w:rsidRPr="00475CB9">
        <w:rPr>
          <w:lang w:val="en-US"/>
        </w:rPr>
        <w:t xml:space="preserve"> These normative values appear to have endured, despite the diminishing </w:t>
      </w:r>
      <w:r>
        <w:rPr>
          <w:lang w:val="en-US"/>
        </w:rPr>
        <w:t>consideration</w:t>
      </w:r>
      <w:r w:rsidR="00640F6D" w:rsidRPr="00475CB9">
        <w:rPr>
          <w:lang w:val="en-US"/>
        </w:rPr>
        <w:t xml:space="preserve"> afforded the spiritual environment, and advances in scientific understanding. </w:t>
      </w:r>
      <w:r w:rsidR="00FC3285">
        <w:rPr>
          <w:lang w:val="en-US"/>
        </w:rPr>
        <w:t>The idea of pollution</w:t>
      </w:r>
      <w:r w:rsidR="000456C5">
        <w:rPr>
          <w:lang w:val="en-US"/>
        </w:rPr>
        <w:t>, and its developing refinement, may</w:t>
      </w:r>
      <w:r w:rsidR="00FC3285">
        <w:rPr>
          <w:lang w:val="en-US"/>
        </w:rPr>
        <w:t xml:space="preserve"> have a place in the history of morals and law.</w:t>
      </w:r>
      <w:r w:rsidR="00FC3285">
        <w:rPr>
          <w:rStyle w:val="FootnoteReference"/>
          <w:lang w:val="en-US"/>
        </w:rPr>
        <w:footnoteReference w:id="88"/>
      </w:r>
      <w:r w:rsidR="00FC3285">
        <w:rPr>
          <w:lang w:val="en-US"/>
        </w:rPr>
        <w:t xml:space="preserve"> </w:t>
      </w:r>
      <w:r w:rsidR="00C62D80">
        <w:rPr>
          <w:lang w:val="en-US"/>
        </w:rPr>
        <w:t>Murray identifies how:</w:t>
      </w:r>
    </w:p>
    <w:p w14:paraId="7156672A" w14:textId="6CD9980B" w:rsidR="00C62D80" w:rsidRDefault="00C62D80" w:rsidP="00CE1820">
      <w:pPr>
        <w:rPr>
          <w:lang w:val="en-US"/>
        </w:rPr>
      </w:pPr>
    </w:p>
    <w:p w14:paraId="6034CDF8" w14:textId="2AC136DF" w:rsidR="00C62D80" w:rsidRDefault="00C62D80" w:rsidP="00750C05">
      <w:pPr>
        <w:ind w:left="284" w:right="461"/>
        <w:rPr>
          <w:lang w:val="en-US"/>
        </w:rPr>
      </w:pPr>
      <w:r>
        <w:rPr>
          <w:lang w:val="en-US"/>
        </w:rPr>
        <w:t>‘the word “pollution” is an ordinary English word, common today in respect of dirt in the natural environment. It also has a religious use, which goes bac</w:t>
      </w:r>
      <w:r w:rsidR="00750C05">
        <w:rPr>
          <w:lang w:val="en-US"/>
        </w:rPr>
        <w:t>k to late medieval English and [</w:t>
      </w:r>
      <w:r>
        <w:rPr>
          <w:lang w:val="en-US"/>
        </w:rPr>
        <w:t>…</w:t>
      </w:r>
      <w:r w:rsidR="00750C05">
        <w:rPr>
          <w:lang w:val="en-US"/>
        </w:rPr>
        <w:t>]</w:t>
      </w:r>
      <w:r>
        <w:rPr>
          <w:lang w:val="en-US"/>
        </w:rPr>
        <w:t xml:space="preserve"> to some of the earliest human records.</w:t>
      </w:r>
      <w:r w:rsidR="00750C05">
        <w:rPr>
          <w:lang w:val="en-US"/>
        </w:rPr>
        <w:t>’</w:t>
      </w:r>
      <w:r w:rsidR="00750C05">
        <w:rPr>
          <w:rStyle w:val="FootnoteReference"/>
          <w:lang w:val="en-US"/>
        </w:rPr>
        <w:footnoteReference w:id="89"/>
      </w:r>
    </w:p>
    <w:p w14:paraId="645043D1" w14:textId="77777777" w:rsidR="00C62D80" w:rsidRDefault="00C62D80" w:rsidP="00CE1820">
      <w:pPr>
        <w:rPr>
          <w:lang w:val="en-US"/>
        </w:rPr>
      </w:pPr>
    </w:p>
    <w:p w14:paraId="6D656BB7" w14:textId="38D22C84" w:rsidR="001A24B4" w:rsidRDefault="00640F6D" w:rsidP="00CE1820">
      <w:pPr>
        <w:rPr>
          <w:lang w:val="en-US"/>
        </w:rPr>
      </w:pPr>
      <w:r w:rsidRPr="00475CB9">
        <w:rPr>
          <w:lang w:val="en-US"/>
        </w:rPr>
        <w:t>Mary Douglas explored how ‘pollution beliefs’ work in the life of society at different levels,</w:t>
      </w:r>
      <w:r w:rsidRPr="00475CB9">
        <w:rPr>
          <w:rStyle w:val="FootnoteReference"/>
          <w:lang w:val="en-US"/>
        </w:rPr>
        <w:footnoteReference w:id="90"/>
      </w:r>
      <w:r w:rsidRPr="00475CB9">
        <w:rPr>
          <w:lang w:val="en-US"/>
        </w:rPr>
        <w:t xml:space="preserve"> identifying how primitive religions were inspired by fear and inextricably confused defilement with hygiene.</w:t>
      </w:r>
      <w:r w:rsidRPr="00475CB9">
        <w:rPr>
          <w:rStyle w:val="FootnoteReference"/>
          <w:lang w:val="en-US"/>
        </w:rPr>
        <w:footnoteReference w:id="91"/>
      </w:r>
      <w:r w:rsidRPr="00475CB9">
        <w:rPr>
          <w:lang w:val="en-US"/>
        </w:rPr>
        <w:t xml:space="preserve"> St. Thomas Aquinas explained that ‘bloodshed’ referred to ‘voluntary injury leading to bloodshed’, which implied sin, and that it was sin in a holy place that desecrated it, not defilement by bloodshed.</w:t>
      </w:r>
      <w:r w:rsidRPr="00475CB9">
        <w:rPr>
          <w:rStyle w:val="FootnoteReference"/>
          <w:lang w:val="en-US"/>
        </w:rPr>
        <w:footnoteReference w:id="92"/>
      </w:r>
      <w:r w:rsidRPr="00475CB9">
        <w:rPr>
          <w:lang w:val="en-US"/>
        </w:rPr>
        <w:t xml:space="preserve"> In those origins, however, the connection between physical contamination – whether by bodily fluids, the presence of ‘filthy creatures’, or of non-believers (alive or dead)</w:t>
      </w:r>
      <w:r w:rsidRPr="00475CB9">
        <w:rPr>
          <w:rStyle w:val="FootnoteReference"/>
          <w:lang w:val="en-US"/>
        </w:rPr>
        <w:footnoteReference w:id="93"/>
      </w:r>
      <w:r w:rsidRPr="00475CB9">
        <w:rPr>
          <w:lang w:val="en-US"/>
        </w:rPr>
        <w:t xml:space="preserve"> – and defilement was very important. That link between physical substance and spiritual value was also reflected in the paradoxical effect o</w:t>
      </w:r>
      <w:r w:rsidR="00C9678F">
        <w:rPr>
          <w:lang w:val="en-US"/>
        </w:rPr>
        <w:t>f blood as a cleansing presence</w:t>
      </w:r>
      <w:r w:rsidRPr="00475CB9">
        <w:rPr>
          <w:lang w:val="en-US"/>
        </w:rPr>
        <w:t xml:space="preserve">: </w:t>
      </w:r>
      <w:r w:rsidR="00DE7178">
        <w:rPr>
          <w:lang w:val="en-US"/>
        </w:rPr>
        <w:t>‘</w:t>
      </w:r>
      <w:r w:rsidRPr="00475CB9">
        <w:rPr>
          <w:lang w:val="en-US"/>
        </w:rPr>
        <w:t>Context is everything in determining its</w:t>
      </w:r>
      <w:r w:rsidR="00DE7178">
        <w:rPr>
          <w:lang w:val="en-US"/>
        </w:rPr>
        <w:t xml:space="preserve"> significance and emotive power’</w:t>
      </w:r>
      <w:r w:rsidRPr="00475CB9">
        <w:rPr>
          <w:lang w:val="en-US"/>
        </w:rPr>
        <w:t>.</w:t>
      </w:r>
      <w:r w:rsidRPr="00475CB9">
        <w:rPr>
          <w:rStyle w:val="FootnoteReference"/>
          <w:lang w:val="en-US"/>
        </w:rPr>
        <w:footnoteReference w:id="94"/>
      </w:r>
      <w:r w:rsidRPr="00475CB9">
        <w:rPr>
          <w:lang w:val="en-US"/>
        </w:rPr>
        <w:t xml:space="preserve"> As Douglas recognised, it can be perceived as ‘in place, or ‘out of place’,</w:t>
      </w:r>
      <w:r w:rsidRPr="00475CB9">
        <w:rPr>
          <w:rStyle w:val="FootnoteReference"/>
          <w:lang w:val="en-US"/>
        </w:rPr>
        <w:footnoteReference w:id="95"/>
      </w:r>
      <w:r w:rsidRPr="00475CB9">
        <w:rPr>
          <w:lang w:val="en-US"/>
        </w:rPr>
        <w:t xml:space="preserve"> and so as an active substance may be either a pollutant or detergent.</w:t>
      </w:r>
      <w:r w:rsidRPr="00475CB9">
        <w:rPr>
          <w:rStyle w:val="FootnoteReference"/>
          <w:lang w:val="en-US"/>
        </w:rPr>
        <w:footnoteReference w:id="96"/>
      </w:r>
      <w:r w:rsidRPr="00475CB9">
        <w:rPr>
          <w:lang w:val="en-US"/>
        </w:rPr>
        <w:t xml:space="preserve"> </w:t>
      </w:r>
      <w:r w:rsidR="00155185">
        <w:rPr>
          <w:lang w:val="en-US"/>
        </w:rPr>
        <w:t>Murray suggests that the religious notion of ‘pollution’ may, in many respects, be closer to a state of medical infection than to imply moral guilt, but that pollution and immorality are not completely unconnected. The community must protect itself from disease and moral offences, so that ‘pollution’ is</w:t>
      </w:r>
      <w:r w:rsidR="008E1A28">
        <w:rPr>
          <w:lang w:val="en-US"/>
        </w:rPr>
        <w:t xml:space="preserve"> a</w:t>
      </w:r>
      <w:r w:rsidR="00155185">
        <w:rPr>
          <w:lang w:val="en-US"/>
        </w:rPr>
        <w:t xml:space="preserve"> social mechanism for self-defence</w:t>
      </w:r>
      <w:r w:rsidR="008E1A28">
        <w:rPr>
          <w:lang w:val="en-US"/>
        </w:rPr>
        <w:t>, there being moral offences and diseases against which a human community considers it must pr</w:t>
      </w:r>
      <w:r w:rsidR="001A24B4">
        <w:rPr>
          <w:lang w:val="en-US"/>
        </w:rPr>
        <w:t>o</w:t>
      </w:r>
      <w:r w:rsidR="008E1A28">
        <w:rPr>
          <w:lang w:val="en-US"/>
        </w:rPr>
        <w:t>tect itself against (at all costs).</w:t>
      </w:r>
      <w:r w:rsidR="00155185">
        <w:rPr>
          <w:rStyle w:val="FootnoteReference"/>
          <w:lang w:val="en-US"/>
        </w:rPr>
        <w:footnoteReference w:id="97"/>
      </w:r>
      <w:r w:rsidR="00155185">
        <w:rPr>
          <w:lang w:val="en-US"/>
        </w:rPr>
        <w:t xml:space="preserve"> </w:t>
      </w:r>
      <w:r w:rsidR="00590311">
        <w:rPr>
          <w:lang w:val="en-US"/>
        </w:rPr>
        <w:t>As society has developed from the Middle Ages, the focus has become more the moral core of acts, making intention central, rather than simply the material event.</w:t>
      </w:r>
      <w:r w:rsidR="00590311">
        <w:rPr>
          <w:rStyle w:val="FootnoteReference"/>
          <w:lang w:val="en-US"/>
        </w:rPr>
        <w:footnoteReference w:id="98"/>
      </w:r>
      <w:r w:rsidR="00155185">
        <w:rPr>
          <w:lang w:val="en-US"/>
        </w:rPr>
        <w:t xml:space="preserve"> </w:t>
      </w:r>
      <w:r w:rsidR="001A24B4">
        <w:rPr>
          <w:lang w:val="en-US"/>
        </w:rPr>
        <w:t xml:space="preserve"> In the case of pollution through violent acts, rather than suicide,</w:t>
      </w:r>
      <w:r w:rsidR="001A24B4">
        <w:rPr>
          <w:rStyle w:val="FootnoteReference"/>
          <w:lang w:val="en-US"/>
        </w:rPr>
        <w:footnoteReference w:id="99"/>
      </w:r>
      <w:r w:rsidR="001A24B4">
        <w:rPr>
          <w:lang w:val="en-US"/>
        </w:rPr>
        <w:t xml:space="preserve"> the connection </w:t>
      </w:r>
      <w:r w:rsidR="00603551">
        <w:rPr>
          <w:lang w:val="en-US"/>
        </w:rPr>
        <w:t xml:space="preserve">between pollution and morality is more clearly identified. In all cases, the perception of pollution as requiring a material response can be identified. </w:t>
      </w:r>
    </w:p>
    <w:p w14:paraId="2BCD0DC1" w14:textId="77777777" w:rsidR="00453589" w:rsidRDefault="00453589" w:rsidP="00CE1820">
      <w:pPr>
        <w:rPr>
          <w:lang w:val="en-US"/>
        </w:rPr>
      </w:pPr>
    </w:p>
    <w:p w14:paraId="259C6EBA" w14:textId="26F6C21C" w:rsidR="00640F6D" w:rsidRPr="00475CB9" w:rsidRDefault="00640F6D" w:rsidP="00CE1820">
      <w:pPr>
        <w:rPr>
          <w:lang w:val="en-US"/>
        </w:rPr>
      </w:pPr>
      <w:r w:rsidRPr="00475CB9">
        <w:rPr>
          <w:lang w:val="en-US"/>
        </w:rPr>
        <w:t>The ritual of reconciliation</w:t>
      </w:r>
      <w:r w:rsidRPr="00475CB9">
        <w:rPr>
          <w:rStyle w:val="FootnoteReference"/>
          <w:lang w:val="en-US"/>
        </w:rPr>
        <w:footnoteReference w:id="100"/>
      </w:r>
      <w:r w:rsidR="00DE7178">
        <w:rPr>
          <w:lang w:val="en-US"/>
        </w:rPr>
        <w:t xml:space="preserve"> treated the church ‘</w:t>
      </w:r>
      <w:r w:rsidRPr="00475CB9">
        <w:rPr>
          <w:lang w:val="en-US"/>
        </w:rPr>
        <w:t>much lik</w:t>
      </w:r>
      <w:r w:rsidR="00DE7178">
        <w:rPr>
          <w:lang w:val="en-US"/>
        </w:rPr>
        <w:t>e a person in need of scrubbing’</w:t>
      </w:r>
      <w:r w:rsidRPr="00475CB9">
        <w:rPr>
          <w:lang w:val="en-US"/>
        </w:rPr>
        <w:t>,</w:t>
      </w:r>
      <w:r w:rsidRPr="00475CB9">
        <w:rPr>
          <w:rStyle w:val="FootnoteReference"/>
          <w:lang w:val="en-US"/>
        </w:rPr>
        <w:footnoteReference w:id="101"/>
      </w:r>
      <w:r w:rsidR="00DE7178">
        <w:rPr>
          <w:lang w:val="en-US"/>
        </w:rPr>
        <w:t xml:space="preserve"> aspersing Holy Water ‘washing away the stains of sin’</w:t>
      </w:r>
      <w:r w:rsidRPr="00475CB9">
        <w:rPr>
          <w:lang w:val="en-US"/>
        </w:rPr>
        <w:t xml:space="preserve"> in a church.</w:t>
      </w:r>
      <w:r w:rsidRPr="00475CB9">
        <w:rPr>
          <w:rStyle w:val="FootnoteReference"/>
          <w:lang w:val="en-US"/>
        </w:rPr>
        <w:footnoteReference w:id="102"/>
      </w:r>
      <w:r w:rsidRPr="00475CB9">
        <w:rPr>
          <w:lang w:val="en-US"/>
        </w:rPr>
        <w:t xml:space="preserve"> So essentially moral offences, resulting in imposition of expressions of moral repentance,</w:t>
      </w:r>
      <w:r w:rsidRPr="00475CB9">
        <w:rPr>
          <w:rStyle w:val="FootnoteReference"/>
          <w:lang w:val="en-US"/>
        </w:rPr>
        <w:footnoteReference w:id="103"/>
      </w:r>
      <w:r w:rsidRPr="00475CB9">
        <w:rPr>
          <w:lang w:val="en-US"/>
        </w:rPr>
        <w:t xml:space="preserve"> were developed in the context of close associations between sin, and substances. Thiery identifies how parishioners adopted the terminology of ‘pollution’ used by the clergy to stigmatise violence on hallowed ground.</w:t>
      </w:r>
      <w:r w:rsidRPr="00475CB9">
        <w:rPr>
          <w:rStyle w:val="FootnoteReference"/>
          <w:lang w:val="en-US"/>
        </w:rPr>
        <w:footnoteReference w:id="104"/>
      </w:r>
      <w:r w:rsidRPr="00475CB9">
        <w:rPr>
          <w:lang w:val="en-US"/>
        </w:rPr>
        <w:t xml:space="preserve"> One element of this appears to be concern with the location of bloodshed, as well as violence; some parishioners being at pains to testify that blood was shed some way away from the sacred space, even if the violence took place there.</w:t>
      </w:r>
      <w:r w:rsidRPr="00475CB9">
        <w:rPr>
          <w:rStyle w:val="FootnoteReference"/>
          <w:lang w:val="en-US"/>
        </w:rPr>
        <w:footnoteReference w:id="105"/>
      </w:r>
    </w:p>
    <w:p w14:paraId="7D50AEA8" w14:textId="77777777" w:rsidR="00640F6D" w:rsidRPr="00475CB9" w:rsidRDefault="00640F6D" w:rsidP="00CE1820">
      <w:pPr>
        <w:rPr>
          <w:lang w:val="en-US"/>
        </w:rPr>
      </w:pPr>
    </w:p>
    <w:p w14:paraId="1B49621D" w14:textId="3AD77963" w:rsidR="009F2718" w:rsidRDefault="00640F6D" w:rsidP="00CE1820">
      <w:pPr>
        <w:rPr>
          <w:lang w:val="en-US"/>
        </w:rPr>
      </w:pPr>
      <w:r w:rsidRPr="00475CB9">
        <w:rPr>
          <w:lang w:val="en-US"/>
        </w:rPr>
        <w:t xml:space="preserve">In contemporary approaches to environmental protection scientific and economic justifications are at the forefront. That does not mean that a moral </w:t>
      </w:r>
      <w:r w:rsidR="00B42EB8">
        <w:rPr>
          <w:lang w:val="en-US"/>
        </w:rPr>
        <w:t>dimension of</w:t>
      </w:r>
      <w:r w:rsidRPr="00475CB9">
        <w:rPr>
          <w:lang w:val="en-US"/>
        </w:rPr>
        <w:t xml:space="preserve"> pollution cannot be found in contempor</w:t>
      </w:r>
      <w:r w:rsidR="009F2718">
        <w:rPr>
          <w:lang w:val="en-US"/>
        </w:rPr>
        <w:t>ary environmental law, however:</w:t>
      </w:r>
    </w:p>
    <w:p w14:paraId="6945A868" w14:textId="77777777" w:rsidR="009F2718" w:rsidRDefault="009F2718" w:rsidP="00CE1820">
      <w:pPr>
        <w:rPr>
          <w:lang w:val="en-US"/>
        </w:rPr>
      </w:pPr>
    </w:p>
    <w:p w14:paraId="305A8EA0" w14:textId="6447ED6C" w:rsidR="009F2718" w:rsidRDefault="00640F6D" w:rsidP="00CE1820">
      <w:pPr>
        <w:ind w:left="567" w:right="602"/>
        <w:rPr>
          <w:lang w:val="en-US"/>
        </w:rPr>
      </w:pPr>
      <w:r w:rsidRPr="00475CB9">
        <w:rPr>
          <w:lang w:val="en-US"/>
        </w:rPr>
        <w:t xml:space="preserve"> </w:t>
      </w:r>
      <w:r w:rsidR="00DE7178">
        <w:rPr>
          <w:lang w:val="en-US"/>
        </w:rPr>
        <w:t>‘</w:t>
      </w:r>
      <w:r w:rsidRPr="00475CB9">
        <w:rPr>
          <w:lang w:val="en-US"/>
        </w:rPr>
        <w:t>The ruling proposition is that the ‘polluters pay’, and behind this proposition is the sentiment that they should pay. After all, they made the earth uninhabitable, we did not. Polluters are perfectly appropriate lightning rods for the moralistic aggression sent their way.</w:t>
      </w:r>
      <w:r w:rsidR="00DE7178">
        <w:rPr>
          <w:lang w:val="en-US"/>
        </w:rPr>
        <w:t>’</w:t>
      </w:r>
      <w:r w:rsidRPr="00475CB9">
        <w:rPr>
          <w:rStyle w:val="FootnoteReference"/>
          <w:lang w:val="en-US"/>
        </w:rPr>
        <w:footnoteReference w:id="106"/>
      </w:r>
      <w:r w:rsidRPr="00475CB9">
        <w:rPr>
          <w:lang w:val="en-US"/>
        </w:rPr>
        <w:t xml:space="preserve"> </w:t>
      </w:r>
    </w:p>
    <w:p w14:paraId="1D1E58BC" w14:textId="77777777" w:rsidR="009F2718" w:rsidRDefault="009F2718" w:rsidP="00CE1820">
      <w:pPr>
        <w:rPr>
          <w:lang w:val="en-US"/>
        </w:rPr>
      </w:pPr>
    </w:p>
    <w:p w14:paraId="303ED826" w14:textId="189215CA" w:rsidR="00640F6D" w:rsidRDefault="00640F6D" w:rsidP="00CE1820">
      <w:pPr>
        <w:rPr>
          <w:lang w:val="en-US"/>
        </w:rPr>
      </w:pPr>
      <w:r w:rsidRPr="00475CB9">
        <w:rPr>
          <w:lang w:val="en-US"/>
        </w:rPr>
        <w:t>Moral</w:t>
      </w:r>
      <w:r w:rsidR="00453589">
        <w:rPr>
          <w:lang w:val="en-US"/>
        </w:rPr>
        <w:t>, scientific</w:t>
      </w:r>
      <w:r w:rsidRPr="00475CB9">
        <w:rPr>
          <w:lang w:val="en-US"/>
        </w:rPr>
        <w:t xml:space="preserve"> and economic concerns may focus on the same ‘externalities’, but the concept of pollution itself is a moral one,</w:t>
      </w:r>
      <w:r w:rsidR="00453589">
        <w:rPr>
          <w:lang w:val="en-US"/>
        </w:rPr>
        <w:t xml:space="preserve"> to some degree,</w:t>
      </w:r>
      <w:r w:rsidRPr="00475CB9">
        <w:rPr>
          <w:lang w:val="en-US"/>
        </w:rPr>
        <w:t xml:space="preserve"> or at least is socially defined.</w:t>
      </w:r>
      <w:r w:rsidRPr="00475CB9">
        <w:rPr>
          <w:rStyle w:val="FootnoteReference"/>
          <w:lang w:val="en-US"/>
        </w:rPr>
        <w:footnoteReference w:id="107"/>
      </w:r>
      <w:r w:rsidRPr="00475CB9">
        <w:rPr>
          <w:lang w:val="en-US"/>
        </w:rPr>
        <w:t xml:space="preserve"> Though contemporary law may ground this through references to ‘harm’ such as the effects on human health, ecosystems, or impairment of services, on one level it can be perceived as the introduction into the environment of some substance or energy that society disapproves of.</w:t>
      </w:r>
      <w:r w:rsidRPr="00475CB9">
        <w:rPr>
          <w:rStyle w:val="FootnoteReference"/>
          <w:lang w:val="en-US"/>
        </w:rPr>
        <w:footnoteReference w:id="108"/>
      </w:r>
      <w:r w:rsidRPr="00475CB9">
        <w:rPr>
          <w:lang w:val="en-US"/>
        </w:rPr>
        <w:t xml:space="preserve"> As very little in nature is absolutely pure, identifying pollution requires social judgement and so is an ethical question: whether something is ‘harmful’ is not objective, but depends upon a value judgement that society would be better off without it.</w:t>
      </w:r>
      <w:r w:rsidRPr="00475CB9">
        <w:rPr>
          <w:rStyle w:val="FootnoteReference"/>
          <w:lang w:val="en-US"/>
        </w:rPr>
        <w:footnoteReference w:id="109"/>
      </w:r>
      <w:r w:rsidRPr="00475CB9">
        <w:rPr>
          <w:lang w:val="en-US"/>
        </w:rPr>
        <w:t xml:space="preserve"> </w:t>
      </w:r>
      <w:r w:rsidR="00E94288">
        <w:rPr>
          <w:lang w:val="en-US"/>
        </w:rPr>
        <w:t>As we will see, these judgements, and the values underpinning them, vary over time and across societies.</w:t>
      </w:r>
      <w:r w:rsidR="00B42EB8">
        <w:rPr>
          <w:lang w:val="en-US"/>
        </w:rPr>
        <w:t xml:space="preserve"> </w:t>
      </w:r>
    </w:p>
    <w:p w14:paraId="7758949E" w14:textId="77777777" w:rsidR="00B42EB8" w:rsidRDefault="00B42EB8" w:rsidP="00CE1820">
      <w:pPr>
        <w:rPr>
          <w:lang w:val="en-US"/>
        </w:rPr>
      </w:pPr>
    </w:p>
    <w:p w14:paraId="4508EAB2" w14:textId="2AE1522E" w:rsidR="00B42EB8" w:rsidRPr="00BB1956" w:rsidRDefault="00B42EB8" w:rsidP="00CE1820">
      <w:pPr>
        <w:rPr>
          <w:b/>
          <w:color w:val="FF0000"/>
          <w:lang w:val="en-US"/>
        </w:rPr>
      </w:pPr>
      <w:r>
        <w:rPr>
          <w:lang w:val="en-US"/>
        </w:rPr>
        <w:t xml:space="preserve">As with Murray’s analysis of religious pollution, the moral dimension of contemporary environmental law </w:t>
      </w:r>
      <w:r w:rsidR="00DD3026">
        <w:rPr>
          <w:lang w:val="en-US"/>
        </w:rPr>
        <w:t>is partial and complex. Environmental law is an important expression of social value, with the adoption of laws in this field reflecting concerns for values not previously incorporated within the law.</w:t>
      </w:r>
      <w:r w:rsidR="00DD3026">
        <w:rPr>
          <w:rStyle w:val="FootnoteReference"/>
          <w:lang w:val="en-US"/>
        </w:rPr>
        <w:footnoteReference w:id="110"/>
      </w:r>
      <w:r w:rsidR="00DD3026">
        <w:rPr>
          <w:lang w:val="en-US"/>
        </w:rPr>
        <w:t xml:space="preserve"> T</w:t>
      </w:r>
      <w:r>
        <w:rPr>
          <w:lang w:val="en-US"/>
        </w:rPr>
        <w:t>he value or caring of the human re</w:t>
      </w:r>
      <w:r w:rsidR="00DD3026">
        <w:rPr>
          <w:lang w:val="en-US"/>
        </w:rPr>
        <w:t xml:space="preserve">lationship with the environment, however, </w:t>
      </w:r>
      <w:r>
        <w:rPr>
          <w:lang w:val="en-US"/>
        </w:rPr>
        <w:t>is only a limited part of the ‘bundle’ of values shaping and embedded in environmental legislation</w:t>
      </w:r>
      <w:r w:rsidR="00DD3026">
        <w:rPr>
          <w:lang w:val="en-US"/>
        </w:rPr>
        <w:t>, together with long-standing anthropocentric and self-interested concerns.</w:t>
      </w:r>
      <w:r>
        <w:rPr>
          <w:rStyle w:val="FootnoteReference"/>
          <w:lang w:val="en-US"/>
        </w:rPr>
        <w:footnoteReference w:id="111"/>
      </w:r>
      <w:r>
        <w:rPr>
          <w:lang w:val="en-US"/>
        </w:rPr>
        <w:t xml:space="preserve"> </w:t>
      </w:r>
      <w:r w:rsidR="00E15D29">
        <w:rPr>
          <w:lang w:val="en-US"/>
        </w:rPr>
        <w:t xml:space="preserve">The extent to which a biocentric or ecocentric ethic informs contemporary environmental law is, therefore, limited. </w:t>
      </w:r>
      <w:r w:rsidR="00DE075F">
        <w:rPr>
          <w:lang w:val="en-US"/>
        </w:rPr>
        <w:t xml:space="preserve">The connections between morality and environmental law may, in common with much regulation, also be disconnected in a broader sense, through the prevalence of ‘strict liability’. The </w:t>
      </w:r>
      <w:r w:rsidR="00DE075F" w:rsidRPr="00DE075F">
        <w:t xml:space="preserve">issue of strict liability crime is one </w:t>
      </w:r>
      <w:r w:rsidR="00DE075F">
        <w:t>that</w:t>
      </w:r>
      <w:r w:rsidR="00DE075F" w:rsidRPr="00DE075F">
        <w:t xml:space="preserve"> is of general concern in the environmental field, with the courts historically considering such regulatory offences as dealing “… with acts which 'are not criminal in any real sense, but are acts which in the public interest are prohibited under a penalty'…”.</w:t>
      </w:r>
      <w:r w:rsidR="00DE075F" w:rsidRPr="00DE075F">
        <w:rPr>
          <w:vertAlign w:val="superscript"/>
        </w:rPr>
        <w:footnoteReference w:id="112"/>
      </w:r>
      <w:r w:rsidR="00DE075F">
        <w:t xml:space="preserve"> Ashworth argues that utilitarian effectiveness rationales do not address the basic issue of imposing the stigma of moral blame in the absence of the need to prove moral blameworthiness.</w:t>
      </w:r>
      <w:r w:rsidR="00BB1956">
        <w:rPr>
          <w:rStyle w:val="FootnoteReference"/>
        </w:rPr>
        <w:footnoteReference w:id="113"/>
      </w:r>
      <w:r w:rsidR="00DE075F">
        <w:t xml:space="preserve"> </w:t>
      </w:r>
      <w:r w:rsidR="00FB7CBE">
        <w:t xml:space="preserve">Thus contemporary environmental law and regulation of pollution may be viewed as having a strong ‘materialist’ as well as moral component. Even environmental law scholarship tends towards a more ‘concrete’ focus on </w:t>
      </w:r>
      <w:r w:rsidR="00453589">
        <w:t xml:space="preserve">how </w:t>
      </w:r>
      <w:r w:rsidR="00FB7CBE">
        <w:t>things</w:t>
      </w:r>
      <w:r w:rsidR="00453589">
        <w:t xml:space="preserve"> can</w:t>
      </w:r>
      <w:r w:rsidR="00FB7CBE">
        <w:t xml:space="preserve"> work than purely abstract/theoretical discussion.</w:t>
      </w:r>
      <w:r w:rsidR="00FB7CBE">
        <w:rPr>
          <w:rStyle w:val="FootnoteReference"/>
        </w:rPr>
        <w:footnoteReference w:id="114"/>
      </w:r>
      <w:r w:rsidR="00FB7CBE">
        <w:t xml:space="preserve"> </w:t>
      </w:r>
    </w:p>
    <w:p w14:paraId="75F6F7F4" w14:textId="77777777" w:rsidR="00640F6D" w:rsidRPr="00475CB9" w:rsidRDefault="00640F6D" w:rsidP="00CE1820">
      <w:pPr>
        <w:rPr>
          <w:lang w:val="en-US"/>
        </w:rPr>
      </w:pPr>
    </w:p>
    <w:p w14:paraId="1E9336CA" w14:textId="77777777" w:rsidR="00183AC0" w:rsidRPr="00475CB9" w:rsidRDefault="00183AC0" w:rsidP="00CE1820">
      <w:pPr>
        <w:rPr>
          <w:lang w:val="en-US"/>
        </w:rPr>
      </w:pPr>
    </w:p>
    <w:p w14:paraId="10A9B3A2" w14:textId="64862BE5" w:rsidR="00183AC0" w:rsidRPr="005F1C12" w:rsidRDefault="00B756D8" w:rsidP="00CE1820">
      <w:pPr>
        <w:rPr>
          <w:b/>
          <w:lang w:val="en-US"/>
        </w:rPr>
      </w:pPr>
      <w:r>
        <w:rPr>
          <w:b/>
          <w:lang w:val="en-US"/>
        </w:rPr>
        <w:t xml:space="preserve">General </w:t>
      </w:r>
      <w:r w:rsidR="00183AC0" w:rsidRPr="005F1C12">
        <w:rPr>
          <w:b/>
          <w:lang w:val="en-US"/>
        </w:rPr>
        <w:t xml:space="preserve">Environmental Law </w:t>
      </w:r>
      <w:r>
        <w:rPr>
          <w:b/>
          <w:lang w:val="en-US"/>
        </w:rPr>
        <w:t xml:space="preserve">Approaches and </w:t>
      </w:r>
      <w:r w:rsidR="00183AC0" w:rsidRPr="005F1C12">
        <w:rPr>
          <w:b/>
          <w:lang w:val="en-US"/>
        </w:rPr>
        <w:t xml:space="preserve">Principles </w:t>
      </w:r>
    </w:p>
    <w:p w14:paraId="595D15EE" w14:textId="77777777" w:rsidR="00183AC0" w:rsidRPr="00BD7537" w:rsidRDefault="00183AC0" w:rsidP="00CE1820">
      <w:pPr>
        <w:rPr>
          <w:lang w:val="en-US"/>
        </w:rPr>
      </w:pPr>
    </w:p>
    <w:p w14:paraId="631F419F" w14:textId="54C8C5E2" w:rsidR="00183AC0" w:rsidRPr="00BD7537" w:rsidRDefault="00475CB9" w:rsidP="00CE1820">
      <w:pPr>
        <w:rPr>
          <w:lang w:val="en-US"/>
        </w:rPr>
      </w:pPr>
      <w:r>
        <w:rPr>
          <w:lang w:val="en-US"/>
        </w:rPr>
        <w:t>A further</w:t>
      </w:r>
      <w:r w:rsidR="00453589">
        <w:rPr>
          <w:lang w:val="en-US"/>
        </w:rPr>
        <w:t>, fairly obvious,</w:t>
      </w:r>
      <w:r>
        <w:rPr>
          <w:lang w:val="en-US"/>
        </w:rPr>
        <w:t xml:space="preserve"> connection </w:t>
      </w:r>
      <w:r w:rsidR="00183AC0" w:rsidRPr="00BD7537">
        <w:rPr>
          <w:lang w:val="en-US"/>
        </w:rPr>
        <w:t xml:space="preserve">is the notion of special protection for </w:t>
      </w:r>
      <w:r w:rsidR="00183AC0">
        <w:rPr>
          <w:lang w:val="en-US"/>
        </w:rPr>
        <w:t>particular</w:t>
      </w:r>
      <w:r w:rsidR="00E5134A">
        <w:rPr>
          <w:lang w:val="en-US"/>
        </w:rPr>
        <w:t xml:space="preserve"> places </w:t>
      </w:r>
      <w:r w:rsidR="00183AC0" w:rsidRPr="00BD7537">
        <w:rPr>
          <w:lang w:val="en-US"/>
        </w:rPr>
        <w:t xml:space="preserve">and objects. </w:t>
      </w:r>
      <w:r w:rsidR="00E94288">
        <w:rPr>
          <w:lang w:val="en-US"/>
        </w:rPr>
        <w:t>Endow</w:t>
      </w:r>
      <w:r w:rsidR="00183AC0">
        <w:rPr>
          <w:lang w:val="en-US"/>
        </w:rPr>
        <w:t>ing</w:t>
      </w:r>
      <w:r w:rsidR="00183AC0" w:rsidRPr="00BD7537">
        <w:rPr>
          <w:lang w:val="en-US"/>
        </w:rPr>
        <w:t xml:space="preserve"> special status o</w:t>
      </w:r>
      <w:r w:rsidR="00E94288">
        <w:rPr>
          <w:lang w:val="en-US"/>
        </w:rPr>
        <w:t>n</w:t>
      </w:r>
      <w:r w:rsidR="00183AC0" w:rsidRPr="00BD7537">
        <w:rPr>
          <w:lang w:val="en-US"/>
        </w:rPr>
        <w:t xml:space="preserve"> certain species and certain areas in order to provide enhanced</w:t>
      </w:r>
      <w:r w:rsidR="00183AC0">
        <w:rPr>
          <w:lang w:val="en-US"/>
        </w:rPr>
        <w:t xml:space="preserve"> levels of protection for these is, of course, commonplace </w:t>
      </w:r>
      <w:r w:rsidR="00183AC0" w:rsidRPr="00BD7537">
        <w:rPr>
          <w:lang w:val="en-US"/>
        </w:rPr>
        <w:t>within environmental policy and law</w:t>
      </w:r>
      <w:r w:rsidR="00183AC0">
        <w:rPr>
          <w:lang w:val="en-US"/>
        </w:rPr>
        <w:t>.</w:t>
      </w:r>
      <w:r w:rsidR="00183AC0" w:rsidRPr="00BD7537">
        <w:rPr>
          <w:rStyle w:val="FootnoteReference"/>
          <w:lang w:val="en-US"/>
        </w:rPr>
        <w:footnoteReference w:id="115"/>
      </w:r>
      <w:r w:rsidR="00183AC0" w:rsidRPr="00BD7537">
        <w:rPr>
          <w:lang w:val="en-US"/>
        </w:rPr>
        <w:t xml:space="preserve"> Another approach that has become more prominent over recent years is the identification of ‘services’ and</w:t>
      </w:r>
      <w:r w:rsidR="00183AC0">
        <w:rPr>
          <w:lang w:val="en-US"/>
        </w:rPr>
        <w:t xml:space="preserve"> sources of value provided by ‘natur</w:t>
      </w:r>
      <w:r w:rsidR="00183AC0" w:rsidRPr="00BD7537">
        <w:rPr>
          <w:lang w:val="en-US"/>
        </w:rPr>
        <w:t>al capital’ or ecosystems to shape and justify the development of environmental policy and decision-making.</w:t>
      </w:r>
      <w:r w:rsidR="00183AC0" w:rsidRPr="00BD7537">
        <w:rPr>
          <w:rStyle w:val="FootnoteReference"/>
          <w:lang w:val="en-US"/>
        </w:rPr>
        <w:footnoteReference w:id="116"/>
      </w:r>
      <w:r w:rsidR="00183AC0">
        <w:rPr>
          <w:lang w:val="en-US"/>
        </w:rPr>
        <w:t xml:space="preserve"> </w:t>
      </w:r>
      <w:r w:rsidR="00183AC0" w:rsidRPr="00BD7537">
        <w:rPr>
          <w:lang w:val="en-US"/>
        </w:rPr>
        <w:t xml:space="preserve">The special reverence for sacred spaces may be very different in many respects to protection of designated habitats, but there is some connection at a superficial level, at least. At </w:t>
      </w:r>
      <w:r w:rsidR="009F2718">
        <w:rPr>
          <w:lang w:val="en-US"/>
        </w:rPr>
        <w:t>the</w:t>
      </w:r>
      <w:r w:rsidR="00183AC0" w:rsidRPr="00BD7537">
        <w:rPr>
          <w:lang w:val="en-US"/>
        </w:rPr>
        <w:t xml:space="preserve"> most basic</w:t>
      </w:r>
      <w:r w:rsidR="009F2718">
        <w:rPr>
          <w:lang w:val="en-US"/>
        </w:rPr>
        <w:t xml:space="preserve"> level</w:t>
      </w:r>
      <w:r w:rsidR="00183AC0" w:rsidRPr="00BD7537">
        <w:rPr>
          <w:lang w:val="en-US"/>
        </w:rPr>
        <w:t>, this might be seen as regulatory controls over places considered valuable to society in some way. In the case of contemporary regulation of the natural environment, this i</w:t>
      </w:r>
      <w:r w:rsidR="00183AC0">
        <w:rPr>
          <w:lang w:val="en-US"/>
        </w:rPr>
        <w:t>nclude</w:t>
      </w:r>
      <w:r w:rsidR="00183AC0" w:rsidRPr="00BD7537">
        <w:rPr>
          <w:lang w:val="en-US"/>
        </w:rPr>
        <w:t>s connect</w:t>
      </w:r>
      <w:r w:rsidR="00183AC0">
        <w:rPr>
          <w:lang w:val="en-US"/>
        </w:rPr>
        <w:t>ion</w:t>
      </w:r>
      <w:r w:rsidR="00183AC0" w:rsidRPr="00BD7537">
        <w:rPr>
          <w:lang w:val="en-US"/>
        </w:rPr>
        <w:t xml:space="preserve"> with beliefs and concerns about the current and future value of biodiversity, and in the various services provided by different ecosystems. It also reflects the belief by </w:t>
      </w:r>
      <w:r w:rsidR="00183AC0">
        <w:rPr>
          <w:lang w:val="en-US"/>
        </w:rPr>
        <w:t xml:space="preserve">many </w:t>
      </w:r>
      <w:r w:rsidR="00183AC0" w:rsidRPr="00BD7537">
        <w:rPr>
          <w:lang w:val="en-US"/>
        </w:rPr>
        <w:t>in the intrinsic value of the environment, irrespective of its more immediate anthropocentric v</w:t>
      </w:r>
      <w:r w:rsidR="00441B7E">
        <w:rPr>
          <w:lang w:val="en-US"/>
        </w:rPr>
        <w:t>alue to humans. In the case of C</w:t>
      </w:r>
      <w:r w:rsidR="00183AC0" w:rsidRPr="00BD7537">
        <w:rPr>
          <w:lang w:val="en-US"/>
        </w:rPr>
        <w:t xml:space="preserve">hurch </w:t>
      </w:r>
      <w:r w:rsidR="00441B7E">
        <w:rPr>
          <w:lang w:val="en-US"/>
        </w:rPr>
        <w:t>P</w:t>
      </w:r>
      <w:r w:rsidR="00183AC0" w:rsidRPr="00BD7537">
        <w:rPr>
          <w:lang w:val="en-US"/>
        </w:rPr>
        <w:t>ollution, this might be seen in both the spiritual sanctity of the</w:t>
      </w:r>
      <w:r w:rsidR="00183AC0">
        <w:rPr>
          <w:lang w:val="en-US"/>
        </w:rPr>
        <w:t xml:space="preserve"> sacred space</w:t>
      </w:r>
      <w:r w:rsidR="000030CE">
        <w:rPr>
          <w:lang w:val="en-US"/>
        </w:rPr>
        <w:t xml:space="preserve"> and intrinsic value of the broader spiritual environment</w:t>
      </w:r>
      <w:r w:rsidR="00183AC0">
        <w:rPr>
          <w:lang w:val="en-US"/>
        </w:rPr>
        <w:t xml:space="preserve">, but also in the </w:t>
      </w:r>
      <w:r w:rsidR="00183AC0" w:rsidRPr="00BD7537">
        <w:rPr>
          <w:lang w:val="en-US"/>
        </w:rPr>
        <w:t>services pro</w:t>
      </w:r>
      <w:r w:rsidR="000030CE">
        <w:rPr>
          <w:lang w:val="en-US"/>
        </w:rPr>
        <w:t>vided to the community using that space</w:t>
      </w:r>
      <w:r w:rsidR="00183AC0" w:rsidRPr="00BD7537">
        <w:rPr>
          <w:lang w:val="en-US"/>
        </w:rPr>
        <w:t>. As explained below, religion and associated aspects of life (and death) played a central role in the medieval world very different to that today.</w:t>
      </w:r>
      <w:r w:rsidR="00224DE7">
        <w:rPr>
          <w:rStyle w:val="FootnoteReference"/>
          <w:lang w:val="en-US"/>
        </w:rPr>
        <w:footnoteReference w:id="117"/>
      </w:r>
      <w:r w:rsidR="00183AC0" w:rsidRPr="00BD7537">
        <w:rPr>
          <w:lang w:val="en-US"/>
        </w:rPr>
        <w:t xml:space="preserve"> The church space and the services provided by that were valued </w:t>
      </w:r>
      <w:r w:rsidR="00183AC0">
        <w:rPr>
          <w:lang w:val="en-US"/>
        </w:rPr>
        <w:t xml:space="preserve">and protected </w:t>
      </w:r>
      <w:r w:rsidR="00183AC0" w:rsidRPr="00BD7537">
        <w:rPr>
          <w:lang w:val="en-US"/>
        </w:rPr>
        <w:t>accordingly.</w:t>
      </w:r>
    </w:p>
    <w:p w14:paraId="41255BC2" w14:textId="77777777" w:rsidR="00183AC0" w:rsidRPr="00B756D8" w:rsidRDefault="00183AC0" w:rsidP="00CE1820">
      <w:pPr>
        <w:rPr>
          <w:lang w:val="en-US"/>
        </w:rPr>
      </w:pPr>
    </w:p>
    <w:p w14:paraId="48D79358" w14:textId="6E4ECECC" w:rsidR="00B756D8" w:rsidRPr="00B756D8" w:rsidRDefault="00453589" w:rsidP="00CE1820">
      <w:pPr>
        <w:rPr>
          <w:lang w:val="en-US"/>
        </w:rPr>
      </w:pPr>
      <w:r w:rsidRPr="00B756D8">
        <w:rPr>
          <w:lang w:val="en-US"/>
        </w:rPr>
        <w:t>Spiritual belief and the nature of human life might be considered the epitome of uncertainty.</w:t>
      </w:r>
      <w:r w:rsidR="0036491B" w:rsidRPr="00B756D8">
        <w:rPr>
          <w:lang w:val="en-US"/>
        </w:rPr>
        <w:t xml:space="preserve"> Another of the contemporary foundations for environmental law is that where there are threats of serious or irreversible damage, lack of full scientific certainty shall not be used as a reason for postponing cost-effective measures to prevent environmental degradation – the </w:t>
      </w:r>
      <w:r w:rsidR="0036491B" w:rsidRPr="00B756D8">
        <w:rPr>
          <w:i/>
          <w:lang w:val="en-US"/>
        </w:rPr>
        <w:t>‘Precautionary Principle’</w:t>
      </w:r>
      <w:r w:rsidR="0036491B" w:rsidRPr="00B756D8">
        <w:rPr>
          <w:lang w:val="en-US"/>
        </w:rPr>
        <w:t>.</w:t>
      </w:r>
      <w:r w:rsidR="0036491B" w:rsidRPr="00B756D8">
        <w:rPr>
          <w:rStyle w:val="FootnoteReference"/>
          <w:lang w:val="en-US"/>
        </w:rPr>
        <w:footnoteReference w:id="118"/>
      </w:r>
      <w:r w:rsidR="00441B7E">
        <w:rPr>
          <w:lang w:val="en-US"/>
        </w:rPr>
        <w:t xml:space="preserve"> In cases of possible C</w:t>
      </w:r>
      <w:r w:rsidR="0036491B" w:rsidRPr="00B756D8">
        <w:rPr>
          <w:lang w:val="en-US"/>
        </w:rPr>
        <w:t xml:space="preserve">hurch </w:t>
      </w:r>
      <w:r w:rsidR="00441B7E">
        <w:rPr>
          <w:lang w:val="en-US"/>
        </w:rPr>
        <w:t>P</w:t>
      </w:r>
      <w:r w:rsidR="0036491B" w:rsidRPr="00B756D8">
        <w:rPr>
          <w:lang w:val="en-US"/>
        </w:rPr>
        <w:t>ollution, precautionary reconciliation could be required where there was a lack of certainty (</w:t>
      </w:r>
      <w:r w:rsidR="0036491B" w:rsidRPr="00B756D8">
        <w:rPr>
          <w:i/>
          <w:lang w:val="en-US"/>
        </w:rPr>
        <w:t>ad cautelam</w:t>
      </w:r>
      <w:r w:rsidR="0036491B" w:rsidRPr="00B756D8">
        <w:rPr>
          <w:lang w:val="en-US"/>
        </w:rPr>
        <w:t>),</w:t>
      </w:r>
      <w:r w:rsidR="004E5B4E">
        <w:rPr>
          <w:rStyle w:val="FootnoteReference"/>
          <w:lang w:val="en-US"/>
        </w:rPr>
        <w:footnoteReference w:id="119"/>
      </w:r>
      <w:r w:rsidR="0036491B" w:rsidRPr="00B756D8">
        <w:rPr>
          <w:lang w:val="en-US"/>
        </w:rPr>
        <w:t xml:space="preserve"> such as a case where soldiers had occupied a church for a number of days. </w:t>
      </w:r>
      <w:r w:rsidR="00B756D8" w:rsidRPr="00B756D8">
        <w:rPr>
          <w:lang w:val="en-US"/>
        </w:rPr>
        <w:t>Further tenets of environmental law are the ‘</w:t>
      </w:r>
      <w:r w:rsidR="00B756D8" w:rsidRPr="00B756D8">
        <w:rPr>
          <w:i/>
          <w:lang w:val="en-US"/>
        </w:rPr>
        <w:t xml:space="preserve">Polluter Pays Principle’ </w:t>
      </w:r>
      <w:r w:rsidR="00B756D8" w:rsidRPr="00B756D8">
        <w:rPr>
          <w:lang w:val="en-US"/>
        </w:rPr>
        <w:t xml:space="preserve">the concept of </w:t>
      </w:r>
      <w:r w:rsidR="00B756D8" w:rsidRPr="00B756D8">
        <w:rPr>
          <w:i/>
          <w:lang w:val="en-US"/>
        </w:rPr>
        <w:t>‘Sustainable Development’</w:t>
      </w:r>
      <w:r w:rsidR="00B756D8" w:rsidRPr="00B756D8">
        <w:rPr>
          <w:lang w:val="en-US"/>
        </w:rPr>
        <w:t>. These are explored below.</w:t>
      </w:r>
    </w:p>
    <w:p w14:paraId="50B4A46E" w14:textId="77777777" w:rsidR="0036491B" w:rsidRDefault="0036491B" w:rsidP="00CE1820">
      <w:pPr>
        <w:rPr>
          <w:lang w:val="en-US"/>
        </w:rPr>
      </w:pPr>
    </w:p>
    <w:p w14:paraId="71A10240" w14:textId="77777777" w:rsidR="0036491B" w:rsidRDefault="0036491B" w:rsidP="00CE1820">
      <w:pPr>
        <w:rPr>
          <w:lang w:val="en-US"/>
        </w:rPr>
      </w:pPr>
    </w:p>
    <w:p w14:paraId="5CA12949" w14:textId="77777777" w:rsidR="00FF77B3" w:rsidRPr="0036491B" w:rsidRDefault="00FF77B3" w:rsidP="00FF77B3">
      <w:pPr>
        <w:rPr>
          <w:b/>
          <w:lang w:val="en-US"/>
        </w:rPr>
      </w:pPr>
      <w:r>
        <w:rPr>
          <w:b/>
          <w:lang w:val="en-US"/>
        </w:rPr>
        <w:t>Contemporary Contaminated L</w:t>
      </w:r>
      <w:r w:rsidRPr="0036491B">
        <w:rPr>
          <w:b/>
          <w:lang w:val="en-US"/>
        </w:rPr>
        <w:t>and</w:t>
      </w:r>
      <w:r>
        <w:rPr>
          <w:b/>
          <w:lang w:val="en-US"/>
        </w:rPr>
        <w:t xml:space="preserve"> Regulation </w:t>
      </w:r>
      <w:r w:rsidRPr="0036491B">
        <w:rPr>
          <w:b/>
          <w:lang w:val="en-US"/>
        </w:rPr>
        <w:t xml:space="preserve"> </w:t>
      </w:r>
    </w:p>
    <w:p w14:paraId="2DB9AC5D" w14:textId="77777777" w:rsidR="00FF77B3" w:rsidRPr="00BD7537" w:rsidRDefault="00FF77B3" w:rsidP="00FF77B3">
      <w:pPr>
        <w:rPr>
          <w:lang w:val="en-US"/>
        </w:rPr>
      </w:pPr>
    </w:p>
    <w:p w14:paraId="47163344" w14:textId="16194C7C" w:rsidR="00FF77B3" w:rsidRDefault="00FF77B3" w:rsidP="00FF77B3">
      <w:pPr>
        <w:rPr>
          <w:lang w:val="en-US"/>
        </w:rPr>
      </w:pPr>
      <w:r>
        <w:rPr>
          <w:lang w:val="en-US"/>
        </w:rPr>
        <w:t>T</w:t>
      </w:r>
      <w:r w:rsidRPr="00BD7537">
        <w:rPr>
          <w:lang w:val="en-US"/>
        </w:rPr>
        <w:t xml:space="preserve">here are also some </w:t>
      </w:r>
      <w:r>
        <w:rPr>
          <w:lang w:val="en-US"/>
        </w:rPr>
        <w:t xml:space="preserve">remarkable </w:t>
      </w:r>
      <w:r w:rsidRPr="00BD7537">
        <w:rPr>
          <w:lang w:val="en-US"/>
        </w:rPr>
        <w:t>similarities</w:t>
      </w:r>
      <w:r>
        <w:rPr>
          <w:lang w:val="en-US"/>
        </w:rPr>
        <w:t xml:space="preserve"> </w:t>
      </w:r>
      <w:r w:rsidR="00441B7E">
        <w:rPr>
          <w:lang w:val="en-US"/>
        </w:rPr>
        <w:t>between Church P</w:t>
      </w:r>
      <w:r>
        <w:rPr>
          <w:lang w:val="en-US"/>
        </w:rPr>
        <w:t xml:space="preserve">ollution and modern environmental law regimes, in terms of regulatory design. </w:t>
      </w:r>
      <w:r w:rsidRPr="001E507F">
        <w:rPr>
          <w:lang w:val="en-US"/>
        </w:rPr>
        <w:t xml:space="preserve">The pollution of land as a result of our industrial past </w:t>
      </w:r>
      <w:r>
        <w:rPr>
          <w:lang w:val="en-US"/>
        </w:rPr>
        <w:t>has been a focus for regulatory action for the last 25 years or so</w:t>
      </w:r>
      <w:r w:rsidRPr="001E507F">
        <w:rPr>
          <w:lang w:val="en-US"/>
        </w:rPr>
        <w:t>.</w:t>
      </w:r>
      <w:r>
        <w:rPr>
          <w:rStyle w:val="FootnoteReference"/>
          <w:lang w:val="en-US"/>
        </w:rPr>
        <w:footnoteReference w:id="120"/>
      </w:r>
      <w:r w:rsidRPr="001E507F">
        <w:rPr>
          <w:lang w:val="en-US"/>
        </w:rPr>
        <w:t xml:space="preserve"> </w:t>
      </w:r>
      <w:r>
        <w:rPr>
          <w:lang w:val="en-US"/>
        </w:rPr>
        <w:t>The current regime regulating ‘Contaminated Land is found in Part IIA of the Environmental Protection Act 1990.</w:t>
      </w:r>
      <w:r>
        <w:rPr>
          <w:rStyle w:val="FootnoteReference"/>
          <w:lang w:val="en-US"/>
        </w:rPr>
        <w:footnoteReference w:id="121"/>
      </w:r>
      <w:r>
        <w:rPr>
          <w:lang w:val="en-US"/>
        </w:rPr>
        <w:t xml:space="preserve"> This introduced</w:t>
      </w:r>
      <w:r w:rsidRPr="007520B0">
        <w:rPr>
          <w:lang w:val="en-US"/>
        </w:rPr>
        <w:t xml:space="preserve"> a system of inspection, identification</w:t>
      </w:r>
      <w:r>
        <w:rPr>
          <w:lang w:val="en-US"/>
        </w:rPr>
        <w:t>, and clean-up of ‘Contaminated Land’, together with a range of related provisions. As the regime is complex and sophisticated – comprising detailed statutory guidance material as well as primary and secondary legislation</w:t>
      </w:r>
      <w:r>
        <w:rPr>
          <w:rStyle w:val="FootnoteReference"/>
          <w:lang w:val="en-US"/>
        </w:rPr>
        <w:footnoteReference w:id="122"/>
      </w:r>
      <w:r>
        <w:rPr>
          <w:lang w:val="en-US"/>
        </w:rPr>
        <w:t xml:space="preserve"> - any comparison with Medieval Canon Law is necessarily limited and rather superficial. In outline, it provides for: </w:t>
      </w:r>
      <w:r w:rsidRPr="004848E9">
        <w:rPr>
          <w:lang w:val="en-US"/>
        </w:rPr>
        <w:t>the requirements of local authorities in carrying o</w:t>
      </w:r>
      <w:r>
        <w:rPr>
          <w:lang w:val="en-US"/>
        </w:rPr>
        <w:t xml:space="preserve">ut their inspection duties; </w:t>
      </w:r>
      <w:r w:rsidRPr="004848E9">
        <w:rPr>
          <w:lang w:val="en-US"/>
        </w:rPr>
        <w:t>the determination of whether land is in such condition that it triggers regulatory action</w:t>
      </w:r>
      <w:r>
        <w:rPr>
          <w:lang w:val="en-US"/>
        </w:rPr>
        <w:t xml:space="preserve"> (definition)</w:t>
      </w:r>
      <w:r w:rsidRPr="004848E9">
        <w:rPr>
          <w:lang w:val="en-US"/>
        </w:rPr>
        <w:t xml:space="preserve">; </w:t>
      </w:r>
      <w:r>
        <w:rPr>
          <w:lang w:val="en-US"/>
        </w:rPr>
        <w:t>clean-up requirements (remediation); the imposition and</w:t>
      </w:r>
      <w:r w:rsidRPr="004848E9">
        <w:rPr>
          <w:lang w:val="en-US"/>
        </w:rPr>
        <w:t xml:space="preserve"> the apportionment of </w:t>
      </w:r>
      <w:r>
        <w:rPr>
          <w:lang w:val="en-US"/>
        </w:rPr>
        <w:t>responsibility for clean-</w:t>
      </w:r>
      <w:r w:rsidRPr="004848E9">
        <w:rPr>
          <w:lang w:val="en-US"/>
        </w:rPr>
        <w:t>up</w:t>
      </w:r>
      <w:r>
        <w:rPr>
          <w:lang w:val="en-US"/>
        </w:rPr>
        <w:t xml:space="preserve"> (liability); and enforcement</w:t>
      </w:r>
      <w:r w:rsidRPr="004848E9">
        <w:rPr>
          <w:lang w:val="en-US"/>
        </w:rPr>
        <w:t xml:space="preserve">. </w:t>
      </w:r>
      <w:r>
        <w:rPr>
          <w:lang w:val="en-US"/>
        </w:rPr>
        <w:t>Connections between each of those elements and the Ca</w:t>
      </w:r>
      <w:r w:rsidR="00441B7E">
        <w:rPr>
          <w:lang w:val="en-US"/>
        </w:rPr>
        <w:t>non Law rules regarding Church P</w:t>
      </w:r>
      <w:r>
        <w:rPr>
          <w:lang w:val="en-US"/>
        </w:rPr>
        <w:t xml:space="preserve">ollution can be identified. </w:t>
      </w:r>
    </w:p>
    <w:p w14:paraId="39B99C7B" w14:textId="77777777" w:rsidR="00FF77B3" w:rsidRDefault="00FF77B3" w:rsidP="00FF77B3">
      <w:pPr>
        <w:rPr>
          <w:lang w:val="en-US"/>
        </w:rPr>
      </w:pPr>
    </w:p>
    <w:p w14:paraId="20B5004A" w14:textId="116F1066" w:rsidR="00FF77B3" w:rsidRPr="00DF5B76" w:rsidRDefault="00FF77B3" w:rsidP="00FF77B3">
      <w:pPr>
        <w:rPr>
          <w:lang w:val="en-US"/>
        </w:rPr>
      </w:pPr>
      <w:r w:rsidRPr="001125E2">
        <w:rPr>
          <w:lang w:val="en-US"/>
        </w:rPr>
        <w:t xml:space="preserve">Local authorities are required to </w:t>
      </w:r>
      <w:r>
        <w:rPr>
          <w:lang w:val="en-US"/>
        </w:rPr>
        <w:t>cause</w:t>
      </w:r>
      <w:r w:rsidRPr="001125E2">
        <w:rPr>
          <w:lang w:val="en-US"/>
        </w:rPr>
        <w:t xml:space="preserve"> their areas</w:t>
      </w:r>
      <w:r>
        <w:rPr>
          <w:lang w:val="en-US"/>
        </w:rPr>
        <w:t xml:space="preserve"> to be inspected</w:t>
      </w:r>
      <w:r w:rsidRPr="001125E2">
        <w:rPr>
          <w:lang w:val="en-US"/>
        </w:rPr>
        <w:t xml:space="preserve"> </w:t>
      </w:r>
      <w:r>
        <w:rPr>
          <w:lang w:val="en-US"/>
        </w:rPr>
        <w:t>so as to</w:t>
      </w:r>
      <w:r w:rsidRPr="001125E2">
        <w:rPr>
          <w:lang w:val="en-US"/>
        </w:rPr>
        <w:t xml:space="preserve"> identify </w:t>
      </w:r>
      <w:r>
        <w:rPr>
          <w:lang w:val="en-US"/>
        </w:rPr>
        <w:t>‘</w:t>
      </w:r>
      <w:r w:rsidRPr="001125E2">
        <w:rPr>
          <w:lang w:val="en-US"/>
        </w:rPr>
        <w:t>Contaminated Land</w:t>
      </w:r>
      <w:r>
        <w:rPr>
          <w:lang w:val="en-US"/>
        </w:rPr>
        <w:t>’,</w:t>
      </w:r>
      <w:r>
        <w:rPr>
          <w:rStyle w:val="FootnoteReference"/>
          <w:lang w:val="en-US"/>
        </w:rPr>
        <w:footnoteReference w:id="123"/>
      </w:r>
      <w:r>
        <w:rPr>
          <w:lang w:val="en-US"/>
        </w:rPr>
        <w:t xml:space="preserve"> as</w:t>
      </w:r>
      <w:r w:rsidRPr="00F36A20">
        <w:rPr>
          <w:lang w:val="en-US"/>
        </w:rPr>
        <w:t xml:space="preserve"> </w:t>
      </w:r>
      <w:r>
        <w:rPr>
          <w:lang w:val="en-US"/>
        </w:rPr>
        <w:t xml:space="preserve">shown in the </w:t>
      </w:r>
      <w:r w:rsidRPr="00A428FD">
        <w:rPr>
          <w:i/>
          <w:lang w:val="en-US"/>
        </w:rPr>
        <w:t>Redland Minerals Ltd</w:t>
      </w:r>
      <w:r>
        <w:rPr>
          <w:lang w:val="en-US"/>
        </w:rPr>
        <w:t xml:space="preserve"> case.</w:t>
      </w:r>
      <w:r w:rsidRPr="00BD7537">
        <w:rPr>
          <w:lang w:val="en-US"/>
        </w:rPr>
        <w:t xml:space="preserve"> The</w:t>
      </w:r>
      <w:r>
        <w:rPr>
          <w:lang w:val="en-US"/>
        </w:rPr>
        <w:t xml:space="preserve"> investigative Commissions and V</w:t>
      </w:r>
      <w:r w:rsidRPr="00BD7537">
        <w:rPr>
          <w:lang w:val="en-US"/>
        </w:rPr>
        <w:t xml:space="preserve">isitations undertaken </w:t>
      </w:r>
      <w:r>
        <w:rPr>
          <w:lang w:val="en-US"/>
        </w:rPr>
        <w:t>in</w:t>
      </w:r>
      <w:r w:rsidRPr="00BD7537">
        <w:rPr>
          <w:lang w:val="en-US"/>
        </w:rPr>
        <w:t xml:space="preserve"> implementation of Canon Law rules, have some basic analogy with </w:t>
      </w:r>
      <w:r>
        <w:rPr>
          <w:lang w:val="en-US"/>
        </w:rPr>
        <w:t>these contemporary provisions</w:t>
      </w:r>
      <w:r w:rsidR="00DF5B76">
        <w:rPr>
          <w:lang w:val="en-US"/>
        </w:rPr>
        <w:t>, though in the form of less</w:t>
      </w:r>
      <w:r>
        <w:rPr>
          <w:lang w:val="en-US"/>
        </w:rPr>
        <w:t xml:space="preserve"> for</w:t>
      </w:r>
      <w:r w:rsidR="00DF5B76">
        <w:rPr>
          <w:lang w:val="en-US"/>
        </w:rPr>
        <w:t>mal and structured requirements.</w:t>
      </w:r>
    </w:p>
    <w:p w14:paraId="5AD8D60C" w14:textId="77777777" w:rsidR="00FF77B3" w:rsidRDefault="00FF77B3" w:rsidP="00FF77B3">
      <w:pPr>
        <w:rPr>
          <w:lang w:val="en-US"/>
        </w:rPr>
      </w:pPr>
    </w:p>
    <w:p w14:paraId="4B9868EB" w14:textId="3B689825" w:rsidR="00FF77B3" w:rsidRDefault="00FF77B3" w:rsidP="00FF77B3">
      <w:pPr>
        <w:rPr>
          <w:lang w:val="en-US"/>
        </w:rPr>
      </w:pPr>
      <w:r w:rsidRPr="00D60B0C">
        <w:rPr>
          <w:lang w:val="en-US"/>
        </w:rPr>
        <w:t>Attempts to define ‘Contaminated Land’, and so establish thresholds for contamination, or pollution, have been some of the more challenging and</w:t>
      </w:r>
      <w:r>
        <w:rPr>
          <w:lang w:val="en-US"/>
        </w:rPr>
        <w:t xml:space="preserve"> contentious aspects of the development of Part IIA. Under section 78A(2) this is:</w:t>
      </w:r>
    </w:p>
    <w:p w14:paraId="30FDE20E" w14:textId="77777777" w:rsidR="00FF77B3" w:rsidRDefault="00FF77B3" w:rsidP="00FF77B3">
      <w:pPr>
        <w:rPr>
          <w:lang w:val="en-US"/>
        </w:rPr>
      </w:pPr>
    </w:p>
    <w:p w14:paraId="16D5EF08" w14:textId="77777777" w:rsidR="00FF77B3" w:rsidRDefault="00FF77B3" w:rsidP="00FF77B3">
      <w:pPr>
        <w:ind w:left="567" w:right="645"/>
        <w:rPr>
          <w:lang w:val="en-US"/>
        </w:rPr>
      </w:pPr>
      <w:r>
        <w:rPr>
          <w:lang w:val="en-US"/>
        </w:rPr>
        <w:t>‘</w:t>
      </w:r>
      <w:r w:rsidRPr="00FC5649">
        <w:rPr>
          <w:lang w:val="en-US"/>
        </w:rPr>
        <w:t>any land which appears to the local authority in whose area it is situated to be in such a condition, by reason of substances in, on or under the land, that</w:t>
      </w:r>
      <w:r>
        <w:rPr>
          <w:lang w:val="en-US"/>
        </w:rPr>
        <w:t xml:space="preserve"> </w:t>
      </w:r>
      <w:r w:rsidRPr="00FC5649">
        <w:rPr>
          <w:lang w:val="en-US"/>
        </w:rPr>
        <w:t>(a) significant harm is being caused or there is a significant possibility of such harm being caused; or</w:t>
      </w:r>
      <w:r>
        <w:rPr>
          <w:lang w:val="en-US"/>
        </w:rPr>
        <w:t xml:space="preserve"> </w:t>
      </w:r>
      <w:r w:rsidRPr="00FC5649">
        <w:rPr>
          <w:lang w:val="en-US"/>
        </w:rPr>
        <w:t>(b) significant pollution of controlled waters is being caused or there is a significant possibility of such pollution being caused</w:t>
      </w:r>
      <w:r>
        <w:rPr>
          <w:lang w:val="en-US"/>
        </w:rPr>
        <w:t>’.</w:t>
      </w:r>
    </w:p>
    <w:p w14:paraId="283FC55F" w14:textId="77777777" w:rsidR="00FF77B3" w:rsidRDefault="00FF77B3" w:rsidP="00FF77B3">
      <w:pPr>
        <w:rPr>
          <w:lang w:val="en-US"/>
        </w:rPr>
      </w:pPr>
    </w:p>
    <w:p w14:paraId="3183A195" w14:textId="582ADD6D" w:rsidR="00FF77B3" w:rsidRPr="00270679" w:rsidRDefault="00FF77B3" w:rsidP="00FF77B3">
      <w:pPr>
        <w:rPr>
          <w:lang w:val="en-US"/>
        </w:rPr>
      </w:pPr>
      <w:r w:rsidRPr="00270679">
        <w:rPr>
          <w:lang w:val="en-US"/>
        </w:rPr>
        <w:t>As much as the presence of contaminating material, therefore, definition is by reference to notions of ‘harm’ resulting.</w:t>
      </w:r>
      <w:r w:rsidRPr="00270679">
        <w:rPr>
          <w:rStyle w:val="FootnoteReference"/>
          <w:lang w:val="en-US"/>
        </w:rPr>
        <w:footnoteReference w:id="124"/>
      </w:r>
      <w:r w:rsidRPr="00270679">
        <w:rPr>
          <w:lang w:val="en-US"/>
        </w:rPr>
        <w:t xml:space="preserve"> That definition is also through the subjective opinion of the local authority; determining whether there is officially a problem, and so whether a regulatory response is required.</w:t>
      </w:r>
      <w:r w:rsidRPr="00270679">
        <w:rPr>
          <w:rStyle w:val="FootnoteReference"/>
          <w:lang w:val="en-US"/>
        </w:rPr>
        <w:footnoteReference w:id="125"/>
      </w:r>
      <w:r w:rsidRPr="00270679">
        <w:rPr>
          <w:lang w:val="en-US"/>
        </w:rPr>
        <w:t xml:space="preserve">  An important element of the approach to ‘harm’/definition is the concept of ‘contaminant linkages’ – whereby risks are assessed by references to the contaminating substance (or ‘source’), pathway, and ‘receptor’ that may be adversely affected.</w:t>
      </w:r>
      <w:r w:rsidRPr="00270679">
        <w:rPr>
          <w:rStyle w:val="FootnoteReference"/>
          <w:lang w:val="en-US"/>
        </w:rPr>
        <w:footnoteReference w:id="126"/>
      </w:r>
      <w:r w:rsidRPr="00270679">
        <w:rPr>
          <w:lang w:val="en-US"/>
        </w:rPr>
        <w:t xml:space="preserve"> The Source-Pathway-Receptor concept also has implications for remediation requirements (see below). </w:t>
      </w:r>
      <w:r>
        <w:rPr>
          <w:lang w:val="en-US"/>
        </w:rPr>
        <w:t xml:space="preserve">A distinctive feature of the contemporary pollution control regime is the clear inclusion of a contaminating substance. Although the Canon Law </w:t>
      </w:r>
      <w:r w:rsidRPr="00270679">
        <w:rPr>
          <w:lang w:val="en-US"/>
        </w:rPr>
        <w:t>rules were concerned, in general, with polluting acts, rather than substances, factors such as the impact of substances/acts, any resulting ‘harm’, and the differing impacts according to specific location – the sensitivity of receptor - can be seen in the debates over the</w:t>
      </w:r>
      <w:r w:rsidR="00441B7E">
        <w:rPr>
          <w:lang w:val="en-US"/>
        </w:rPr>
        <w:t xml:space="preserve"> nature, target and impacts of Church P</w:t>
      </w:r>
      <w:r w:rsidRPr="00270679">
        <w:rPr>
          <w:lang w:val="en-US"/>
        </w:rPr>
        <w:t>ollution.</w:t>
      </w:r>
    </w:p>
    <w:p w14:paraId="21DAA354" w14:textId="77777777" w:rsidR="00FF77B3" w:rsidRDefault="00FF77B3" w:rsidP="00FF77B3">
      <w:pPr>
        <w:rPr>
          <w:lang w:val="en-US"/>
        </w:rPr>
      </w:pPr>
    </w:p>
    <w:p w14:paraId="5BB88AF5" w14:textId="4C0ABDC8" w:rsidR="00FF77B3" w:rsidRPr="00823FA0" w:rsidRDefault="00FF77B3" w:rsidP="00FF77B3">
      <w:pPr>
        <w:rPr>
          <w:color w:val="FF0000"/>
          <w:lang w:val="en-US"/>
        </w:rPr>
      </w:pPr>
      <w:r>
        <w:rPr>
          <w:lang w:val="en-US"/>
        </w:rPr>
        <w:t>Remediation standards and requirements for Contaminated Land are similarly complex and contested.</w:t>
      </w:r>
      <w:r>
        <w:rPr>
          <w:rStyle w:val="FootnoteReference"/>
          <w:lang w:val="en-US"/>
        </w:rPr>
        <w:footnoteReference w:id="127"/>
      </w:r>
      <w:r>
        <w:rPr>
          <w:lang w:val="en-US"/>
        </w:rPr>
        <w:t xml:space="preserve"> The reasonableness of remediation requirements may be a ground of appeal</w:t>
      </w:r>
      <w:r w:rsidR="00066368">
        <w:rPr>
          <w:lang w:val="en-US"/>
        </w:rPr>
        <w:t>;</w:t>
      </w:r>
      <w:r>
        <w:rPr>
          <w:rStyle w:val="FootnoteReference"/>
          <w:lang w:val="en-US"/>
        </w:rPr>
        <w:footnoteReference w:id="128"/>
      </w:r>
      <w:r>
        <w:rPr>
          <w:lang w:val="en-US"/>
        </w:rPr>
        <w:t xml:space="preserve"> the </w:t>
      </w:r>
      <w:r>
        <w:rPr>
          <w:i/>
          <w:lang w:val="en-US"/>
        </w:rPr>
        <w:t>Redland Minerals</w:t>
      </w:r>
      <w:r>
        <w:rPr>
          <w:lang w:val="en-US"/>
        </w:rPr>
        <w:t xml:space="preserve"> case includ</w:t>
      </w:r>
      <w:r w:rsidR="00066368">
        <w:rPr>
          <w:lang w:val="en-US"/>
        </w:rPr>
        <w:t xml:space="preserve">ing an appeal against the clean </w:t>
      </w:r>
      <w:r>
        <w:rPr>
          <w:lang w:val="en-US"/>
        </w:rPr>
        <w:t>up requirements imposed. W</w:t>
      </w:r>
      <w:r w:rsidRPr="00BD7537">
        <w:rPr>
          <w:lang w:val="en-US"/>
        </w:rPr>
        <w:t>here a church was found to be ‘polluted’ it required ‘reconciliation’ or other acti</w:t>
      </w:r>
      <w:r>
        <w:rPr>
          <w:lang w:val="en-US"/>
        </w:rPr>
        <w:t>on</w:t>
      </w:r>
      <w:r w:rsidRPr="00BD7537">
        <w:rPr>
          <w:lang w:val="en-US"/>
        </w:rPr>
        <w:t xml:space="preserve"> in order to restore it</w:t>
      </w:r>
      <w:r>
        <w:rPr>
          <w:lang w:val="en-US"/>
        </w:rPr>
        <w:t xml:space="preserve">, including its use for particular </w:t>
      </w:r>
      <w:r w:rsidRPr="00BD7537">
        <w:rPr>
          <w:lang w:val="en-US"/>
        </w:rPr>
        <w:t>services.</w:t>
      </w:r>
      <w:r>
        <w:rPr>
          <w:lang w:val="en-US"/>
        </w:rPr>
        <w:t xml:space="preserve"> As we have seen, </w:t>
      </w:r>
      <w:r w:rsidR="00DD2683">
        <w:rPr>
          <w:lang w:val="en-US"/>
        </w:rPr>
        <w:t>a number</w:t>
      </w:r>
      <w:r>
        <w:rPr>
          <w:lang w:val="en-US"/>
        </w:rPr>
        <w:t xml:space="preserve"> of th</w:t>
      </w:r>
      <w:r w:rsidR="00DD2683">
        <w:rPr>
          <w:lang w:val="en-US"/>
        </w:rPr>
        <w:t>e cases (including St. Paul’s) we</w:t>
      </w:r>
      <w:r>
        <w:rPr>
          <w:lang w:val="en-US"/>
        </w:rPr>
        <w:t>re concerned with the requirements for ‘remediation’ or cleansing – reconciliation or reconsecration in this context. A less obvious connection is the nature of alternative remediation approaches. One such technique for Contaminated Land may be to p</w:t>
      </w:r>
      <w:r w:rsidRPr="0007063F">
        <w:rPr>
          <w:lang w:val="en-US"/>
        </w:rPr>
        <w:t>rotect</w:t>
      </w:r>
      <w:r>
        <w:rPr>
          <w:lang w:val="en-US"/>
        </w:rPr>
        <w:t xml:space="preserve"> or remove the receptor, ‘by</w:t>
      </w:r>
      <w:r w:rsidRPr="0007063F">
        <w:rPr>
          <w:lang w:val="en-US"/>
        </w:rPr>
        <w:t xml:space="preserve"> changing the land use or restricting access to land it may be possible to reduce risks to below an unacceptable level</w:t>
      </w:r>
      <w:r>
        <w:rPr>
          <w:lang w:val="en-US"/>
        </w:rPr>
        <w:t>’</w:t>
      </w:r>
      <w:r w:rsidRPr="0007063F">
        <w:rPr>
          <w:lang w:val="en-US"/>
        </w:rPr>
        <w:t>.</w:t>
      </w:r>
      <w:r w:rsidR="00DF5B76">
        <w:rPr>
          <w:rStyle w:val="FootnoteReference"/>
          <w:lang w:val="en-US"/>
        </w:rPr>
        <w:footnoteReference w:id="129"/>
      </w:r>
      <w:r>
        <w:rPr>
          <w:lang w:val="en-US"/>
        </w:rPr>
        <w:t xml:space="preserve"> This might be effected by limiting the use of land to a car park, rather than playground, for example. Whilst an undesirable consequence of Church Pollution, </w:t>
      </w:r>
      <w:r w:rsidRPr="0007063F">
        <w:rPr>
          <w:lang w:val="en-US"/>
        </w:rPr>
        <w:t xml:space="preserve">rather than a true alternative remedial measure, there are some similarities with the ‘inhibition’ or suspension of services until a church was cleansed. In terms of addressing aspects of the ‘harm’ resulting, both might be seen to consider the elements of ‘pollutant linkages’ and the pragmatic means of addressing such </w:t>
      </w:r>
      <w:r w:rsidRPr="00B67F01">
        <w:rPr>
          <w:lang w:val="en-US"/>
        </w:rPr>
        <w:t xml:space="preserve">situations. Certainly, this approach </w:t>
      </w:r>
      <w:r>
        <w:rPr>
          <w:lang w:val="en-US"/>
        </w:rPr>
        <w:t>demonstrates</w:t>
      </w:r>
      <w:r w:rsidRPr="00B67F01">
        <w:rPr>
          <w:lang w:val="en-US"/>
        </w:rPr>
        <w:t xml:space="preserve"> common impacts on the wider community resulting from the identification of pollution.</w:t>
      </w:r>
      <w:r>
        <w:rPr>
          <w:color w:val="FF0000"/>
          <w:lang w:val="en-US"/>
        </w:rPr>
        <w:t xml:space="preserve">  </w:t>
      </w:r>
    </w:p>
    <w:p w14:paraId="51B7B0BF" w14:textId="77777777" w:rsidR="00FF77B3" w:rsidRDefault="00FF77B3" w:rsidP="00FF77B3">
      <w:pPr>
        <w:rPr>
          <w:lang w:val="en-US"/>
        </w:rPr>
      </w:pPr>
    </w:p>
    <w:p w14:paraId="0F045DC4" w14:textId="25F425CE" w:rsidR="00FF77B3" w:rsidRDefault="00FF77B3" w:rsidP="00FF77B3">
      <w:pPr>
        <w:rPr>
          <w:lang w:val="en-US"/>
        </w:rPr>
      </w:pPr>
      <w:r>
        <w:rPr>
          <w:lang w:val="en-US"/>
        </w:rPr>
        <w:t>Part IIA</w:t>
      </w:r>
      <w:r w:rsidRPr="004848E9">
        <w:rPr>
          <w:lang w:val="en-US"/>
        </w:rPr>
        <w:t xml:space="preserve"> </w:t>
      </w:r>
      <w:r>
        <w:rPr>
          <w:lang w:val="en-US"/>
        </w:rPr>
        <w:t>concentrates on</w:t>
      </w:r>
      <w:r w:rsidRPr="004848E9">
        <w:rPr>
          <w:lang w:val="en-US"/>
        </w:rPr>
        <w:t xml:space="preserve"> those who may </w:t>
      </w:r>
      <w:r>
        <w:rPr>
          <w:lang w:val="en-US"/>
        </w:rPr>
        <w:t>be responsible for cleaning up Contaminated L</w:t>
      </w:r>
      <w:r w:rsidRPr="004848E9">
        <w:rPr>
          <w:lang w:val="en-US"/>
        </w:rPr>
        <w:t>and</w:t>
      </w:r>
      <w:r>
        <w:rPr>
          <w:lang w:val="en-US"/>
        </w:rPr>
        <w:t>. It addresses historically contaminated land, and so is not directly concerned with prevention of further pollution</w:t>
      </w:r>
      <w:r>
        <w:rPr>
          <w:rStyle w:val="FootnoteReference"/>
          <w:lang w:val="en-US"/>
        </w:rPr>
        <w:footnoteReference w:id="130"/>
      </w:r>
      <w:r>
        <w:rPr>
          <w:lang w:val="en-US"/>
        </w:rPr>
        <w:t xml:space="preserve"> or the undertaking of historically polluting acts, beyond the remediation requirements accruing from these. In the first instance, </w:t>
      </w:r>
      <w:r w:rsidRPr="004848E9">
        <w:rPr>
          <w:lang w:val="en-US"/>
        </w:rPr>
        <w:t>those who 'caused or knowingly permitted' polluting substances to be in, on, or under land</w:t>
      </w:r>
      <w:r>
        <w:rPr>
          <w:lang w:val="en-US"/>
        </w:rPr>
        <w:t xml:space="preserve"> will be liable.</w:t>
      </w:r>
      <w:r>
        <w:rPr>
          <w:rStyle w:val="FootnoteReference"/>
          <w:lang w:val="en-US"/>
        </w:rPr>
        <w:footnoteReference w:id="131"/>
      </w:r>
      <w:r w:rsidRPr="004848E9">
        <w:rPr>
          <w:lang w:val="en-US"/>
        </w:rPr>
        <w:t xml:space="preserve"> </w:t>
      </w:r>
      <w:r>
        <w:rPr>
          <w:lang w:val="en-US"/>
        </w:rPr>
        <w:t>In cases w</w:t>
      </w:r>
      <w:r w:rsidRPr="004848E9">
        <w:rPr>
          <w:lang w:val="en-US"/>
        </w:rPr>
        <w:t xml:space="preserve">here no such persons can be 'found', </w:t>
      </w:r>
      <w:r>
        <w:rPr>
          <w:lang w:val="en-US"/>
        </w:rPr>
        <w:t xml:space="preserve">instead </w:t>
      </w:r>
      <w:r w:rsidRPr="004848E9">
        <w:rPr>
          <w:lang w:val="en-US"/>
        </w:rPr>
        <w:t>the current owners and occupiers of the land</w:t>
      </w:r>
      <w:r>
        <w:rPr>
          <w:lang w:val="en-US"/>
        </w:rPr>
        <w:t xml:space="preserve"> may form the ‘liability group’.</w:t>
      </w:r>
      <w:r>
        <w:rPr>
          <w:rStyle w:val="FootnoteReference"/>
          <w:lang w:val="en-US"/>
        </w:rPr>
        <w:footnoteReference w:id="132"/>
      </w:r>
      <w:r>
        <w:rPr>
          <w:vertAlign w:val="superscript"/>
          <w:lang w:val="en-US"/>
        </w:rPr>
        <w:t xml:space="preserve"> </w:t>
      </w:r>
      <w:r w:rsidRPr="00B67F01">
        <w:rPr>
          <w:lang w:val="en-US"/>
        </w:rPr>
        <w:t>In one sense, this approach might illustrate of the ‘partial morality’ of pollution; the attempt to impose liability on grounds of responsibility where possible, but with a fall back ‘materialistic’ position of ‘innocent’ landowners bearing the costs (albeit on the basis that they benefit from any increase in value). ‘Causing’ may not require knowledge or fault, and ‘knowingly permitting’ (continued) presence does not necessarily reflect any involvement in the act responsible for that presence.</w:t>
      </w:r>
      <w:r w:rsidRPr="00B67F01">
        <w:rPr>
          <w:rStyle w:val="FootnoteReference"/>
          <w:lang w:val="en-US"/>
        </w:rPr>
        <w:footnoteReference w:id="133"/>
      </w:r>
      <w:r w:rsidRPr="00B67F01">
        <w:rPr>
          <w:lang w:val="en-US"/>
        </w:rPr>
        <w:t xml:space="preserve"> The statutory guidance sets out how ‘fair’ apportionment of liability between and within liabi</w:t>
      </w:r>
      <w:r>
        <w:rPr>
          <w:lang w:val="en-US"/>
        </w:rPr>
        <w:t xml:space="preserve">lity groups can be attempted. The Statutory Guidance is clear that, where possible, </w:t>
      </w:r>
      <w:r w:rsidRPr="00BD7537">
        <w:rPr>
          <w:lang w:val="en-US"/>
        </w:rPr>
        <w:t>the ‘</w:t>
      </w:r>
      <w:r w:rsidRPr="00BD7537">
        <w:rPr>
          <w:i/>
          <w:lang w:val="en-US"/>
        </w:rPr>
        <w:t xml:space="preserve">Polluter Pays’ </w:t>
      </w:r>
      <w:r w:rsidRPr="00BD7537">
        <w:rPr>
          <w:lang w:val="en-US"/>
        </w:rPr>
        <w:t>Principle</w:t>
      </w:r>
      <w:r>
        <w:rPr>
          <w:lang w:val="en-US"/>
        </w:rPr>
        <w:t>, should be applied</w:t>
      </w:r>
      <w:r w:rsidRPr="00BD7537">
        <w:rPr>
          <w:lang w:val="en-US"/>
        </w:rPr>
        <w:t>;</w:t>
      </w:r>
      <w:r>
        <w:rPr>
          <w:rStyle w:val="FootnoteReference"/>
          <w:lang w:val="en-US"/>
        </w:rPr>
        <w:footnoteReference w:id="134"/>
      </w:r>
      <w:r w:rsidRPr="00BD7537">
        <w:rPr>
          <w:lang w:val="en-US"/>
        </w:rPr>
        <w:t xml:space="preserve"> that those responsible for pollution meet the costs of its consequences.</w:t>
      </w:r>
      <w:r w:rsidRPr="00BD7537">
        <w:rPr>
          <w:rStyle w:val="FootnoteReference"/>
          <w:lang w:val="en-US"/>
        </w:rPr>
        <w:footnoteReference w:id="135"/>
      </w:r>
      <w:r w:rsidRPr="00BD7537">
        <w:rPr>
          <w:lang w:val="en-US"/>
        </w:rPr>
        <w:t xml:space="preserve"> </w:t>
      </w:r>
    </w:p>
    <w:p w14:paraId="6763D597" w14:textId="77777777" w:rsidR="00FF77B3" w:rsidRDefault="00FF77B3" w:rsidP="00FF77B3">
      <w:pPr>
        <w:rPr>
          <w:lang w:val="en-US"/>
        </w:rPr>
      </w:pPr>
    </w:p>
    <w:p w14:paraId="54F8822D" w14:textId="06ACA12F" w:rsidR="00E773D5" w:rsidRDefault="007F0311" w:rsidP="00FF77B3">
      <w:pPr>
        <w:rPr>
          <w:lang w:val="en-US"/>
        </w:rPr>
      </w:pPr>
      <w:r>
        <w:rPr>
          <w:lang w:val="en-US"/>
        </w:rPr>
        <w:t>With regard to enforcement, o</w:t>
      </w:r>
      <w:r w:rsidR="00FF77B3" w:rsidRPr="001125E2">
        <w:rPr>
          <w:lang w:val="en-US"/>
        </w:rPr>
        <w:t xml:space="preserve">nce a site is identified as </w:t>
      </w:r>
      <w:r w:rsidR="00FF77B3">
        <w:rPr>
          <w:lang w:val="en-US"/>
        </w:rPr>
        <w:t>‘</w:t>
      </w:r>
      <w:r w:rsidR="00FF77B3" w:rsidRPr="001125E2">
        <w:rPr>
          <w:lang w:val="en-US"/>
        </w:rPr>
        <w:t>Contaminated Land</w:t>
      </w:r>
      <w:r w:rsidR="00FF77B3">
        <w:rPr>
          <w:lang w:val="en-US"/>
        </w:rPr>
        <w:t>’</w:t>
      </w:r>
      <w:r w:rsidR="00FF77B3" w:rsidRPr="001125E2">
        <w:rPr>
          <w:lang w:val="en-US"/>
        </w:rPr>
        <w:t xml:space="preserve">, </w:t>
      </w:r>
      <w:r w:rsidR="00FF77B3" w:rsidRPr="007F0311">
        <w:rPr>
          <w:lang w:val="en-US"/>
        </w:rPr>
        <w:t>there is a duty to serve a remediation notice in respect of it.</w:t>
      </w:r>
      <w:r w:rsidR="00FF77B3" w:rsidRPr="007F0311">
        <w:rPr>
          <w:rStyle w:val="FootnoteReference"/>
          <w:lang w:val="en-US"/>
        </w:rPr>
        <w:footnoteReference w:id="136"/>
      </w:r>
      <w:r w:rsidR="00FF77B3" w:rsidRPr="007F0311">
        <w:rPr>
          <w:lang w:val="en-US"/>
        </w:rPr>
        <w:t xml:space="preserve"> </w:t>
      </w:r>
      <w:r w:rsidRPr="007F0311">
        <w:rPr>
          <w:lang w:val="en-US"/>
        </w:rPr>
        <w:t>The general approach is</w:t>
      </w:r>
      <w:r w:rsidR="00FF77B3" w:rsidRPr="007F0311">
        <w:rPr>
          <w:lang w:val="en-US"/>
        </w:rPr>
        <w:t xml:space="preserve"> for th</w:t>
      </w:r>
      <w:r w:rsidRPr="007F0311">
        <w:rPr>
          <w:lang w:val="en-US"/>
        </w:rPr>
        <w:t>e</w:t>
      </w:r>
      <w:r w:rsidR="00FF77B3" w:rsidRPr="007F0311">
        <w:rPr>
          <w:lang w:val="en-US"/>
        </w:rPr>
        <w:t xml:space="preserve"> </w:t>
      </w:r>
      <w:r w:rsidRPr="007F0311">
        <w:rPr>
          <w:lang w:val="en-US"/>
        </w:rPr>
        <w:t xml:space="preserve">‘appropriate </w:t>
      </w:r>
      <w:r w:rsidR="00FF77B3" w:rsidRPr="007F0311">
        <w:rPr>
          <w:lang w:val="en-US"/>
        </w:rPr>
        <w:t>person</w:t>
      </w:r>
      <w:r w:rsidRPr="007F0311">
        <w:rPr>
          <w:lang w:val="en-US"/>
        </w:rPr>
        <w:t>s’</w:t>
      </w:r>
      <w:r w:rsidR="00FF77B3" w:rsidRPr="007F0311">
        <w:rPr>
          <w:lang w:val="en-US"/>
        </w:rPr>
        <w:t xml:space="preserve"> to remediate</w:t>
      </w:r>
      <w:r w:rsidRPr="007F0311">
        <w:rPr>
          <w:lang w:val="en-US"/>
        </w:rPr>
        <w:t xml:space="preserve"> the land</w:t>
      </w:r>
      <w:r w:rsidR="00FF77B3" w:rsidRPr="007F0311">
        <w:rPr>
          <w:lang w:val="en-US"/>
        </w:rPr>
        <w:t>, with</w:t>
      </w:r>
      <w:r w:rsidRPr="007F0311">
        <w:rPr>
          <w:lang w:val="en-US"/>
        </w:rPr>
        <w:t xml:space="preserve"> the</w:t>
      </w:r>
      <w:r w:rsidR="00FF77B3" w:rsidRPr="007F0311">
        <w:rPr>
          <w:lang w:val="en-US"/>
        </w:rPr>
        <w:t xml:space="preserve"> </w:t>
      </w:r>
      <w:r w:rsidR="00FF77B3" w:rsidRPr="00E773D5">
        <w:rPr>
          <w:lang w:val="en-US"/>
        </w:rPr>
        <w:t xml:space="preserve">enforcing authority </w:t>
      </w:r>
      <w:r w:rsidR="00E773D5" w:rsidRPr="00E773D5">
        <w:rPr>
          <w:lang w:val="en-US"/>
        </w:rPr>
        <w:t>having powers to undertake works</w:t>
      </w:r>
      <w:r w:rsidR="00E773D5" w:rsidRPr="00E773D5">
        <w:rPr>
          <w:rStyle w:val="FootnoteReference"/>
          <w:lang w:val="en-US"/>
        </w:rPr>
        <w:footnoteReference w:id="137"/>
      </w:r>
      <w:r w:rsidR="00E773D5" w:rsidRPr="00E773D5">
        <w:rPr>
          <w:lang w:val="en-US"/>
        </w:rPr>
        <w:t xml:space="preserve"> and recover the costs of these,</w:t>
      </w:r>
      <w:r w:rsidR="00E773D5" w:rsidRPr="00E773D5">
        <w:rPr>
          <w:rStyle w:val="FootnoteReference"/>
          <w:lang w:val="en-US"/>
        </w:rPr>
        <w:footnoteReference w:id="138"/>
      </w:r>
      <w:r w:rsidR="00E773D5" w:rsidRPr="00E773D5">
        <w:rPr>
          <w:lang w:val="en-US"/>
        </w:rPr>
        <w:t xml:space="preserve"> </w:t>
      </w:r>
      <w:r w:rsidRPr="00E773D5">
        <w:rPr>
          <w:lang w:val="en-US"/>
        </w:rPr>
        <w:t>as a secondary step</w:t>
      </w:r>
      <w:r w:rsidR="00FF77B3" w:rsidRPr="00E773D5">
        <w:rPr>
          <w:lang w:val="en-US"/>
        </w:rPr>
        <w:t>.</w:t>
      </w:r>
      <w:r w:rsidRPr="00E773D5">
        <w:rPr>
          <w:lang w:val="en-US"/>
        </w:rPr>
        <w:t xml:space="preserve"> There are limitations on both the serving of remediation notices,</w:t>
      </w:r>
      <w:r w:rsidRPr="00E773D5">
        <w:rPr>
          <w:rStyle w:val="FootnoteReference"/>
          <w:lang w:val="en-US"/>
        </w:rPr>
        <w:footnoteReference w:id="139"/>
      </w:r>
      <w:r w:rsidRPr="00E773D5">
        <w:rPr>
          <w:lang w:val="en-US"/>
        </w:rPr>
        <w:t xml:space="preserve"> and the costs that may be reasonably recovered where the enforcing authority takes action itself.</w:t>
      </w:r>
      <w:r w:rsidRPr="00E773D5">
        <w:rPr>
          <w:rStyle w:val="FootnoteReference"/>
          <w:lang w:val="en-US"/>
        </w:rPr>
        <w:footnoteReference w:id="140"/>
      </w:r>
      <w:r w:rsidRPr="00E773D5">
        <w:rPr>
          <w:lang w:val="en-US"/>
        </w:rPr>
        <w:t xml:space="preserve"> </w:t>
      </w:r>
      <w:r w:rsidR="00A85244" w:rsidRPr="00E773D5">
        <w:rPr>
          <w:lang w:val="en-US"/>
        </w:rPr>
        <w:t>Failure to comply with a notice may constitute a criminal offence.</w:t>
      </w:r>
      <w:r w:rsidR="00A85244" w:rsidRPr="00E773D5">
        <w:rPr>
          <w:rStyle w:val="FootnoteReference"/>
          <w:lang w:val="en-US"/>
        </w:rPr>
        <w:footnoteReference w:id="141"/>
      </w:r>
      <w:r w:rsidR="00A85244" w:rsidRPr="00E773D5">
        <w:rPr>
          <w:lang w:val="en-US"/>
        </w:rPr>
        <w:t xml:space="preserve"> Though the original pollution itself may not constitute an offence (being ‘historic’ acts, or acts of others), there is a clear criminal prosecution regime for non-compliance with regulatory requirements</w:t>
      </w:r>
      <w:r w:rsidR="00C80344">
        <w:rPr>
          <w:lang w:val="en-US"/>
        </w:rPr>
        <w:t>.</w:t>
      </w:r>
      <w:r w:rsidR="00A85244" w:rsidRPr="00E773D5">
        <w:rPr>
          <w:lang w:val="en-US"/>
        </w:rPr>
        <w:t xml:space="preserve"> </w:t>
      </w:r>
    </w:p>
    <w:p w14:paraId="0578BD05" w14:textId="77777777" w:rsidR="00E773D5" w:rsidRDefault="00E773D5" w:rsidP="00FF77B3">
      <w:pPr>
        <w:rPr>
          <w:lang w:val="en-US"/>
        </w:rPr>
      </w:pPr>
    </w:p>
    <w:p w14:paraId="6B0EEADF" w14:textId="401197AD" w:rsidR="00FD0B68" w:rsidRDefault="007F0311" w:rsidP="00FF77B3">
      <w:pPr>
        <w:rPr>
          <w:lang w:val="en-US"/>
        </w:rPr>
      </w:pPr>
      <w:r w:rsidRPr="00E773D5">
        <w:rPr>
          <w:lang w:val="en-US"/>
        </w:rPr>
        <w:t>In the case of Church Pollution, of course, there could be no question of the polluter (or other identified as ‘responsible’) carrying out the remedia</w:t>
      </w:r>
      <w:r w:rsidR="00066368">
        <w:rPr>
          <w:lang w:val="en-US"/>
        </w:rPr>
        <w:t>tion</w:t>
      </w:r>
      <w:r w:rsidRPr="00E773D5">
        <w:rPr>
          <w:lang w:val="en-US"/>
        </w:rPr>
        <w:t xml:space="preserve">. The nature of the remedial requirements was such that only the </w:t>
      </w:r>
      <w:r w:rsidRPr="00C7531B">
        <w:rPr>
          <w:lang w:val="en-US"/>
        </w:rPr>
        <w:t xml:space="preserve">‘enforcing authority’ itself could undertake the necessary actions. </w:t>
      </w:r>
      <w:r w:rsidR="00A85244" w:rsidRPr="00C7531B">
        <w:rPr>
          <w:lang w:val="en-US"/>
        </w:rPr>
        <w:t xml:space="preserve">As we have seen, church ‘polluters’ </w:t>
      </w:r>
      <w:r w:rsidR="00E773D5" w:rsidRPr="00C7531B">
        <w:rPr>
          <w:lang w:val="en-US"/>
        </w:rPr>
        <w:t xml:space="preserve">could be prosecuted </w:t>
      </w:r>
      <w:r w:rsidR="00FF77B3" w:rsidRPr="00C7531B">
        <w:rPr>
          <w:i/>
          <w:lang w:val="en-US"/>
        </w:rPr>
        <w:t>ex officio</w:t>
      </w:r>
      <w:r w:rsidR="00E773D5" w:rsidRPr="00C7531B">
        <w:rPr>
          <w:i/>
          <w:lang w:val="en-US"/>
        </w:rPr>
        <w:t>:</w:t>
      </w:r>
      <w:r w:rsidR="00E773D5" w:rsidRPr="00C7531B">
        <w:rPr>
          <w:lang w:val="en-US"/>
        </w:rPr>
        <w:t xml:space="preserve"> an important distinction being that this offence consisted of the polluting act itself, rather than relating to remediation measures directly. With its focus on those responsible for polluting acts, the Church Pollution regime (imposing both corrective sanctions and liability for remediation costs</w:t>
      </w:r>
      <w:r w:rsidR="00E773D5">
        <w:rPr>
          <w:lang w:val="en-US"/>
        </w:rPr>
        <w:t xml:space="preserve">) may be viewed as a form of ‘Polluter Pays’ liability. </w:t>
      </w:r>
      <w:r w:rsidR="00E773D5" w:rsidRPr="00BD7537">
        <w:rPr>
          <w:lang w:val="en-US"/>
        </w:rPr>
        <w:t>As the ‘Snodland’ case</w:t>
      </w:r>
      <w:r w:rsidR="00255AF8">
        <w:rPr>
          <w:rStyle w:val="FootnoteReference"/>
          <w:lang w:val="en-US"/>
        </w:rPr>
        <w:footnoteReference w:id="142"/>
      </w:r>
      <w:r w:rsidR="00E773D5" w:rsidRPr="00BD7537">
        <w:rPr>
          <w:lang w:val="en-US"/>
        </w:rPr>
        <w:t xml:space="preserve"> illustrates, </w:t>
      </w:r>
      <w:r w:rsidR="00E773D5">
        <w:rPr>
          <w:lang w:val="en-US"/>
        </w:rPr>
        <w:t>a similar approach to that with Contaminated Land can be seen in the case of ‘Orphan Liabilities’, where the local community c</w:t>
      </w:r>
      <w:r w:rsidR="00E773D5" w:rsidRPr="00BD7537">
        <w:rPr>
          <w:lang w:val="en-US"/>
        </w:rPr>
        <w:t xml:space="preserve">ould be responsible for </w:t>
      </w:r>
      <w:r w:rsidR="00E773D5">
        <w:rPr>
          <w:lang w:val="en-US"/>
        </w:rPr>
        <w:t>funding reconciliation costs,</w:t>
      </w:r>
      <w:r w:rsidR="00E773D5" w:rsidRPr="00BD7537">
        <w:rPr>
          <w:lang w:val="en-US"/>
        </w:rPr>
        <w:t xml:space="preserve"> whether on the grounds of community benefit, or co</w:t>
      </w:r>
      <w:r w:rsidR="00E773D5">
        <w:rPr>
          <w:lang w:val="en-US"/>
        </w:rPr>
        <w:t>mmunity responsibility for the polluter</w:t>
      </w:r>
      <w:r w:rsidR="00E773D5" w:rsidRPr="00BD7537">
        <w:rPr>
          <w:lang w:val="en-US"/>
        </w:rPr>
        <w:t>.</w:t>
      </w:r>
      <w:r w:rsidR="00C7531B">
        <w:rPr>
          <w:lang w:val="en-US"/>
        </w:rPr>
        <w:t xml:space="preserve"> </w:t>
      </w:r>
    </w:p>
    <w:p w14:paraId="0503F779" w14:textId="77777777" w:rsidR="00FD0B68" w:rsidRDefault="00FD0B68" w:rsidP="00FF77B3">
      <w:pPr>
        <w:rPr>
          <w:lang w:val="en-US"/>
        </w:rPr>
      </w:pPr>
    </w:p>
    <w:p w14:paraId="1BCAD1BF" w14:textId="1DA945E4" w:rsidR="00FF77B3" w:rsidRPr="00021F02" w:rsidRDefault="00C7531B" w:rsidP="00021F02">
      <w:pPr>
        <w:rPr>
          <w:lang w:val="en-US"/>
        </w:rPr>
      </w:pPr>
      <w:r>
        <w:rPr>
          <w:lang w:val="en-US"/>
        </w:rPr>
        <w:t xml:space="preserve">The range of sanctions </w:t>
      </w:r>
      <w:r w:rsidR="00FD0B68">
        <w:rPr>
          <w:lang w:val="en-US"/>
        </w:rPr>
        <w:t>deployed in relation to Church Pollution (considered above) included excommunication, fines and public penance. Financial penalties are the main form of enforcement under the Contaminated Land regime. There are a couple of poin</w:t>
      </w:r>
      <w:r w:rsidR="00C80344">
        <w:rPr>
          <w:lang w:val="en-US"/>
        </w:rPr>
        <w:t>ts worth noting here, however. The first</w:t>
      </w:r>
      <w:r w:rsidR="00FD0B68">
        <w:rPr>
          <w:lang w:val="en-US"/>
        </w:rPr>
        <w:t xml:space="preserve"> </w:t>
      </w:r>
      <w:r w:rsidR="00C80344">
        <w:rPr>
          <w:lang w:val="en-US"/>
        </w:rPr>
        <w:t>is the power</w:t>
      </w:r>
      <w:r w:rsidR="00C80344" w:rsidRPr="00E773D5">
        <w:rPr>
          <w:lang w:val="en-US"/>
        </w:rPr>
        <w:t xml:space="preserve"> to bring civil proceedings </w:t>
      </w:r>
      <w:r w:rsidR="00C80344">
        <w:rPr>
          <w:lang w:val="en-US"/>
        </w:rPr>
        <w:t xml:space="preserve">(including injunctions) </w:t>
      </w:r>
      <w:r w:rsidR="00C80344" w:rsidRPr="00E773D5">
        <w:rPr>
          <w:lang w:val="en-US"/>
        </w:rPr>
        <w:t>to secure compliance</w:t>
      </w:r>
      <w:r w:rsidR="00C80344">
        <w:rPr>
          <w:lang w:val="en-US"/>
        </w:rPr>
        <w:t xml:space="preserve"> where prosecution would provide an ineffectual remedy.</w:t>
      </w:r>
      <w:r w:rsidR="00C80344" w:rsidRPr="00E773D5">
        <w:rPr>
          <w:rStyle w:val="FootnoteReference"/>
          <w:lang w:val="en-US"/>
        </w:rPr>
        <w:footnoteReference w:id="143"/>
      </w:r>
      <w:r w:rsidR="00C80344">
        <w:rPr>
          <w:lang w:val="en-US"/>
        </w:rPr>
        <w:t xml:space="preserve"> The second is the maintenance of registers of remediation notices and subsequent actions, such as remediation actions and convictions for prescribed offences.</w:t>
      </w:r>
      <w:r w:rsidR="00021F02">
        <w:rPr>
          <w:rStyle w:val="FootnoteReference"/>
          <w:lang w:val="en-US"/>
        </w:rPr>
        <w:footnoteReference w:id="144"/>
      </w:r>
      <w:r w:rsidR="00C80344">
        <w:rPr>
          <w:lang w:val="en-US"/>
        </w:rPr>
        <w:t xml:space="preserve"> The former may </w:t>
      </w:r>
      <w:r w:rsidR="00021F02">
        <w:rPr>
          <w:lang w:val="en-US"/>
        </w:rPr>
        <w:t>have similarities with</w:t>
      </w:r>
      <w:r w:rsidR="00C80344">
        <w:rPr>
          <w:lang w:val="en-US"/>
        </w:rPr>
        <w:t xml:space="preserve"> ‘relaxation’</w:t>
      </w:r>
      <w:r w:rsidR="00021F02">
        <w:rPr>
          <w:lang w:val="en-US"/>
        </w:rPr>
        <w:t xml:space="preserve"> to the secular jurisdiction where church sanctions may have been unsuccessful.</w:t>
      </w:r>
      <w:r w:rsidR="00066368">
        <w:rPr>
          <w:rStyle w:val="FootnoteReference"/>
          <w:lang w:val="en-US"/>
        </w:rPr>
        <w:footnoteReference w:id="145"/>
      </w:r>
      <w:r w:rsidR="00021F02">
        <w:rPr>
          <w:lang w:val="en-US"/>
        </w:rPr>
        <w:t xml:space="preserve"> The latter may be seen as analogous with both the ‘shame’ based and ‘reconciliatory’ elements of the </w:t>
      </w:r>
      <w:r w:rsidR="00021F02" w:rsidRPr="00021F02">
        <w:rPr>
          <w:lang w:val="en-US"/>
        </w:rPr>
        <w:t>philosophy underlying those sanctions, including public confession and forgiveness. As with Church Pollution, the purpose</w:t>
      </w:r>
      <w:r w:rsidR="00FF77B3" w:rsidRPr="00021F02">
        <w:rPr>
          <w:lang w:val="en-US"/>
        </w:rPr>
        <w:t xml:space="preserve"> is to </w:t>
      </w:r>
      <w:r w:rsidR="00FF77B3" w:rsidRPr="00021F02">
        <w:rPr>
          <w:i/>
          <w:lang w:val="en-US"/>
        </w:rPr>
        <w:t>encourage</w:t>
      </w:r>
      <w:r w:rsidR="00021F02" w:rsidRPr="00021F02">
        <w:rPr>
          <w:lang w:val="en-US"/>
        </w:rPr>
        <w:t xml:space="preserve"> </w:t>
      </w:r>
      <w:r w:rsidR="00FF77B3" w:rsidRPr="00021F02">
        <w:rPr>
          <w:lang w:val="en-US"/>
        </w:rPr>
        <w:t>voluntary remediation, where possible, with remediation ‘statements’ or ‘declarations’, rather than ‘notices’</w:t>
      </w:r>
      <w:r w:rsidR="00066368">
        <w:rPr>
          <w:lang w:val="en-US"/>
        </w:rPr>
        <w:t xml:space="preserve"> and enforcement</w:t>
      </w:r>
      <w:r w:rsidR="00FF77B3" w:rsidRPr="00021F02">
        <w:rPr>
          <w:lang w:val="en-US"/>
        </w:rPr>
        <w:t>.</w:t>
      </w:r>
      <w:r w:rsidR="00066368">
        <w:rPr>
          <w:rStyle w:val="FootnoteReference"/>
          <w:lang w:val="en-US"/>
        </w:rPr>
        <w:footnoteReference w:id="146"/>
      </w:r>
      <w:r w:rsidR="00FF77B3" w:rsidRPr="00021F02">
        <w:rPr>
          <w:lang w:val="en-US"/>
        </w:rPr>
        <w:t xml:space="preserve"> </w:t>
      </w:r>
    </w:p>
    <w:p w14:paraId="3F22E7C9" w14:textId="77777777" w:rsidR="00021F02" w:rsidRDefault="00021F02" w:rsidP="00021F02">
      <w:pPr>
        <w:rPr>
          <w:color w:val="FF0000"/>
          <w:lang w:val="en-US"/>
        </w:rPr>
      </w:pPr>
    </w:p>
    <w:p w14:paraId="2D1248A5" w14:textId="0A853DBE" w:rsidR="006E7FA1" w:rsidRDefault="00021F02" w:rsidP="006E7FA1">
      <w:pPr>
        <w:ind w:right="35"/>
        <w:rPr>
          <w:lang w:val="en-US"/>
        </w:rPr>
      </w:pPr>
      <w:r w:rsidRPr="006E7FA1">
        <w:rPr>
          <w:lang w:val="en-US"/>
        </w:rPr>
        <w:t>A final element of the Contaminated Land scheme to consider is the appeals system</w:t>
      </w:r>
      <w:r w:rsidR="00317414">
        <w:rPr>
          <w:lang w:val="en-US"/>
        </w:rPr>
        <w:t>.</w:t>
      </w:r>
      <w:r w:rsidRPr="006E7FA1">
        <w:rPr>
          <w:rStyle w:val="FootnoteReference"/>
          <w:lang w:val="en-US"/>
        </w:rPr>
        <w:footnoteReference w:id="147"/>
      </w:r>
      <w:r w:rsidRPr="006E7FA1">
        <w:rPr>
          <w:lang w:val="en-US"/>
        </w:rPr>
        <w:t xml:space="preserve"> </w:t>
      </w:r>
      <w:r w:rsidR="006E7FA1" w:rsidRPr="006E7FA1">
        <w:rPr>
          <w:lang w:val="en-US"/>
        </w:rPr>
        <w:t>Though less complex, in both regulatory provisions and enforcement structure, an appeal system is evid</w:t>
      </w:r>
      <w:r w:rsidR="00441B7E">
        <w:rPr>
          <w:lang w:val="en-US"/>
        </w:rPr>
        <w:t>enced in the case of Church P</w:t>
      </w:r>
      <w:r w:rsidR="006E7FA1" w:rsidRPr="006E7FA1">
        <w:rPr>
          <w:lang w:val="en-US"/>
        </w:rPr>
        <w:t>ollution. Concern</w:t>
      </w:r>
      <w:r w:rsidR="006E7FA1" w:rsidRPr="00BD7537">
        <w:rPr>
          <w:lang w:val="en-US"/>
        </w:rPr>
        <w:t xml:space="preserve"> regarding the disruption to church services, and implications of this (as well as possibly to potential costs of a reconciliation) are reflected in</w:t>
      </w:r>
      <w:r w:rsidR="006E7FA1">
        <w:rPr>
          <w:lang w:val="en-US"/>
        </w:rPr>
        <w:t xml:space="preserve"> a case from 1348, involving a:</w:t>
      </w:r>
    </w:p>
    <w:p w14:paraId="31799E09" w14:textId="77777777" w:rsidR="006E7FA1" w:rsidRDefault="006E7FA1" w:rsidP="006E7FA1">
      <w:pPr>
        <w:ind w:right="35"/>
        <w:rPr>
          <w:lang w:val="en-US"/>
        </w:rPr>
      </w:pPr>
    </w:p>
    <w:p w14:paraId="21B08CAC" w14:textId="77777777" w:rsidR="006E7FA1" w:rsidRPr="00BD7537" w:rsidRDefault="006E7FA1" w:rsidP="006E7FA1">
      <w:pPr>
        <w:ind w:left="567" w:right="602"/>
        <w:rPr>
          <w:lang w:val="en-US"/>
        </w:rPr>
      </w:pPr>
      <w:r>
        <w:rPr>
          <w:lang w:val="en-US"/>
        </w:rPr>
        <w:t xml:space="preserve"> ‘</w:t>
      </w:r>
      <w:r w:rsidRPr="00BD7537">
        <w:rPr>
          <w:lang w:val="en-US"/>
        </w:rPr>
        <w:t>citation of the bishop to appear before the archbishop’s court to reply to the complaint of the parishioners of Allensmore that he has laid their burying ground under an interdict on the ground of bloodshed, which i</w:t>
      </w:r>
      <w:r>
        <w:rPr>
          <w:lang w:val="en-US"/>
        </w:rPr>
        <w:t>n fact did not take place there’</w:t>
      </w:r>
      <w:r w:rsidRPr="00BD7537">
        <w:rPr>
          <w:lang w:val="en-US"/>
        </w:rPr>
        <w:t>.</w:t>
      </w:r>
      <w:r w:rsidRPr="00BD7537">
        <w:rPr>
          <w:rStyle w:val="FootnoteReference"/>
          <w:lang w:val="en-US"/>
        </w:rPr>
        <w:footnoteReference w:id="148"/>
      </w:r>
    </w:p>
    <w:p w14:paraId="4B76AC3F" w14:textId="183A8ADD" w:rsidR="00021F02" w:rsidRDefault="00021F02" w:rsidP="00021F02">
      <w:pPr>
        <w:rPr>
          <w:color w:val="FF0000"/>
          <w:lang w:val="en-US"/>
        </w:rPr>
      </w:pPr>
    </w:p>
    <w:p w14:paraId="25C40477" w14:textId="66AFEAE4" w:rsidR="00D31047" w:rsidRPr="00EF0E27" w:rsidRDefault="00D31047" w:rsidP="00D31047">
      <w:r w:rsidRPr="00BF40DF">
        <w:rPr>
          <w:lang w:val="en-US"/>
        </w:rPr>
        <w:t xml:space="preserve">The Contaminated Land regime is built upon the ‘Statutory Nuisance’ regime.  </w:t>
      </w:r>
      <w:r w:rsidR="00066368">
        <w:rPr>
          <w:lang w:val="en-US"/>
        </w:rPr>
        <w:t>N</w:t>
      </w:r>
      <w:r w:rsidRPr="00BF40DF">
        <w:rPr>
          <w:lang w:val="en-US"/>
        </w:rPr>
        <w:t xml:space="preserve">ow found in Part III of the Environmental Protection Act 1990, </w:t>
      </w:r>
      <w:r w:rsidRPr="00BF40DF">
        <w:rPr>
          <w:rFonts w:cs="Helvetica"/>
        </w:rPr>
        <w:t xml:space="preserve">Statutory Nuisance has its origins in the Public Health Legislation of the </w:t>
      </w:r>
      <w:r w:rsidRPr="00EF0E27">
        <w:rPr>
          <w:rFonts w:cs="Helvetica"/>
        </w:rPr>
        <w:t>mid-18</w:t>
      </w:r>
      <w:r w:rsidRPr="00EF0E27">
        <w:rPr>
          <w:rFonts w:cs="Helvetica"/>
          <w:vertAlign w:val="superscript"/>
        </w:rPr>
        <w:t>th</w:t>
      </w:r>
      <w:r w:rsidR="00AF3975">
        <w:rPr>
          <w:rFonts w:cs="Helvetica"/>
        </w:rPr>
        <w:t xml:space="preserve"> c</w:t>
      </w:r>
      <w:r w:rsidRPr="00EF0E27">
        <w:rPr>
          <w:rFonts w:cs="Helvetica"/>
        </w:rPr>
        <w:t>entury</w:t>
      </w:r>
      <w:r w:rsidR="00066368">
        <w:rPr>
          <w:rFonts w:cs="Helvetica"/>
        </w:rPr>
        <w:t>.</w:t>
      </w:r>
      <w:r w:rsidRPr="00EF0E27">
        <w:rPr>
          <w:rStyle w:val="FootnoteReference"/>
          <w:rFonts w:cs="Helvetica"/>
        </w:rPr>
        <w:footnoteReference w:id="149"/>
      </w:r>
      <w:r w:rsidRPr="00EF0E27">
        <w:rPr>
          <w:rFonts w:cs="Helvetica"/>
        </w:rPr>
        <w:t xml:space="preserve"> </w:t>
      </w:r>
      <w:r w:rsidRPr="00EF0E27">
        <w:t xml:space="preserve">Although </w:t>
      </w:r>
      <w:r w:rsidR="00066368">
        <w:t xml:space="preserve">Part IIA is </w:t>
      </w:r>
      <w:r w:rsidRPr="00EF0E27">
        <w:t xml:space="preserve">a much more complex regime, with apportionment and allocation of liability, extensive statutory guidance and regulations, the regulatory approaches and structures </w:t>
      </w:r>
      <w:r w:rsidR="00066368">
        <w:t xml:space="preserve">of the two schemes </w:t>
      </w:r>
      <w:r w:rsidRPr="00EF0E27">
        <w:t xml:space="preserve">have many similarities; the </w:t>
      </w:r>
      <w:r w:rsidR="00066368">
        <w:t xml:space="preserve">Contaminated Land </w:t>
      </w:r>
      <w:r w:rsidRPr="00EF0E27">
        <w:t>regime might be more appropriately be conceived of as ‘Part IIIA’. Accordingly, the legislative pedigree has been well recognised. Though far less evident, and perhaps contentiou</w:t>
      </w:r>
      <w:r w:rsidR="00441B7E">
        <w:t>s, the reverberation of Church P</w:t>
      </w:r>
      <w:r w:rsidRPr="00EF0E27">
        <w:t xml:space="preserve">ollution </w:t>
      </w:r>
      <w:r>
        <w:t>laws</w:t>
      </w:r>
      <w:r w:rsidRPr="00EF0E27">
        <w:t xml:space="preserve"> might </w:t>
      </w:r>
      <w:r w:rsidR="00066368">
        <w:t xml:space="preserve">also </w:t>
      </w:r>
      <w:r w:rsidRPr="00EF0E27">
        <w:t xml:space="preserve">be </w:t>
      </w:r>
      <w:r w:rsidR="00066368">
        <w:t>identifi</w:t>
      </w:r>
      <w:r w:rsidRPr="00EF0E27">
        <w:t xml:space="preserve">ed. </w:t>
      </w:r>
      <w:r>
        <w:t xml:space="preserve">Thus the schemes regulating both statutory nuisances and Contaminated Land can be argued to have conceptual and structural origins in unexpected medieval sources. Whether conscious or not, there seems to be a social and cultural heritage of long-standing for environmental laws such as these.  </w:t>
      </w:r>
    </w:p>
    <w:p w14:paraId="6BEC076B" w14:textId="77777777" w:rsidR="00D31047" w:rsidRPr="00EF0E27" w:rsidRDefault="00D31047" w:rsidP="00D31047"/>
    <w:p w14:paraId="21D0F727" w14:textId="14CEE307" w:rsidR="00183AC0" w:rsidRPr="00507444" w:rsidRDefault="00183AC0" w:rsidP="00CE1820">
      <w:pPr>
        <w:rPr>
          <w:lang w:val="en-US"/>
        </w:rPr>
      </w:pPr>
      <w:r w:rsidRPr="00507444">
        <w:rPr>
          <w:lang w:val="en-US"/>
        </w:rPr>
        <w:t>These connections, to a greater or lesser extent, might be perceived as tenuous</w:t>
      </w:r>
      <w:r w:rsidR="00B047E8" w:rsidRPr="00507444">
        <w:rPr>
          <w:lang w:val="en-US"/>
        </w:rPr>
        <w:t xml:space="preserve"> and/or </w:t>
      </w:r>
      <w:r w:rsidR="0057731F" w:rsidRPr="00507444">
        <w:rPr>
          <w:lang w:val="en-US"/>
        </w:rPr>
        <w:t>artificial</w:t>
      </w:r>
      <w:r w:rsidRPr="00507444">
        <w:rPr>
          <w:lang w:val="en-US"/>
        </w:rPr>
        <w:t>. Each require</w:t>
      </w:r>
      <w:r w:rsidR="00E94288" w:rsidRPr="00507444">
        <w:rPr>
          <w:lang w:val="en-US"/>
        </w:rPr>
        <w:t>s</w:t>
      </w:r>
      <w:r w:rsidRPr="00507444">
        <w:rPr>
          <w:lang w:val="en-US"/>
        </w:rPr>
        <w:t xml:space="preserve"> the historical perspective through the contemporary lens and risks the (more or less </w:t>
      </w:r>
      <w:r w:rsidR="00507444" w:rsidRPr="00507444">
        <w:rPr>
          <w:lang w:val="en-US"/>
        </w:rPr>
        <w:t>knowing</w:t>
      </w:r>
      <w:r w:rsidRPr="00507444">
        <w:rPr>
          <w:lang w:val="en-US"/>
        </w:rPr>
        <w:t xml:space="preserve">) selectiveness of illustration and example. The </w:t>
      </w:r>
      <w:r w:rsidR="00507444" w:rsidRPr="00507444">
        <w:rPr>
          <w:lang w:val="en-US"/>
        </w:rPr>
        <w:t>consideration of contemporary and historic regulation of pollution</w:t>
      </w:r>
      <w:r w:rsidR="00066368">
        <w:rPr>
          <w:lang w:val="en-US"/>
        </w:rPr>
        <w:t xml:space="preserve">, however, </w:t>
      </w:r>
      <w:r w:rsidR="00507444" w:rsidRPr="00507444">
        <w:rPr>
          <w:lang w:val="en-US"/>
        </w:rPr>
        <w:t xml:space="preserve">illustrates other </w:t>
      </w:r>
      <w:r w:rsidR="00B047E8" w:rsidRPr="00507444">
        <w:rPr>
          <w:lang w:val="en-US"/>
        </w:rPr>
        <w:t>association</w:t>
      </w:r>
      <w:r w:rsidR="00507444" w:rsidRPr="00507444">
        <w:rPr>
          <w:lang w:val="en-US"/>
        </w:rPr>
        <w:t xml:space="preserve">s. These are </w:t>
      </w:r>
      <w:r w:rsidRPr="00507444">
        <w:rPr>
          <w:lang w:val="en-US"/>
        </w:rPr>
        <w:t>based upon a more context</w:t>
      </w:r>
      <w:r w:rsidR="00873C8D" w:rsidRPr="00507444">
        <w:rPr>
          <w:lang w:val="en-US"/>
        </w:rPr>
        <w:t>ual view of the medieval system:</w:t>
      </w:r>
      <w:r w:rsidRPr="00507444">
        <w:rPr>
          <w:lang w:val="en-US"/>
        </w:rPr>
        <w:t xml:space="preserve"> </w:t>
      </w:r>
      <w:r w:rsidR="00873C8D" w:rsidRPr="00507444">
        <w:rPr>
          <w:lang w:val="en-US"/>
        </w:rPr>
        <w:t>c</w:t>
      </w:r>
      <w:r w:rsidRPr="00507444">
        <w:rPr>
          <w:lang w:val="en-US"/>
        </w:rPr>
        <w:t>onsidering the differences as muc</w:t>
      </w:r>
      <w:r w:rsidR="00B047E8" w:rsidRPr="00507444">
        <w:rPr>
          <w:lang w:val="en-US"/>
        </w:rPr>
        <w:t>h as the perceived similarities</w:t>
      </w:r>
      <w:r w:rsidRPr="00507444">
        <w:rPr>
          <w:lang w:val="en-US"/>
        </w:rPr>
        <w:t xml:space="preserve">. </w:t>
      </w:r>
    </w:p>
    <w:p w14:paraId="500A816E" w14:textId="77777777" w:rsidR="00183AC0" w:rsidRDefault="00183AC0" w:rsidP="00CE1820">
      <w:pPr>
        <w:rPr>
          <w:lang w:val="en-US"/>
        </w:rPr>
      </w:pPr>
    </w:p>
    <w:p w14:paraId="13534D2D" w14:textId="77777777" w:rsidR="00066368" w:rsidRPr="00BD7537" w:rsidRDefault="00066368" w:rsidP="00CE1820">
      <w:pPr>
        <w:rPr>
          <w:lang w:val="en-US"/>
        </w:rPr>
      </w:pPr>
    </w:p>
    <w:p w14:paraId="3E142EFB" w14:textId="77777777" w:rsidR="00475CB9" w:rsidRDefault="00F02E30" w:rsidP="00CE1820">
      <w:pPr>
        <w:rPr>
          <w:b/>
        </w:rPr>
      </w:pPr>
      <w:r>
        <w:rPr>
          <w:b/>
          <w:lang w:val="en-US"/>
        </w:rPr>
        <w:t xml:space="preserve">Deeper Resonances - </w:t>
      </w:r>
      <w:r w:rsidR="00475CB9" w:rsidRPr="004841BC">
        <w:rPr>
          <w:b/>
        </w:rPr>
        <w:t>Historical Enquiry in Context</w:t>
      </w:r>
    </w:p>
    <w:p w14:paraId="5FAF272D" w14:textId="77777777" w:rsidR="00507444" w:rsidRPr="004841BC" w:rsidRDefault="00507444" w:rsidP="00CE1820">
      <w:pPr>
        <w:rPr>
          <w:b/>
        </w:rPr>
      </w:pPr>
    </w:p>
    <w:p w14:paraId="4071552F" w14:textId="2356ECC1" w:rsidR="00E56A10" w:rsidRDefault="00D6405F" w:rsidP="00CE1820">
      <w:r>
        <w:rPr>
          <w:lang w:val="en-US"/>
        </w:rPr>
        <w:t>Contemporary environmental law is primarily concerned with various aspects of the natural environment. ‘Environment’ is generally treated as relating to physical, non-human media (such as land and water) and wildlife.</w:t>
      </w:r>
      <w:r>
        <w:rPr>
          <w:rStyle w:val="FootnoteReference"/>
          <w:lang w:val="en-US"/>
        </w:rPr>
        <w:footnoteReference w:id="150"/>
      </w:r>
      <w:r>
        <w:rPr>
          <w:lang w:val="en-US"/>
        </w:rPr>
        <w:t xml:space="preserve"> </w:t>
      </w:r>
      <w:r w:rsidRPr="00BD7537">
        <w:rPr>
          <w:lang w:val="en-US"/>
        </w:rPr>
        <w:t xml:space="preserve">But that </w:t>
      </w:r>
      <w:r>
        <w:rPr>
          <w:lang w:val="en-US"/>
        </w:rPr>
        <w:t>concern</w:t>
      </w:r>
      <w:r w:rsidRPr="00BD7537">
        <w:rPr>
          <w:lang w:val="en-US"/>
        </w:rPr>
        <w:t xml:space="preserve"> is generally balanced with </w:t>
      </w:r>
      <w:r>
        <w:rPr>
          <w:lang w:val="en-US"/>
        </w:rPr>
        <w:t>consideration</w:t>
      </w:r>
      <w:r w:rsidRPr="00BD7537">
        <w:rPr>
          <w:lang w:val="en-US"/>
        </w:rPr>
        <w:t xml:space="preserve"> given to other environments </w:t>
      </w:r>
      <w:r>
        <w:rPr>
          <w:lang w:val="en-US"/>
        </w:rPr>
        <w:t>– social and economic:</w:t>
      </w:r>
      <w:r w:rsidRPr="00BD7537">
        <w:rPr>
          <w:lang w:val="en-US"/>
        </w:rPr>
        <w:t xml:space="preserve"> the core concept of ‘</w:t>
      </w:r>
      <w:r>
        <w:rPr>
          <w:i/>
          <w:lang w:val="en-US"/>
        </w:rPr>
        <w:t>S</w:t>
      </w:r>
      <w:r w:rsidRPr="00F6286F">
        <w:rPr>
          <w:i/>
          <w:lang w:val="en-US"/>
        </w:rPr>
        <w:t xml:space="preserve">ustainable </w:t>
      </w:r>
      <w:r>
        <w:rPr>
          <w:i/>
          <w:lang w:val="en-US"/>
        </w:rPr>
        <w:t>D</w:t>
      </w:r>
      <w:r w:rsidRPr="00F6286F">
        <w:rPr>
          <w:i/>
          <w:lang w:val="en-US"/>
        </w:rPr>
        <w:t>evelopment</w:t>
      </w:r>
      <w:r w:rsidRPr="00BD7537">
        <w:rPr>
          <w:lang w:val="en-US"/>
        </w:rPr>
        <w:t xml:space="preserve">’ </w:t>
      </w:r>
      <w:r w:rsidR="00DE7178">
        <w:rPr>
          <w:lang w:val="en-US"/>
        </w:rPr>
        <w:t>‘</w:t>
      </w:r>
      <w:r w:rsidRPr="00BD7537">
        <w:rPr>
          <w:lang w:val="en-US"/>
        </w:rPr>
        <w:t>synthesi</w:t>
      </w:r>
      <w:r>
        <w:rPr>
          <w:lang w:val="en-US"/>
        </w:rPr>
        <w:t>sing</w:t>
      </w:r>
      <w:r w:rsidRPr="00BD7537">
        <w:rPr>
          <w:lang w:val="en-US"/>
        </w:rPr>
        <w:t xml:space="preserve"> social, econ</w:t>
      </w:r>
      <w:r w:rsidR="00DE7178">
        <w:rPr>
          <w:lang w:val="en-US"/>
        </w:rPr>
        <w:t>omic and environmental concerns’</w:t>
      </w:r>
      <w:r w:rsidRPr="00BD7537">
        <w:rPr>
          <w:lang w:val="en-US"/>
        </w:rPr>
        <w:t>.</w:t>
      </w:r>
      <w:r w:rsidRPr="00BD7537">
        <w:rPr>
          <w:rStyle w:val="FootnoteReference"/>
          <w:lang w:val="en-US"/>
        </w:rPr>
        <w:footnoteReference w:id="151"/>
      </w:r>
      <w:r w:rsidRPr="00BD7537">
        <w:rPr>
          <w:lang w:val="en-US"/>
        </w:rPr>
        <w:t xml:space="preserve"> This conceptual approach both separates and connects the natural environment and other </w:t>
      </w:r>
      <w:r>
        <w:rPr>
          <w:lang w:val="en-US"/>
        </w:rPr>
        <w:t>matter</w:t>
      </w:r>
      <w:r w:rsidRPr="00BD7537">
        <w:rPr>
          <w:lang w:val="en-US"/>
        </w:rPr>
        <w:t>s, but these might equally be seen as different aspects of the human environment, or different (socially constructed) environments within which humans live.</w:t>
      </w:r>
      <w:r w:rsidRPr="00BD7537">
        <w:rPr>
          <w:rStyle w:val="FootnoteReference"/>
          <w:lang w:val="en-US"/>
        </w:rPr>
        <w:footnoteReference w:id="152"/>
      </w:r>
      <w:r w:rsidRPr="00BD7537">
        <w:rPr>
          <w:lang w:val="en-US"/>
        </w:rPr>
        <w:t xml:space="preserve"> </w:t>
      </w:r>
      <w:r w:rsidR="00507444">
        <w:rPr>
          <w:lang w:val="en-US"/>
        </w:rPr>
        <w:t>As the Contaminated land example illustrates, t</w:t>
      </w:r>
      <w:r w:rsidR="00C57D69" w:rsidRPr="004841BC">
        <w:rPr>
          <w:lang w:val="en-US"/>
        </w:rPr>
        <w:t xml:space="preserve">hough acknowledging earlier roots, environmental lawyers tend to focus on the </w:t>
      </w:r>
      <w:r w:rsidR="00AF3975">
        <w:rPr>
          <w:lang w:val="en-US"/>
        </w:rPr>
        <w:t>19</w:t>
      </w:r>
      <w:r w:rsidR="00AF3975" w:rsidRPr="00AF3975">
        <w:rPr>
          <w:vertAlign w:val="superscript"/>
          <w:lang w:val="en-US"/>
        </w:rPr>
        <w:t>th</w:t>
      </w:r>
      <w:r w:rsidR="00AF3975">
        <w:rPr>
          <w:lang w:val="en-US"/>
        </w:rPr>
        <w:t xml:space="preserve"> </w:t>
      </w:r>
      <w:r w:rsidR="00C57D69" w:rsidRPr="004841BC">
        <w:rPr>
          <w:lang w:val="en-US"/>
        </w:rPr>
        <w:t>century and large-scale Public Health interventions as the starting point for much historical enquiry.</w:t>
      </w:r>
      <w:r w:rsidR="00C57D69" w:rsidRPr="004841BC">
        <w:rPr>
          <w:rStyle w:val="FootnoteReference"/>
          <w:lang w:val="en-US"/>
        </w:rPr>
        <w:footnoteReference w:id="153"/>
      </w:r>
      <w:r w:rsidR="00C57D69" w:rsidRPr="004841BC">
        <w:rPr>
          <w:lang w:val="en-US"/>
        </w:rPr>
        <w:t xml:space="preserve"> Other investigation tends to be restricted to the development of the common law and private property rights</w:t>
      </w:r>
      <w:r w:rsidR="00475CB9" w:rsidRPr="004841BC">
        <w:rPr>
          <w:lang w:val="en-US"/>
        </w:rPr>
        <w:t>.</w:t>
      </w:r>
      <w:r w:rsidR="00C57D69" w:rsidRPr="004841BC">
        <w:rPr>
          <w:rStyle w:val="FootnoteReference"/>
          <w:lang w:val="en-US"/>
        </w:rPr>
        <w:footnoteReference w:id="154"/>
      </w:r>
      <w:r w:rsidR="00C57D69" w:rsidRPr="004841BC">
        <w:rPr>
          <w:lang w:val="en-US"/>
        </w:rPr>
        <w:t xml:space="preserve"> </w:t>
      </w:r>
      <w:r w:rsidR="00475CB9" w:rsidRPr="004841BC">
        <w:rPr>
          <w:lang w:val="en-US"/>
        </w:rPr>
        <w:t xml:space="preserve">Attention </w:t>
      </w:r>
      <w:r w:rsidR="00066368">
        <w:rPr>
          <w:lang w:val="en-US"/>
        </w:rPr>
        <w:t>is generally</w:t>
      </w:r>
      <w:r w:rsidR="00475CB9" w:rsidRPr="004841BC">
        <w:rPr>
          <w:lang w:val="en-US"/>
        </w:rPr>
        <w:t xml:space="preserve"> given </w:t>
      </w:r>
      <w:r w:rsidR="00C57D69" w:rsidRPr="004841BC">
        <w:t>to the initiation of a ‘coordinated’ response to environmental problems reflecting the recent ‘modern’ origins of the discipline.</w:t>
      </w:r>
      <w:r w:rsidR="00C57D69" w:rsidRPr="004841BC">
        <w:rPr>
          <w:rStyle w:val="FootnoteReference"/>
        </w:rPr>
        <w:footnoteReference w:id="155"/>
      </w:r>
      <w:r w:rsidR="00C57D69" w:rsidRPr="004841BC">
        <w:t xml:space="preserve"> </w:t>
      </w:r>
      <w:r w:rsidR="00475CB9" w:rsidRPr="004841BC">
        <w:t>Naturally, t</w:t>
      </w:r>
      <w:r w:rsidR="00C57D69" w:rsidRPr="004841BC">
        <w:t xml:space="preserve">hat focus frames the question of what 'environmental law' is/was retrospectively, using contemporary notions of the 'environment'. The aim is to trace and analyse the sources and linear development of regulation directed to protection of the environment as presently conceived. Whether conscious or not, it seems that a significant driver is the desire to establish the development of central organising principles for the discipline, over time. </w:t>
      </w:r>
    </w:p>
    <w:p w14:paraId="122174A9" w14:textId="77777777" w:rsidR="00E56A10" w:rsidRDefault="00E56A10" w:rsidP="00CE1820"/>
    <w:p w14:paraId="6D1DB068" w14:textId="012581D5" w:rsidR="00C57D69" w:rsidRPr="00DE7178" w:rsidRDefault="00E56A10" w:rsidP="00CE1820">
      <w:pPr>
        <w:rPr>
          <w:lang w:val="en-US"/>
        </w:rPr>
      </w:pPr>
      <w:r>
        <w:t>As both Douglas and Murray identify,</w:t>
      </w:r>
      <w:r>
        <w:rPr>
          <w:rStyle w:val="FootnoteReference"/>
        </w:rPr>
        <w:footnoteReference w:id="156"/>
      </w:r>
      <w:r>
        <w:t xml:space="preserve"> communities seek to protect themselves from ‘pollution fears’</w:t>
      </w:r>
      <w:r w:rsidR="00BD4EDC">
        <w:t>: the idea of pollution in that sense bei</w:t>
      </w:r>
      <w:r w:rsidR="00066368">
        <w:t>ng ‘a social mechanism for self</w:t>
      </w:r>
      <w:r w:rsidR="00BD4EDC">
        <w:t>–defence’</w:t>
      </w:r>
      <w:r>
        <w:t>.</w:t>
      </w:r>
      <w:r w:rsidR="00BD4EDC">
        <w:rPr>
          <w:rStyle w:val="FootnoteReference"/>
        </w:rPr>
        <w:footnoteReference w:id="157"/>
      </w:r>
      <w:r>
        <w:t xml:space="preserve"> </w:t>
      </w:r>
      <w:r w:rsidR="00BD4EDC">
        <w:t xml:space="preserve">Rather than attempting linear connections, </w:t>
      </w:r>
      <w:r w:rsidR="00C57D69" w:rsidRPr="004841BC">
        <w:t>we</w:t>
      </w:r>
      <w:r w:rsidR="00BD4EDC">
        <w:t xml:space="preserve"> can take an alternative approach</w:t>
      </w:r>
      <w:r w:rsidR="00475CB9" w:rsidRPr="004841BC">
        <w:t xml:space="preserve"> of</w:t>
      </w:r>
      <w:r w:rsidR="00C57D69" w:rsidRPr="004841BC">
        <w:t xml:space="preserve"> consider</w:t>
      </w:r>
      <w:r w:rsidR="00475CB9" w:rsidRPr="004841BC">
        <w:t>ing</w:t>
      </w:r>
      <w:r w:rsidR="00C57D69" w:rsidRPr="004841BC">
        <w:t xml:space="preserve"> how earlier societies</w:t>
      </w:r>
      <w:r w:rsidR="00715738" w:rsidRPr="004841BC">
        <w:t xml:space="preserve"> understood their 'environment'</w:t>
      </w:r>
      <w:r w:rsidR="00C57D69" w:rsidRPr="004841BC">
        <w:t xml:space="preserve"> and how they protected what were conside</w:t>
      </w:r>
      <w:r w:rsidR="00BD4EDC">
        <w:t>red the most important elements. T</w:t>
      </w:r>
      <w:r w:rsidR="00C57D69" w:rsidRPr="004841BC">
        <w:t xml:space="preserve">hat provides a very different </w:t>
      </w:r>
      <w:r w:rsidR="00715738" w:rsidRPr="004841BC">
        <w:t>perspective</w:t>
      </w:r>
      <w:r w:rsidR="00C57D69" w:rsidRPr="004841BC">
        <w:t xml:space="preserve"> for considering the nature of </w:t>
      </w:r>
      <w:r w:rsidR="00715738" w:rsidRPr="004841BC">
        <w:t>‘</w:t>
      </w:r>
      <w:r w:rsidR="00C57D69" w:rsidRPr="004841BC">
        <w:t>environmental protection</w:t>
      </w:r>
      <w:r w:rsidR="00715738" w:rsidRPr="004841BC">
        <w:t>’</w:t>
      </w:r>
      <w:r w:rsidR="00C57D69" w:rsidRPr="004841BC">
        <w:t xml:space="preserve">, and of behaviour connected to that. </w:t>
      </w:r>
      <w:r w:rsidR="00715738" w:rsidRPr="004841BC">
        <w:t>Although it may be impossible to discard entirely our contemporary frameworks, that viewpoint</w:t>
      </w:r>
      <w:r w:rsidR="00C57D69" w:rsidRPr="004841BC">
        <w:t xml:space="preserve"> requires the researcher to set aside current understandings and notions of the ‘environment’ and ask questions about how this was understood and experienced in different times. Importantly, it also seeks to develop understanding of how the environment, and its regulation, was meaningful for the ordinary citize</w:t>
      </w:r>
      <w:r w:rsidR="00715738" w:rsidRPr="004841BC">
        <w:t>n:</w:t>
      </w:r>
      <w:r w:rsidR="00C57D69" w:rsidRPr="004841BC">
        <w:t xml:space="preserve"> shift</w:t>
      </w:r>
      <w:r w:rsidR="00715738" w:rsidRPr="004841BC">
        <w:t>ing</w:t>
      </w:r>
      <w:r w:rsidR="00C57D69" w:rsidRPr="004841BC">
        <w:t xml:space="preserve"> from the study of environmental ‘legal history’ (as the historical development of the law),</w:t>
      </w:r>
      <w:r w:rsidR="00C57D69" w:rsidRPr="004841BC">
        <w:rPr>
          <w:rStyle w:val="FootnoteReference"/>
        </w:rPr>
        <w:footnoteReference w:id="158"/>
      </w:r>
      <w:r w:rsidR="00C57D69" w:rsidRPr="004841BC">
        <w:t xml:space="preserve"> to the exploration of ‘law and history’ (</w:t>
      </w:r>
      <w:r w:rsidR="00DE7178">
        <w:t>‘</w:t>
      </w:r>
      <w:r w:rsidR="00C57D69" w:rsidRPr="004841BC">
        <w:t>reconstructing the social li</w:t>
      </w:r>
      <w:r w:rsidR="00DE7178">
        <w:t>fe of the law in a given period’</w:t>
      </w:r>
      <w:r w:rsidR="00715738" w:rsidRPr="004841BC">
        <w:t>)</w:t>
      </w:r>
      <w:r w:rsidR="00C57D69" w:rsidRPr="004841BC">
        <w:rPr>
          <w:rStyle w:val="FootnoteReference"/>
        </w:rPr>
        <w:footnoteReference w:id="159"/>
      </w:r>
      <w:r w:rsidR="00C57D69" w:rsidRPr="004841BC">
        <w:t xml:space="preserve">. In </w:t>
      </w:r>
      <w:r w:rsidR="004841BC" w:rsidRPr="004841BC">
        <w:t>turn, embracing these differences prompts reflection on</w:t>
      </w:r>
      <w:r w:rsidR="00C57D69" w:rsidRPr="004841BC">
        <w:t xml:space="preserve"> societal differences more generally</w:t>
      </w:r>
      <w:r w:rsidR="004841BC" w:rsidRPr="004841BC">
        <w:t>, and on shifting values and priorities.</w:t>
      </w:r>
    </w:p>
    <w:p w14:paraId="27056744" w14:textId="77777777" w:rsidR="00183AC0" w:rsidRDefault="00183AC0" w:rsidP="00CE1820">
      <w:pPr>
        <w:rPr>
          <w:lang w:val="en-US"/>
        </w:rPr>
      </w:pPr>
    </w:p>
    <w:p w14:paraId="142E4DDA" w14:textId="77777777" w:rsidR="00BD6A98" w:rsidRPr="00BD7537" w:rsidRDefault="00BD6A98" w:rsidP="00CE1820">
      <w:pPr>
        <w:rPr>
          <w:lang w:val="en-US"/>
        </w:rPr>
      </w:pPr>
    </w:p>
    <w:p w14:paraId="15575B52" w14:textId="77777777" w:rsidR="00183AC0" w:rsidRPr="00284492" w:rsidRDefault="00183AC0" w:rsidP="00CE1820">
      <w:pPr>
        <w:rPr>
          <w:b/>
          <w:lang w:val="en-US"/>
        </w:rPr>
      </w:pPr>
      <w:r w:rsidRPr="00284492">
        <w:rPr>
          <w:b/>
          <w:lang w:val="en-US"/>
        </w:rPr>
        <w:t>The Medieval Context</w:t>
      </w:r>
    </w:p>
    <w:p w14:paraId="5357146E" w14:textId="77777777" w:rsidR="00183AC0" w:rsidRPr="00BD7537" w:rsidRDefault="00183AC0" w:rsidP="00CE1820">
      <w:pPr>
        <w:rPr>
          <w:lang w:val="en-US"/>
        </w:rPr>
      </w:pPr>
    </w:p>
    <w:p w14:paraId="17F156F6" w14:textId="72CEB33F" w:rsidR="00DE7178" w:rsidRDefault="00183AC0" w:rsidP="00CE1820">
      <w:pPr>
        <w:rPr>
          <w:lang w:val="en-US"/>
        </w:rPr>
      </w:pPr>
      <w:r w:rsidRPr="00BD7537">
        <w:rPr>
          <w:lang w:val="en-US"/>
        </w:rPr>
        <w:t>In analys</w:t>
      </w:r>
      <w:r w:rsidR="00441B7E">
        <w:rPr>
          <w:lang w:val="en-US"/>
        </w:rPr>
        <w:t>ing the medieval regulation of Church P</w:t>
      </w:r>
      <w:r w:rsidRPr="00BD7537">
        <w:rPr>
          <w:lang w:val="en-US"/>
        </w:rPr>
        <w:t xml:space="preserve">ollution, </w:t>
      </w:r>
      <w:r w:rsidR="00002FB4">
        <w:rPr>
          <w:lang w:val="en-US"/>
        </w:rPr>
        <w:t>the significance of t</w:t>
      </w:r>
      <w:r w:rsidRPr="00BD7537">
        <w:rPr>
          <w:lang w:val="en-US"/>
        </w:rPr>
        <w:t xml:space="preserve">he </w:t>
      </w:r>
      <w:r>
        <w:rPr>
          <w:lang w:val="en-US"/>
        </w:rPr>
        <w:t>church</w:t>
      </w:r>
      <w:r w:rsidRPr="00BD7537">
        <w:rPr>
          <w:lang w:val="en-US"/>
        </w:rPr>
        <w:t xml:space="preserve"> as an institution and Canon Law </w:t>
      </w:r>
      <w:r w:rsidR="00002FB4">
        <w:rPr>
          <w:lang w:val="en-US"/>
        </w:rPr>
        <w:t>as a central feature of daily life is hard to over-state.</w:t>
      </w:r>
      <w:r w:rsidRPr="00BD7537">
        <w:rPr>
          <w:lang w:val="en-US"/>
        </w:rPr>
        <w:t xml:space="preserve"> All ‘lawful men’ were Christian</w:t>
      </w:r>
      <w:r>
        <w:rPr>
          <w:lang w:val="en-US"/>
        </w:rPr>
        <w:t>,</w:t>
      </w:r>
      <w:r w:rsidRPr="00BD7537">
        <w:rPr>
          <w:rStyle w:val="FootnoteReference"/>
          <w:lang w:val="en-US"/>
        </w:rPr>
        <w:footnoteReference w:id="160"/>
      </w:r>
      <w:r>
        <w:rPr>
          <w:lang w:val="en-US"/>
        </w:rPr>
        <w:t xml:space="preserve"> and there was only one ‘church’</w:t>
      </w:r>
      <w:r w:rsidR="00DE7178">
        <w:rPr>
          <w:lang w:val="en-US"/>
        </w:rPr>
        <w:t>:</w:t>
      </w:r>
      <w:r>
        <w:rPr>
          <w:rStyle w:val="FootnoteReference"/>
          <w:lang w:val="en-US"/>
        </w:rPr>
        <w:footnoteReference w:id="161"/>
      </w:r>
      <w:r w:rsidRPr="00BD7537">
        <w:rPr>
          <w:lang w:val="en-US"/>
        </w:rPr>
        <w:t xml:space="preserve"> </w:t>
      </w:r>
    </w:p>
    <w:p w14:paraId="7DD6201E" w14:textId="77777777" w:rsidR="00DE7178" w:rsidRDefault="00DE7178" w:rsidP="00CE1820">
      <w:pPr>
        <w:rPr>
          <w:lang w:val="en-US"/>
        </w:rPr>
      </w:pPr>
    </w:p>
    <w:p w14:paraId="1A9B0853" w14:textId="77777777" w:rsidR="00DE7178" w:rsidRDefault="00DE7178" w:rsidP="00CE1820">
      <w:pPr>
        <w:ind w:left="567" w:right="602"/>
        <w:rPr>
          <w:lang w:val="en-US"/>
        </w:rPr>
      </w:pPr>
      <w:r>
        <w:rPr>
          <w:lang w:val="en-US"/>
        </w:rPr>
        <w:t>‘</w:t>
      </w:r>
      <w:r w:rsidR="00183AC0" w:rsidRPr="00BD7537">
        <w:rPr>
          <w:lang w:val="en-US"/>
        </w:rPr>
        <w:t>[C]anon law formed a crucial component of medieval life and thought. Its rules affected the lives and actions of practically everyone. Its enforcement mechanisms were increasingly able to reach into everyday affairs at all social levels.</w:t>
      </w:r>
      <w:r>
        <w:rPr>
          <w:lang w:val="en-US"/>
        </w:rPr>
        <w:t>’</w:t>
      </w:r>
      <w:r w:rsidR="00183AC0" w:rsidRPr="00BD7537">
        <w:rPr>
          <w:rStyle w:val="FootnoteReference"/>
          <w:lang w:val="en-US"/>
        </w:rPr>
        <w:footnoteReference w:id="162"/>
      </w:r>
      <w:r w:rsidR="00183AC0" w:rsidRPr="00BD7537">
        <w:rPr>
          <w:lang w:val="en-US"/>
        </w:rPr>
        <w:t xml:space="preserve"> </w:t>
      </w:r>
    </w:p>
    <w:p w14:paraId="02614B67" w14:textId="77777777" w:rsidR="00DE7178" w:rsidRDefault="00DE7178" w:rsidP="00CE1820">
      <w:pPr>
        <w:rPr>
          <w:lang w:val="en-US"/>
        </w:rPr>
      </w:pPr>
    </w:p>
    <w:p w14:paraId="4EB7B047" w14:textId="489B2182" w:rsidR="00183AC0" w:rsidRPr="00BD7537" w:rsidRDefault="00183AC0" w:rsidP="00CE1820">
      <w:pPr>
        <w:rPr>
          <w:lang w:val="en-US"/>
        </w:rPr>
      </w:pPr>
      <w:r w:rsidRPr="00BD7537">
        <w:rPr>
          <w:lang w:val="en-US"/>
        </w:rPr>
        <w:t xml:space="preserve">The </w:t>
      </w:r>
      <w:r>
        <w:rPr>
          <w:lang w:val="en-US"/>
        </w:rPr>
        <w:t>church</w:t>
      </w:r>
      <w:r w:rsidRPr="00BD7537">
        <w:rPr>
          <w:lang w:val="en-US"/>
        </w:rPr>
        <w:t xml:space="preserve"> had tremendous importance as a social resource as it was the hub </w:t>
      </w:r>
      <w:r>
        <w:rPr>
          <w:lang w:val="en-US"/>
        </w:rPr>
        <w:t xml:space="preserve">(as well as the heart) </w:t>
      </w:r>
      <w:r w:rsidRPr="00BD7537">
        <w:rPr>
          <w:lang w:val="en-US"/>
        </w:rPr>
        <w:t>of many communities, being used for a variety of purposes as well as religious activities. With the exception of taverns, churches were often the sole public buildings in communities, and were often the only suitable place for secular events to be held.</w:t>
      </w:r>
      <w:r w:rsidRPr="00BD7537">
        <w:rPr>
          <w:rStyle w:val="FootnoteReference"/>
          <w:lang w:val="en-US"/>
        </w:rPr>
        <w:footnoteReference w:id="163"/>
      </w:r>
      <w:r w:rsidRPr="00BD7537">
        <w:rPr>
          <w:lang w:val="en-US"/>
        </w:rPr>
        <w:t xml:space="preserve"> As such, they combined both recreational and holy spaces,</w:t>
      </w:r>
      <w:r w:rsidRPr="00BD7537">
        <w:rPr>
          <w:rStyle w:val="FootnoteReference"/>
          <w:lang w:val="en-US"/>
        </w:rPr>
        <w:footnoteReference w:id="164"/>
      </w:r>
      <w:r w:rsidRPr="00BD7537">
        <w:rPr>
          <w:lang w:val="en-US"/>
        </w:rPr>
        <w:t xml:space="preserve"> being used for activities such as ‘church ales’ </w:t>
      </w:r>
      <w:r w:rsidRPr="00BD7537">
        <w:t>as well as more sacred uses</w:t>
      </w:r>
      <w:r w:rsidRPr="00BD7537">
        <w:rPr>
          <w:lang w:val="en-US"/>
        </w:rPr>
        <w:t xml:space="preserve">. </w:t>
      </w:r>
    </w:p>
    <w:p w14:paraId="77F27858" w14:textId="77777777" w:rsidR="00183AC0" w:rsidRPr="00BD7537" w:rsidRDefault="00183AC0" w:rsidP="00CE1820">
      <w:pPr>
        <w:rPr>
          <w:lang w:val="en-US"/>
        </w:rPr>
      </w:pPr>
    </w:p>
    <w:p w14:paraId="2BFFBF08" w14:textId="10167E30" w:rsidR="00183AC0" w:rsidRDefault="00183AC0" w:rsidP="00CE1820">
      <w:pPr>
        <w:rPr>
          <w:lang w:val="en-US"/>
        </w:rPr>
      </w:pPr>
      <w:r w:rsidRPr="00BD7537">
        <w:rPr>
          <w:lang w:val="en-US"/>
        </w:rPr>
        <w:t xml:space="preserve">Religion itself was a part of medieval life in a way that is difficult to comprehend today, </w:t>
      </w:r>
      <w:r w:rsidR="00DE7178">
        <w:rPr>
          <w:lang w:val="en-US"/>
        </w:rPr>
        <w:t>‘</w:t>
      </w:r>
      <w:r w:rsidRPr="00BD7537">
        <w:rPr>
          <w:lang w:val="en-US"/>
        </w:rPr>
        <w:t>The dominance of the church within medieval European so</w:t>
      </w:r>
      <w:r w:rsidR="00DE7178">
        <w:rPr>
          <w:lang w:val="en-US"/>
        </w:rPr>
        <w:t>ciety […] an obvious truism […]’</w:t>
      </w:r>
      <w:r w:rsidRPr="00BD7537">
        <w:rPr>
          <w:lang w:val="en-US"/>
        </w:rPr>
        <w:t>.</w:t>
      </w:r>
      <w:r w:rsidRPr="00BD7537">
        <w:rPr>
          <w:rStyle w:val="FootnoteReference"/>
          <w:lang w:val="en-US"/>
        </w:rPr>
        <w:footnoteReference w:id="165"/>
      </w:r>
      <w:r w:rsidRPr="00BD7537">
        <w:rPr>
          <w:lang w:val="en-US"/>
        </w:rPr>
        <w:t xml:space="preserve"> In part, this was reflected in the coercive power of the </w:t>
      </w:r>
      <w:r>
        <w:rPr>
          <w:lang w:val="en-US"/>
        </w:rPr>
        <w:t>church</w:t>
      </w:r>
      <w:r w:rsidRPr="00BD7537">
        <w:rPr>
          <w:lang w:val="en-US"/>
        </w:rPr>
        <w:t xml:space="preserve">: failure to attend church services was itself an offence. The centrality of the (Catholic) church to life in Medieval England meant that the effect of excommunication was not simply to exclude from the church and its ‘communion’, but </w:t>
      </w:r>
      <w:r>
        <w:rPr>
          <w:lang w:val="en-US"/>
        </w:rPr>
        <w:t>practical</w:t>
      </w:r>
      <w:r w:rsidRPr="00BD7537">
        <w:rPr>
          <w:lang w:val="en-US"/>
        </w:rPr>
        <w:t>ly from the whole</w:t>
      </w:r>
      <w:r w:rsidR="00062975">
        <w:rPr>
          <w:lang w:val="en-US"/>
        </w:rPr>
        <w:t xml:space="preserve"> of society.</w:t>
      </w:r>
      <w:r w:rsidR="0035146C">
        <w:rPr>
          <w:rStyle w:val="FootnoteReference"/>
          <w:lang w:val="en-US"/>
        </w:rPr>
        <w:footnoteReference w:id="166"/>
      </w:r>
      <w:r w:rsidR="00062975">
        <w:rPr>
          <w:lang w:val="en-US"/>
        </w:rPr>
        <w:t xml:space="preserve"> Those who fraternis</w:t>
      </w:r>
      <w:r w:rsidRPr="00BD7537">
        <w:rPr>
          <w:lang w:val="en-US"/>
        </w:rPr>
        <w:t>ed with excommunicates would be themselves excommunicated. Further impacts could be to deprive a pregnant woman from the services of midwives,</w:t>
      </w:r>
      <w:r w:rsidRPr="00BD7537">
        <w:rPr>
          <w:rStyle w:val="FootnoteReference"/>
          <w:lang w:val="en-US"/>
        </w:rPr>
        <w:footnoteReference w:id="167"/>
      </w:r>
      <w:r w:rsidRPr="00BD7537">
        <w:rPr>
          <w:lang w:val="en-US"/>
        </w:rPr>
        <w:t xml:space="preserve"> deprive someone of their opportunities to work or to pursue a legal case,</w:t>
      </w:r>
      <w:r w:rsidRPr="00BD7537">
        <w:rPr>
          <w:rStyle w:val="FootnoteReference"/>
          <w:lang w:val="en-US"/>
        </w:rPr>
        <w:footnoteReference w:id="168"/>
      </w:r>
      <w:r w:rsidRPr="00BD7537">
        <w:rPr>
          <w:lang w:val="en-US"/>
        </w:rPr>
        <w:t xml:space="preserve"> and to prevent them from making a Will, for example. In theory, it made the subject a dishonoured outcast of both temporal and spiritual world</w:t>
      </w:r>
      <w:r>
        <w:rPr>
          <w:lang w:val="en-US"/>
        </w:rPr>
        <w:t>;</w:t>
      </w:r>
      <w:r w:rsidRPr="00BD7537">
        <w:rPr>
          <w:rStyle w:val="FootnoteReference"/>
          <w:lang w:val="en-US"/>
        </w:rPr>
        <w:footnoteReference w:id="169"/>
      </w:r>
      <w:r w:rsidR="00DE7178">
        <w:rPr>
          <w:lang w:val="en-US"/>
        </w:rPr>
        <w:t xml:space="preserve"> ‘</w:t>
      </w:r>
      <w:r w:rsidRPr="00BD7537">
        <w:rPr>
          <w:lang w:val="en-US"/>
        </w:rPr>
        <w:t>He was a</w:t>
      </w:r>
      <w:r w:rsidR="00DE7178">
        <w:rPr>
          <w:lang w:val="en-US"/>
        </w:rPr>
        <w:t xml:space="preserve"> man with a leprosy of the soul’</w:t>
      </w:r>
      <w:r w:rsidRPr="00BD7537">
        <w:rPr>
          <w:lang w:val="en-US"/>
        </w:rPr>
        <w:t>.</w:t>
      </w:r>
      <w:r w:rsidRPr="00BD7537">
        <w:rPr>
          <w:rStyle w:val="FootnoteReference"/>
          <w:lang w:val="en-US"/>
        </w:rPr>
        <w:footnoteReference w:id="170"/>
      </w:r>
      <w:r w:rsidRPr="00BD7537">
        <w:rPr>
          <w:lang w:val="en-US"/>
        </w:rPr>
        <w:t xml:space="preserve"> </w:t>
      </w:r>
    </w:p>
    <w:p w14:paraId="0D506183" w14:textId="77777777" w:rsidR="00183AC0" w:rsidRDefault="00183AC0" w:rsidP="00CE1820">
      <w:pPr>
        <w:rPr>
          <w:lang w:val="en-US"/>
        </w:rPr>
      </w:pPr>
    </w:p>
    <w:p w14:paraId="0BD61BCF" w14:textId="01A4BB98" w:rsidR="00183AC0" w:rsidRPr="00BD7537" w:rsidRDefault="00183AC0" w:rsidP="006703A0">
      <w:pPr>
        <w:rPr>
          <w:lang w:val="en-US"/>
        </w:rPr>
      </w:pPr>
      <w:r>
        <w:rPr>
          <w:lang w:val="en-US"/>
        </w:rPr>
        <w:t xml:space="preserve">Though such ostracism had practical consequences, there were equally significant impacts in the form of denial of spiritual benefits, as well as the humiliation of sinful behaviour. </w:t>
      </w:r>
      <w:r w:rsidR="00DE7178">
        <w:rPr>
          <w:lang w:val="en-US"/>
        </w:rPr>
        <w:t>‘</w:t>
      </w:r>
      <w:r>
        <w:rPr>
          <w:lang w:val="en-US"/>
        </w:rPr>
        <w:t>In theory […] excommunication was the most serious disaster that could ever befall a man, because it cut at the roots not only of his li</w:t>
      </w:r>
      <w:r w:rsidR="00DE7178">
        <w:rPr>
          <w:lang w:val="en-US"/>
        </w:rPr>
        <w:t>fe temporal but of life eternal’</w:t>
      </w:r>
      <w:r>
        <w:rPr>
          <w:lang w:val="en-US"/>
        </w:rPr>
        <w:t>.</w:t>
      </w:r>
      <w:r>
        <w:rPr>
          <w:rStyle w:val="FootnoteReference"/>
          <w:lang w:val="en-US"/>
        </w:rPr>
        <w:footnoteReference w:id="171"/>
      </w:r>
      <w:r>
        <w:rPr>
          <w:lang w:val="en-US"/>
        </w:rPr>
        <w:t xml:space="preserve"> </w:t>
      </w:r>
      <w:r w:rsidR="006703A0">
        <w:rPr>
          <w:lang w:val="en-US"/>
        </w:rPr>
        <w:t>T</w:t>
      </w:r>
      <w:r w:rsidRPr="00BD7537">
        <w:rPr>
          <w:lang w:val="en-US"/>
        </w:rPr>
        <w:t>he most significant feature of this world was perhaps the</w:t>
      </w:r>
      <w:r>
        <w:rPr>
          <w:lang w:val="en-US"/>
        </w:rPr>
        <w:t xml:space="preserve"> ‘Medieval M</w:t>
      </w:r>
      <w:r w:rsidRPr="00BD7537">
        <w:rPr>
          <w:lang w:val="en-US"/>
        </w:rPr>
        <w:t>ind’</w:t>
      </w:r>
      <w:r>
        <w:rPr>
          <w:lang w:val="en-US"/>
        </w:rPr>
        <w:t xml:space="preserve">s </w:t>
      </w:r>
      <w:r w:rsidRPr="00BD7537">
        <w:rPr>
          <w:lang w:val="en-US"/>
        </w:rPr>
        <w:t xml:space="preserve">view of the temporal world. Life on earth was considered merely a preparatory step before the far more significant ‘life beyond’. Spiritual afterlife and concerns about eternal damnation were very real. In many ways, the implications of acts for a soul in the afterlife were much more of an anxiety than for those in earthly life. Though willingness to use violence and honour were vitally important to </w:t>
      </w:r>
      <w:r>
        <w:rPr>
          <w:lang w:val="en-US"/>
        </w:rPr>
        <w:t>medieval</w:t>
      </w:r>
      <w:r w:rsidRPr="00BD7537">
        <w:rPr>
          <w:lang w:val="en-US"/>
        </w:rPr>
        <w:t xml:space="preserve"> people, even more so was religion as </w:t>
      </w:r>
      <w:r w:rsidR="00DE7178">
        <w:rPr>
          <w:lang w:val="en-US"/>
        </w:rPr>
        <w:t>‘the caretaker of their souls’</w:t>
      </w:r>
      <w:r w:rsidRPr="00BD7537">
        <w:rPr>
          <w:lang w:val="en-US"/>
        </w:rPr>
        <w:t>.</w:t>
      </w:r>
      <w:r w:rsidRPr="00BD7537">
        <w:rPr>
          <w:rStyle w:val="FootnoteReference"/>
          <w:lang w:val="en-US"/>
        </w:rPr>
        <w:footnoteReference w:id="172"/>
      </w:r>
      <w:r w:rsidRPr="00BD7537">
        <w:rPr>
          <w:lang w:val="en-US"/>
        </w:rPr>
        <w:t xml:space="preserve"> Church services, prayers, and other acts of religious devotion were thought to have clear and direct relationships with the course of life after death. One example of this is the belief that prayers said in church after death could shorten the time spent in purgatory, or even ‘save souls’.</w:t>
      </w:r>
      <w:r w:rsidR="00722FAA">
        <w:rPr>
          <w:rStyle w:val="FootnoteReference"/>
          <w:lang w:val="en-US"/>
        </w:rPr>
        <w:footnoteReference w:id="173"/>
      </w:r>
      <w:r w:rsidR="00441B7E">
        <w:rPr>
          <w:lang w:val="en-US"/>
        </w:rPr>
        <w:t xml:space="preserve"> In the context of Church P</w:t>
      </w:r>
      <w:r w:rsidRPr="00BD7537">
        <w:rPr>
          <w:lang w:val="en-US"/>
        </w:rPr>
        <w:t>ollution, therefore, the sanctity and holiness of the spa</w:t>
      </w:r>
      <w:r>
        <w:rPr>
          <w:lang w:val="en-US"/>
        </w:rPr>
        <w:t xml:space="preserve">ce itself was clearly a </w:t>
      </w:r>
      <w:r w:rsidRPr="00BD7537">
        <w:rPr>
          <w:lang w:val="en-US"/>
        </w:rPr>
        <w:t>motivation for compliance with Canon Law</w:t>
      </w:r>
      <w:r w:rsidR="00D6405F">
        <w:rPr>
          <w:lang w:val="en-US"/>
        </w:rPr>
        <w:t>. I</w:t>
      </w:r>
      <w:r w:rsidRPr="00BD7537">
        <w:rPr>
          <w:lang w:val="en-US"/>
        </w:rPr>
        <w:t>t seems</w:t>
      </w:r>
      <w:r w:rsidR="00D6405F">
        <w:rPr>
          <w:lang w:val="en-US"/>
        </w:rPr>
        <w:t>, however,</w:t>
      </w:r>
      <w:r w:rsidRPr="00BD7537">
        <w:rPr>
          <w:lang w:val="en-US"/>
        </w:rPr>
        <w:t xml:space="preserve"> that many concerns of those involved were linked to the services provided</w:t>
      </w:r>
      <w:r w:rsidR="00D6405F">
        <w:rPr>
          <w:lang w:val="en-US"/>
        </w:rPr>
        <w:t>, their</w:t>
      </w:r>
      <w:r w:rsidR="00873C8D">
        <w:rPr>
          <w:lang w:val="en-US"/>
        </w:rPr>
        <w:t xml:space="preserve"> relationship with</w:t>
      </w:r>
      <w:r w:rsidRPr="00BD7537">
        <w:rPr>
          <w:lang w:val="en-US"/>
        </w:rPr>
        <w:t xml:space="preserve"> the spiritual environment and</w:t>
      </w:r>
      <w:r w:rsidR="00D6405F">
        <w:rPr>
          <w:lang w:val="en-US"/>
        </w:rPr>
        <w:t>,</w:t>
      </w:r>
      <w:r w:rsidRPr="00BD7537">
        <w:rPr>
          <w:lang w:val="en-US"/>
        </w:rPr>
        <w:t xml:space="preserve"> in particular</w:t>
      </w:r>
      <w:r w:rsidR="00D6405F">
        <w:rPr>
          <w:lang w:val="en-US"/>
        </w:rPr>
        <w:t>,</w:t>
      </w:r>
      <w:r w:rsidRPr="00BD7537">
        <w:rPr>
          <w:lang w:val="en-US"/>
        </w:rPr>
        <w:t xml:space="preserve"> </w:t>
      </w:r>
      <w:r w:rsidR="006703A0">
        <w:rPr>
          <w:lang w:val="en-US"/>
        </w:rPr>
        <w:t xml:space="preserve">fears as to </w:t>
      </w:r>
      <w:r w:rsidRPr="00BD7537">
        <w:rPr>
          <w:lang w:val="en-US"/>
        </w:rPr>
        <w:t>the consequences for congregants in the afterlife.</w:t>
      </w:r>
      <w:r w:rsidRPr="00BD7537">
        <w:rPr>
          <w:rStyle w:val="FootnoteReference"/>
          <w:lang w:val="en-US"/>
        </w:rPr>
        <w:footnoteReference w:id="174"/>
      </w:r>
      <w:r w:rsidRPr="00BD7537">
        <w:rPr>
          <w:lang w:val="en-US"/>
        </w:rPr>
        <w:t xml:space="preserve"> </w:t>
      </w:r>
    </w:p>
    <w:p w14:paraId="2FF58AAC" w14:textId="77777777" w:rsidR="00183AC0" w:rsidRPr="00BD7537" w:rsidRDefault="00183AC0" w:rsidP="00CE1820">
      <w:pPr>
        <w:rPr>
          <w:lang w:val="en-US"/>
        </w:rPr>
      </w:pPr>
    </w:p>
    <w:p w14:paraId="79D5C458" w14:textId="57F9DFEE" w:rsidR="00722FAA" w:rsidRDefault="00873C8D" w:rsidP="00CE1820">
      <w:pPr>
        <w:rPr>
          <w:lang w:val="en-US"/>
        </w:rPr>
      </w:pPr>
      <w:r w:rsidRPr="00BD7537">
        <w:rPr>
          <w:lang w:val="en-US"/>
        </w:rPr>
        <w:t>That is not to say that physical and verbal aggression involving sacred persons and spaces were entirely foreign to parish life, of course.</w:t>
      </w:r>
      <w:r w:rsidRPr="00BD7537">
        <w:rPr>
          <w:rStyle w:val="FootnoteReference"/>
          <w:lang w:val="en-US"/>
        </w:rPr>
        <w:footnoteReference w:id="175"/>
      </w:r>
      <w:r w:rsidRPr="00BD7537">
        <w:rPr>
          <w:lang w:val="en-US"/>
        </w:rPr>
        <w:t xml:space="preserve"> The records show plenty of brawling and profanity in churchyards,</w:t>
      </w:r>
      <w:r w:rsidRPr="00BD7537">
        <w:rPr>
          <w:rStyle w:val="FootnoteReference"/>
          <w:lang w:val="en-US"/>
        </w:rPr>
        <w:footnoteReference w:id="176"/>
      </w:r>
      <w:r w:rsidRPr="00BD7537">
        <w:rPr>
          <w:lang w:val="en-US"/>
        </w:rPr>
        <w:t xml:space="preserve"> and cases of violent behaviour in churches suggesting the perpetrators had no explicit concern for spiritual ideals or religious prohibitions.</w:t>
      </w:r>
      <w:r w:rsidRPr="00BD7537">
        <w:rPr>
          <w:rStyle w:val="FootnoteReference"/>
          <w:lang w:val="en-US"/>
        </w:rPr>
        <w:footnoteReference w:id="177"/>
      </w:r>
      <w:r w:rsidRPr="00BD7537">
        <w:rPr>
          <w:lang w:val="en-US"/>
        </w:rPr>
        <w:t xml:space="preserve"> </w:t>
      </w:r>
      <w:r w:rsidR="00183AC0" w:rsidRPr="00BD7537">
        <w:rPr>
          <w:lang w:val="en-US"/>
        </w:rPr>
        <w:t>Evidence as to the elevation of spiritual as opposed to temporal consequences can be found</w:t>
      </w:r>
      <w:r>
        <w:rPr>
          <w:lang w:val="en-US"/>
        </w:rPr>
        <w:t>, however,</w:t>
      </w:r>
      <w:r w:rsidR="00183AC0" w:rsidRPr="00BD7537">
        <w:rPr>
          <w:lang w:val="en-US"/>
        </w:rPr>
        <w:t xml:space="preserve"> in the ‘civilising’ effect </w:t>
      </w:r>
      <w:r w:rsidR="00066368">
        <w:rPr>
          <w:lang w:val="en-US"/>
        </w:rPr>
        <w:t xml:space="preserve">Thiery </w:t>
      </w:r>
      <w:r w:rsidR="00183AC0" w:rsidRPr="00BD7537">
        <w:rPr>
          <w:lang w:val="en-US"/>
        </w:rPr>
        <w:t>argue</w:t>
      </w:r>
      <w:r w:rsidR="00066368">
        <w:rPr>
          <w:lang w:val="en-US"/>
        </w:rPr>
        <w:t>s</w:t>
      </w:r>
      <w:r w:rsidR="00183AC0" w:rsidRPr="00BD7537">
        <w:rPr>
          <w:lang w:val="en-US"/>
        </w:rPr>
        <w:t xml:space="preserve"> to have resulted from the protection of sacred spaces. Despite the horrific sanctions that could be employed in cases of violence in the secular jurisdictions (including branding of faces, amputation of limbs and death), it appears that the </w:t>
      </w:r>
      <w:r>
        <w:rPr>
          <w:lang w:val="en-US"/>
        </w:rPr>
        <w:t xml:space="preserve">usually </w:t>
      </w:r>
      <w:r w:rsidR="00183AC0" w:rsidRPr="00BD7537">
        <w:rPr>
          <w:lang w:val="en-US"/>
        </w:rPr>
        <w:t xml:space="preserve">physically ‘mild’ punishments deployed by the </w:t>
      </w:r>
      <w:r w:rsidR="00183AC0">
        <w:rPr>
          <w:lang w:val="en-US"/>
        </w:rPr>
        <w:t>church</w:t>
      </w:r>
      <w:r w:rsidR="00183AC0" w:rsidRPr="00BD7537">
        <w:rPr>
          <w:lang w:val="en-US"/>
        </w:rPr>
        <w:t xml:space="preserve"> courts did not provide an incentive to undertake violent acts on church property (indeed, quite the opposite</w:t>
      </w:r>
      <w:r w:rsidR="00183AC0">
        <w:rPr>
          <w:lang w:val="en-US"/>
        </w:rPr>
        <w:t xml:space="preserve"> in many instances</w:t>
      </w:r>
      <w:r w:rsidR="00183AC0" w:rsidRPr="00BD7537">
        <w:rPr>
          <w:lang w:val="en-US"/>
        </w:rPr>
        <w:t>). There are a number of cases demonstrating a desire to fight outside church property, and the use of that as a ‘sanctuary’, relying on others’ reluctance to undertake violent acts there.</w:t>
      </w:r>
      <w:r w:rsidR="00183AC0" w:rsidRPr="00BD7537">
        <w:rPr>
          <w:rStyle w:val="FootnoteReference"/>
          <w:lang w:val="en-US"/>
        </w:rPr>
        <w:footnoteReference w:id="178"/>
      </w:r>
      <w:r w:rsidR="00183AC0" w:rsidRPr="00BD7537">
        <w:rPr>
          <w:lang w:val="en-US"/>
        </w:rPr>
        <w:t xml:space="preserve"> Other examples can be found suggesting that force would be used with restraint, or avoided, in holy spaces, to avoid </w:t>
      </w:r>
      <w:r w:rsidR="00DE7178">
        <w:rPr>
          <w:lang w:val="en-US"/>
        </w:rPr>
        <w:t>‘</w:t>
      </w:r>
      <w:r w:rsidR="00183AC0" w:rsidRPr="00BD7537">
        <w:rPr>
          <w:lang w:val="en-US"/>
        </w:rPr>
        <w:t>crossing certa</w:t>
      </w:r>
      <w:r w:rsidR="00DE7178">
        <w:rPr>
          <w:lang w:val="en-US"/>
        </w:rPr>
        <w:t>in literal and figurative lines’</w:t>
      </w:r>
      <w:r w:rsidR="00183AC0" w:rsidRPr="00BD7537">
        <w:rPr>
          <w:lang w:val="en-US"/>
        </w:rPr>
        <w:t>.</w:t>
      </w:r>
      <w:r w:rsidR="00183AC0" w:rsidRPr="00BD7537">
        <w:rPr>
          <w:rStyle w:val="FootnoteReference"/>
          <w:lang w:val="en-US"/>
        </w:rPr>
        <w:footnoteReference w:id="179"/>
      </w:r>
      <w:r w:rsidR="00183AC0" w:rsidRPr="00BD7537">
        <w:rPr>
          <w:lang w:val="en-US"/>
        </w:rPr>
        <w:t xml:space="preserve"> </w:t>
      </w:r>
    </w:p>
    <w:p w14:paraId="18DA5856" w14:textId="77777777" w:rsidR="00183AC0" w:rsidRPr="00BD7537" w:rsidRDefault="00183AC0" w:rsidP="00CE1820">
      <w:pPr>
        <w:rPr>
          <w:lang w:val="en-US"/>
        </w:rPr>
      </w:pPr>
    </w:p>
    <w:p w14:paraId="76EC40A1" w14:textId="02D212B1" w:rsidR="006703A0" w:rsidRPr="00BD7537" w:rsidRDefault="00183AC0" w:rsidP="006703A0">
      <w:pPr>
        <w:rPr>
          <w:lang w:val="en-US"/>
        </w:rPr>
      </w:pPr>
      <w:r>
        <w:rPr>
          <w:lang w:val="en-US"/>
        </w:rPr>
        <w:t>So t</w:t>
      </w:r>
      <w:r w:rsidRPr="00BD7537">
        <w:rPr>
          <w:lang w:val="en-US"/>
        </w:rPr>
        <w:t>he concern a</w:t>
      </w:r>
      <w:r>
        <w:rPr>
          <w:lang w:val="en-US"/>
        </w:rPr>
        <w:t>bout</w:t>
      </w:r>
      <w:r w:rsidRPr="00BD7537">
        <w:rPr>
          <w:lang w:val="en-US"/>
        </w:rPr>
        <w:t xml:space="preserve"> </w:t>
      </w:r>
      <w:r>
        <w:rPr>
          <w:lang w:val="en-US"/>
        </w:rPr>
        <w:t xml:space="preserve">pollution and its </w:t>
      </w:r>
      <w:r w:rsidRPr="00BD7537">
        <w:rPr>
          <w:lang w:val="en-US"/>
        </w:rPr>
        <w:t>impact</w:t>
      </w:r>
      <w:r>
        <w:rPr>
          <w:lang w:val="en-US"/>
        </w:rPr>
        <w:t>s</w:t>
      </w:r>
      <w:r w:rsidRPr="00BD7537">
        <w:rPr>
          <w:lang w:val="en-US"/>
        </w:rPr>
        <w:t xml:space="preserve"> upon individuals and communities was a very real one as the church and spiri</w:t>
      </w:r>
      <w:r>
        <w:rPr>
          <w:lang w:val="en-US"/>
        </w:rPr>
        <w:t xml:space="preserve">tuality was central to </w:t>
      </w:r>
      <w:r w:rsidR="00873C8D">
        <w:rPr>
          <w:lang w:val="en-US"/>
        </w:rPr>
        <w:t>medieval life</w:t>
      </w:r>
      <w:r w:rsidRPr="00BD7537">
        <w:rPr>
          <w:lang w:val="en-US"/>
        </w:rPr>
        <w:t xml:space="preserve">. The short and brutish nature of </w:t>
      </w:r>
      <w:r w:rsidR="00873C8D">
        <w:rPr>
          <w:lang w:val="en-US"/>
        </w:rPr>
        <w:t>existence</w:t>
      </w:r>
      <w:r w:rsidRPr="00BD7537">
        <w:rPr>
          <w:lang w:val="en-US"/>
        </w:rPr>
        <w:t xml:space="preserve"> for many people, and deeply religious society, meant that their focus might be mo</w:t>
      </w:r>
      <w:r>
        <w:rPr>
          <w:lang w:val="en-US"/>
        </w:rPr>
        <w:t xml:space="preserve">re upon their prospects in the </w:t>
      </w:r>
      <w:r w:rsidRPr="00BD7537">
        <w:rPr>
          <w:lang w:val="en-US"/>
        </w:rPr>
        <w:t>afterlife and prepar</w:t>
      </w:r>
      <w:r w:rsidR="00873C8D">
        <w:rPr>
          <w:lang w:val="en-US"/>
        </w:rPr>
        <w:t>ation</w:t>
      </w:r>
      <w:r w:rsidRPr="00BD7537">
        <w:rPr>
          <w:lang w:val="en-US"/>
        </w:rPr>
        <w:t xml:space="preserve"> for this</w:t>
      </w:r>
      <w:r w:rsidR="00873C8D">
        <w:rPr>
          <w:lang w:val="en-US"/>
        </w:rPr>
        <w:t xml:space="preserve"> than on mortal life itself</w:t>
      </w:r>
      <w:r w:rsidRPr="00BD7537">
        <w:rPr>
          <w:lang w:val="en-US"/>
        </w:rPr>
        <w:t xml:space="preserve">. </w:t>
      </w:r>
      <w:r>
        <w:rPr>
          <w:lang w:val="en-US"/>
        </w:rPr>
        <w:t>As well as helping</w:t>
      </w:r>
      <w:r w:rsidRPr="00BD7537">
        <w:rPr>
          <w:lang w:val="en-US"/>
        </w:rPr>
        <w:t xml:space="preserve"> to understand the approach to sacred spaces and impacts on these</w:t>
      </w:r>
      <w:r>
        <w:rPr>
          <w:lang w:val="en-US"/>
        </w:rPr>
        <w:t>, it may explain</w:t>
      </w:r>
      <w:r w:rsidRPr="00BD7537">
        <w:rPr>
          <w:lang w:val="en-US"/>
        </w:rPr>
        <w:t xml:space="preserve"> (in part at least) why regulatory action appears far less common in more recent years. </w:t>
      </w:r>
      <w:r w:rsidR="00D6405F">
        <w:rPr>
          <w:lang w:val="en-US"/>
        </w:rPr>
        <w:t>For the medieval citizen, the spiritual environment was at least as important as various elements of the natural environment. Though heavily influenced by an immensely powerful institution, the effectiveness of social regulation protecting that environment was derived in large part from the faith, fears and values of individuals</w:t>
      </w:r>
      <w:r w:rsidR="006703A0">
        <w:rPr>
          <w:lang w:val="en-US"/>
        </w:rPr>
        <w:t>, and communities</w:t>
      </w:r>
      <w:r w:rsidR="00D6405F">
        <w:rPr>
          <w:lang w:val="en-US"/>
        </w:rPr>
        <w:t>.</w:t>
      </w:r>
      <w:r w:rsidR="006703A0">
        <w:rPr>
          <w:lang w:val="en-US"/>
        </w:rPr>
        <w:t xml:space="preserve"> ‘</w:t>
      </w:r>
      <w:r w:rsidR="006703A0" w:rsidRPr="00BD7537">
        <w:rPr>
          <w:lang w:val="en-US"/>
        </w:rPr>
        <w:t>Every parishioner had a responsibility to protect the sanctity of their parish church and the spiritual health of their fellow parishioners…</w:t>
      </w:r>
      <w:r w:rsidR="006703A0">
        <w:rPr>
          <w:lang w:val="en-US"/>
        </w:rPr>
        <w:t>’</w:t>
      </w:r>
      <w:r w:rsidR="006703A0" w:rsidRPr="00BD7537">
        <w:rPr>
          <w:rStyle w:val="FootnoteReference"/>
          <w:lang w:val="en-US"/>
        </w:rPr>
        <w:footnoteReference w:id="180"/>
      </w:r>
      <w:r w:rsidR="006703A0">
        <w:rPr>
          <w:lang w:val="en-US"/>
        </w:rPr>
        <w:t xml:space="preserve"> This shared value of the spiritual therefore underpinned tremendously strong pressures for social conformity. </w:t>
      </w:r>
    </w:p>
    <w:p w14:paraId="70752E85" w14:textId="77777777" w:rsidR="00183AC0" w:rsidRPr="00BD7537" w:rsidRDefault="00183AC0" w:rsidP="00CE1820">
      <w:pPr>
        <w:widowControl w:val="0"/>
        <w:autoSpaceDE w:val="0"/>
        <w:autoSpaceDN w:val="0"/>
        <w:adjustRightInd w:val="0"/>
      </w:pPr>
    </w:p>
    <w:p w14:paraId="5A868E0A" w14:textId="77777777" w:rsidR="00183AC0" w:rsidRDefault="00183AC0" w:rsidP="00CE1820">
      <w:pPr>
        <w:rPr>
          <w:lang w:val="en-US"/>
        </w:rPr>
      </w:pPr>
      <w:r w:rsidRPr="00BD7537">
        <w:rPr>
          <w:lang w:val="en-US"/>
        </w:rPr>
        <w:t xml:space="preserve"> </w:t>
      </w:r>
    </w:p>
    <w:p w14:paraId="7703FADC" w14:textId="77777777" w:rsidR="00183AC0" w:rsidRPr="00BD7537" w:rsidRDefault="00183AC0" w:rsidP="00CE1820">
      <w:pPr>
        <w:rPr>
          <w:b/>
          <w:lang w:val="en-US"/>
        </w:rPr>
      </w:pPr>
      <w:r w:rsidRPr="00BD7537">
        <w:rPr>
          <w:b/>
          <w:lang w:val="en-US"/>
        </w:rPr>
        <w:t>Values, Beliefs and Notions of ‘Environment’</w:t>
      </w:r>
    </w:p>
    <w:p w14:paraId="6EBBB2F8" w14:textId="77777777" w:rsidR="00183AC0" w:rsidRPr="00BD7537" w:rsidRDefault="00183AC0" w:rsidP="00CE1820">
      <w:pPr>
        <w:rPr>
          <w:lang w:val="en-US"/>
        </w:rPr>
      </w:pPr>
    </w:p>
    <w:p w14:paraId="7884D17A" w14:textId="1EE9A35F" w:rsidR="00183AC0" w:rsidRPr="00BD7537" w:rsidRDefault="00183AC0" w:rsidP="00CE1820">
      <w:pPr>
        <w:rPr>
          <w:lang w:val="en-US"/>
        </w:rPr>
      </w:pPr>
      <w:r>
        <w:rPr>
          <w:lang w:val="en-US"/>
        </w:rPr>
        <w:t>The other worldliness</w:t>
      </w:r>
      <w:r w:rsidRPr="00BD7537">
        <w:rPr>
          <w:lang w:val="en-US"/>
        </w:rPr>
        <w:t xml:space="preserve"> of Medieval England lies as much in changes in values as anything else. The centrality of </w:t>
      </w:r>
      <w:r>
        <w:rPr>
          <w:lang w:val="en-US"/>
        </w:rPr>
        <w:t>church</w:t>
      </w:r>
      <w:r w:rsidRPr="00BD7537">
        <w:rPr>
          <w:lang w:val="en-US"/>
        </w:rPr>
        <w:t xml:space="preserve"> in social life generally, of </w:t>
      </w:r>
      <w:r>
        <w:rPr>
          <w:lang w:val="en-US"/>
        </w:rPr>
        <w:t>church</w:t>
      </w:r>
      <w:r w:rsidRPr="00BD7537">
        <w:rPr>
          <w:lang w:val="en-US"/>
        </w:rPr>
        <w:t xml:space="preserve"> law and courts</w:t>
      </w:r>
      <w:r>
        <w:rPr>
          <w:lang w:val="en-US"/>
        </w:rPr>
        <w:t>,</w:t>
      </w:r>
      <w:r w:rsidRPr="00BD7537">
        <w:rPr>
          <w:rStyle w:val="FootnoteReference"/>
          <w:lang w:val="en-US"/>
        </w:rPr>
        <w:footnoteReference w:id="181"/>
      </w:r>
      <w:r w:rsidRPr="00BD7537">
        <w:rPr>
          <w:lang w:val="en-US"/>
        </w:rPr>
        <w:t xml:space="preserve"> and notions of earthly life as a kind of preparatory stage for divine judgment and the Hereafter, are a huge contrast with modern secular society. In terms of difference, this might be seen as at least as significant as the results of industrialisation and urbanisation. Exploration of the reasons for, or process of, those changing values, is well beyond the scope of this paper, but there are a number of matters that may be pertinent. The wealth and corruption of the church and abuses by </w:t>
      </w:r>
      <w:r>
        <w:rPr>
          <w:lang w:val="en-US"/>
        </w:rPr>
        <w:t>t</w:t>
      </w:r>
      <w:r w:rsidRPr="00BD7537">
        <w:rPr>
          <w:lang w:val="en-US"/>
        </w:rPr>
        <w:t>he ecclesiastical courts exciting extreme unpopularity,</w:t>
      </w:r>
      <w:r w:rsidRPr="00BD7537">
        <w:rPr>
          <w:rStyle w:val="FootnoteReference"/>
          <w:lang w:val="en-US"/>
        </w:rPr>
        <w:footnoteReference w:id="182"/>
      </w:r>
      <w:r>
        <w:rPr>
          <w:lang w:val="en-US"/>
        </w:rPr>
        <w:t xml:space="preserve"> </w:t>
      </w:r>
      <w:r w:rsidRPr="00BD7537">
        <w:rPr>
          <w:lang w:val="en-US"/>
        </w:rPr>
        <w:t>the fracturing of religious views and structures embodied in the Reformation, loss of much of the Canon Law jurisdiction in competition with the Royal Courts,</w:t>
      </w:r>
      <w:r w:rsidRPr="00BD7537">
        <w:rPr>
          <w:rStyle w:val="FootnoteReference"/>
          <w:lang w:val="en-US"/>
        </w:rPr>
        <w:footnoteReference w:id="183"/>
      </w:r>
      <w:r>
        <w:rPr>
          <w:lang w:val="en-US"/>
        </w:rPr>
        <w:t xml:space="preserve"> </w:t>
      </w:r>
      <w:r w:rsidRPr="00BD7537">
        <w:rPr>
          <w:lang w:val="en-US"/>
        </w:rPr>
        <w:t xml:space="preserve">and State appropriation of </w:t>
      </w:r>
      <w:r>
        <w:rPr>
          <w:lang w:val="en-US"/>
        </w:rPr>
        <w:t>church</w:t>
      </w:r>
      <w:r w:rsidRPr="00BD7537">
        <w:rPr>
          <w:lang w:val="en-US"/>
        </w:rPr>
        <w:t xml:space="preserve"> wealth and property, are examples of the forces both causing and resulting from the erosion of some of these foundational values.  </w:t>
      </w:r>
      <w:r>
        <w:rPr>
          <w:lang w:val="en-US"/>
        </w:rPr>
        <w:t>Across Europe, scientific discovery was shaping the ‘Age of Reason’.</w:t>
      </w:r>
      <w:r w:rsidR="006703A0">
        <w:rPr>
          <w:lang w:val="en-US"/>
        </w:rPr>
        <w:t xml:space="preserve"> </w:t>
      </w:r>
      <w:r>
        <w:rPr>
          <w:lang w:val="en-US"/>
        </w:rPr>
        <w:t>One effect of t</w:t>
      </w:r>
      <w:r w:rsidRPr="000B64C9">
        <w:rPr>
          <w:lang w:val="en-US"/>
        </w:rPr>
        <w:t xml:space="preserve">he Reformation </w:t>
      </w:r>
      <w:r>
        <w:rPr>
          <w:lang w:val="en-US"/>
        </w:rPr>
        <w:t>was that</w:t>
      </w:r>
      <w:r w:rsidRPr="000B64C9">
        <w:rPr>
          <w:lang w:val="en-US"/>
        </w:rPr>
        <w:t xml:space="preserve"> there </w:t>
      </w:r>
      <w:r>
        <w:rPr>
          <w:lang w:val="en-US"/>
        </w:rPr>
        <w:t xml:space="preserve">was </w:t>
      </w:r>
      <w:r w:rsidRPr="000B64C9">
        <w:rPr>
          <w:lang w:val="en-US"/>
        </w:rPr>
        <w:t xml:space="preserve">no longer any </w:t>
      </w:r>
      <w:r>
        <w:rPr>
          <w:lang w:val="en-US"/>
        </w:rPr>
        <w:t xml:space="preserve">(perceived) </w:t>
      </w:r>
      <w:r w:rsidRPr="000B64C9">
        <w:rPr>
          <w:lang w:val="en-US"/>
        </w:rPr>
        <w:t>guarantee that prayers</w:t>
      </w:r>
      <w:r w:rsidRPr="00BD7537">
        <w:rPr>
          <w:lang w:val="en-US"/>
        </w:rPr>
        <w:t xml:space="preserve"> and rituals would bring any specific benefits.</w:t>
      </w:r>
      <w:r w:rsidRPr="00BD7537">
        <w:rPr>
          <w:rStyle w:val="FootnoteReference"/>
          <w:lang w:val="en-US"/>
        </w:rPr>
        <w:footnoteReference w:id="184"/>
      </w:r>
      <w:r>
        <w:rPr>
          <w:lang w:val="en-US"/>
        </w:rPr>
        <w:t xml:space="preserve"> </w:t>
      </w:r>
      <w:r w:rsidR="006703A0">
        <w:rPr>
          <w:lang w:val="en-US"/>
        </w:rPr>
        <w:t>B</w:t>
      </w:r>
      <w:r w:rsidRPr="00BD7537">
        <w:rPr>
          <w:lang w:val="en-US"/>
        </w:rPr>
        <w:t>y the mid-</w:t>
      </w:r>
      <w:r w:rsidR="00AF3975">
        <w:rPr>
          <w:lang w:val="en-US"/>
        </w:rPr>
        <w:t>16</w:t>
      </w:r>
      <w:r w:rsidR="00AF3975" w:rsidRPr="00AF3975">
        <w:rPr>
          <w:vertAlign w:val="superscript"/>
          <w:lang w:val="en-US"/>
        </w:rPr>
        <w:t>th</w:t>
      </w:r>
      <w:r w:rsidR="00AF3975">
        <w:rPr>
          <w:lang w:val="en-US"/>
        </w:rPr>
        <w:t xml:space="preserve"> </w:t>
      </w:r>
      <w:r w:rsidRPr="00BD7537">
        <w:rPr>
          <w:lang w:val="en-US"/>
        </w:rPr>
        <w:t xml:space="preserve">century, it seems that excommunication may have been </w:t>
      </w:r>
      <w:r>
        <w:rPr>
          <w:lang w:val="en-US"/>
        </w:rPr>
        <w:t>waning greatly in effectiveness:</w:t>
      </w:r>
      <w:r w:rsidRPr="00BD7537">
        <w:rPr>
          <w:lang w:val="en-US"/>
        </w:rPr>
        <w:t xml:space="preserve"> </w:t>
      </w:r>
      <w:r w:rsidR="00E30EA0">
        <w:rPr>
          <w:lang w:val="en-US"/>
        </w:rPr>
        <w:t>‘</w:t>
      </w:r>
      <w:r w:rsidRPr="00BD7537">
        <w:rPr>
          <w:lang w:val="en-US"/>
        </w:rPr>
        <w:t>the average contumacious perso</w:t>
      </w:r>
      <w:r w:rsidR="00E30EA0">
        <w:rPr>
          <w:lang w:val="en-US"/>
        </w:rPr>
        <w:t>n lived and died excommunicated’</w:t>
      </w:r>
      <w:r w:rsidRPr="00BD7537">
        <w:rPr>
          <w:lang w:val="en-US"/>
        </w:rPr>
        <w:t>.</w:t>
      </w:r>
      <w:r w:rsidRPr="00BD7537">
        <w:rPr>
          <w:rStyle w:val="FootnoteReference"/>
          <w:lang w:val="en-US"/>
        </w:rPr>
        <w:footnoteReference w:id="185"/>
      </w:r>
      <w:r>
        <w:rPr>
          <w:lang w:val="en-US"/>
        </w:rPr>
        <w:t xml:space="preserve"> T</w:t>
      </w:r>
      <w:r w:rsidRPr="00BD7537">
        <w:rPr>
          <w:lang w:val="en-US"/>
        </w:rPr>
        <w:t>he actual social effects of excommunication depended very much on popular opinion. In the 1620’s around 5% of the total population was excommunicated at any one time.</w:t>
      </w:r>
      <w:r w:rsidRPr="00BD7537">
        <w:rPr>
          <w:rStyle w:val="FootnoteReference"/>
          <w:lang w:val="en-US"/>
        </w:rPr>
        <w:footnoteReference w:id="186"/>
      </w:r>
      <w:r w:rsidRPr="00BD7537">
        <w:rPr>
          <w:lang w:val="en-US"/>
        </w:rPr>
        <w:t xml:space="preserve"> </w:t>
      </w:r>
      <w:r w:rsidR="006703A0">
        <w:rPr>
          <w:lang w:val="en-US"/>
        </w:rPr>
        <w:t>B</w:t>
      </w:r>
      <w:r w:rsidRPr="00BD7537">
        <w:rPr>
          <w:lang w:val="en-US"/>
        </w:rPr>
        <w:t xml:space="preserve">y the late Middle Ages, excommunication had </w:t>
      </w:r>
      <w:r w:rsidR="00E30EA0">
        <w:rPr>
          <w:lang w:val="en-US"/>
        </w:rPr>
        <w:t>‘</w:t>
      </w:r>
      <w:r w:rsidRPr="00BD7537">
        <w:rPr>
          <w:lang w:val="en-US"/>
        </w:rPr>
        <w:t>degenerated from a tremendous sanction to a minor inconvenience</w:t>
      </w:r>
      <w:r w:rsidR="00E30EA0">
        <w:rPr>
          <w:lang w:val="en-US"/>
        </w:rPr>
        <w:t>’</w:t>
      </w:r>
      <w:r w:rsidRPr="00BD7537">
        <w:rPr>
          <w:lang w:val="en-US"/>
        </w:rPr>
        <w:t>.</w:t>
      </w:r>
      <w:r w:rsidRPr="00BD7537">
        <w:rPr>
          <w:rStyle w:val="FootnoteReference"/>
          <w:lang w:val="en-US"/>
        </w:rPr>
        <w:footnoteReference w:id="187"/>
      </w:r>
      <w:r>
        <w:rPr>
          <w:lang w:val="en-US"/>
        </w:rPr>
        <w:t xml:space="preserve"> </w:t>
      </w:r>
      <w:r w:rsidRPr="00BD7537">
        <w:rPr>
          <w:lang w:val="en-US"/>
        </w:rPr>
        <w:t xml:space="preserve">This </w:t>
      </w:r>
      <w:r>
        <w:rPr>
          <w:lang w:val="en-US"/>
        </w:rPr>
        <w:t xml:space="preserve">might </w:t>
      </w:r>
      <w:r w:rsidRPr="00BD7537">
        <w:rPr>
          <w:lang w:val="en-US"/>
        </w:rPr>
        <w:t xml:space="preserve">be seen </w:t>
      </w:r>
      <w:r>
        <w:rPr>
          <w:lang w:val="en-US"/>
        </w:rPr>
        <w:t>as part of a process</w:t>
      </w:r>
      <w:r w:rsidRPr="00BD7537">
        <w:rPr>
          <w:lang w:val="en-US"/>
        </w:rPr>
        <w:t xml:space="preserve"> of the shifting balance between secular and ecclesiastical jurisdictions. </w:t>
      </w:r>
      <w:r w:rsidR="00E30EA0">
        <w:rPr>
          <w:lang w:val="en-US"/>
        </w:rPr>
        <w:t>‘</w:t>
      </w:r>
      <w:r w:rsidR="001F6A33">
        <w:rPr>
          <w:lang w:val="en-US"/>
        </w:rPr>
        <w:t>By the seventeenth century, the underpinning harmony in moral outlooks … had been eroded by the realities of sustained conflict and a waning belief in the powers of unaided reason to uncover moral trut</w:t>
      </w:r>
      <w:r w:rsidR="00E30EA0">
        <w:rPr>
          <w:lang w:val="en-US"/>
        </w:rPr>
        <w:t>h’</w:t>
      </w:r>
      <w:r w:rsidR="001F6A33">
        <w:rPr>
          <w:lang w:val="en-US"/>
        </w:rPr>
        <w:t>.</w:t>
      </w:r>
      <w:r w:rsidR="001F6A33">
        <w:rPr>
          <w:rStyle w:val="FootnoteReference"/>
          <w:lang w:val="en-US"/>
        </w:rPr>
        <w:footnoteReference w:id="188"/>
      </w:r>
      <w:r w:rsidR="001F6A33">
        <w:rPr>
          <w:lang w:val="en-US"/>
        </w:rPr>
        <w:t xml:space="preserve"> </w:t>
      </w:r>
      <w:r w:rsidRPr="00BD7537">
        <w:rPr>
          <w:lang w:val="en-US"/>
        </w:rPr>
        <w:t>By 1830, the policing functions of the ecclesiastical courts against the laity had virtually disappeared; the criminal side of the system had virtually collapsed.</w:t>
      </w:r>
      <w:r w:rsidRPr="00BD7537">
        <w:rPr>
          <w:rStyle w:val="FootnoteReference"/>
          <w:lang w:val="en-US"/>
        </w:rPr>
        <w:footnoteReference w:id="189"/>
      </w:r>
      <w:r w:rsidRPr="00BD7537">
        <w:rPr>
          <w:lang w:val="en-US"/>
        </w:rPr>
        <w:t xml:space="preserve"> </w:t>
      </w:r>
    </w:p>
    <w:p w14:paraId="1A6532D4" w14:textId="77777777" w:rsidR="00183AC0" w:rsidRPr="00BD7537" w:rsidRDefault="00183AC0" w:rsidP="00CE1820">
      <w:pPr>
        <w:rPr>
          <w:lang w:val="en-US"/>
        </w:rPr>
      </w:pPr>
    </w:p>
    <w:p w14:paraId="5870A889" w14:textId="21ABC9B6" w:rsidR="005B0854" w:rsidRPr="00CF49BF" w:rsidRDefault="00E94288" w:rsidP="006703A0">
      <w:pPr>
        <w:rPr>
          <w:lang w:val="en-US"/>
        </w:rPr>
      </w:pPr>
      <w:r>
        <w:rPr>
          <w:lang w:val="en-US"/>
        </w:rPr>
        <w:t>The comparison of medieval and contemporary pollution concerns identifies clear</w:t>
      </w:r>
      <w:r w:rsidR="006703A0">
        <w:rPr>
          <w:lang w:val="en-US"/>
        </w:rPr>
        <w:t xml:space="preserve"> shifts in values and beliefs. Although t</w:t>
      </w:r>
      <w:r w:rsidRPr="00BD7537">
        <w:rPr>
          <w:lang w:val="en-US"/>
        </w:rPr>
        <w:t xml:space="preserve">he ‘spiritual environment’ </w:t>
      </w:r>
      <w:r w:rsidR="00D6405F">
        <w:rPr>
          <w:lang w:val="en-US"/>
        </w:rPr>
        <w:t>held a central place</w:t>
      </w:r>
      <w:r w:rsidRPr="00BD7537">
        <w:rPr>
          <w:lang w:val="en-US"/>
        </w:rPr>
        <w:t xml:space="preserve"> </w:t>
      </w:r>
      <w:r w:rsidR="00D6405F">
        <w:rPr>
          <w:lang w:val="en-US"/>
        </w:rPr>
        <w:t>in</w:t>
      </w:r>
      <w:r>
        <w:rPr>
          <w:lang w:val="en-US"/>
        </w:rPr>
        <w:t xml:space="preserve"> the medieval world</w:t>
      </w:r>
      <w:r w:rsidR="006703A0">
        <w:rPr>
          <w:lang w:val="en-US"/>
        </w:rPr>
        <w:t>, individual and community concerns and fears about this, and the implications of pollution of associated spaces, diminished greatly.</w:t>
      </w:r>
      <w:r w:rsidR="00D6405F">
        <w:rPr>
          <w:lang w:val="en-US"/>
        </w:rPr>
        <w:t xml:space="preserve"> </w:t>
      </w:r>
      <w:r w:rsidR="00183AC0" w:rsidRPr="00BD7537">
        <w:rPr>
          <w:lang w:val="en-US"/>
        </w:rPr>
        <w:t xml:space="preserve">Whether filling a gap, displacing religious-based moral concerns, or a combination of both, other values and structures </w:t>
      </w:r>
      <w:r w:rsidR="00317503">
        <w:rPr>
          <w:lang w:val="en-US"/>
        </w:rPr>
        <w:t xml:space="preserve">are </w:t>
      </w:r>
      <w:r w:rsidR="00317503" w:rsidRPr="00BD7537">
        <w:rPr>
          <w:lang w:val="en-US"/>
        </w:rPr>
        <w:t>more prevalent</w:t>
      </w:r>
      <w:r w:rsidR="00317503">
        <w:rPr>
          <w:lang w:val="en-US"/>
        </w:rPr>
        <w:t xml:space="preserve"> today </w:t>
      </w:r>
      <w:r w:rsidR="00183AC0" w:rsidRPr="00BD7537">
        <w:rPr>
          <w:lang w:val="en-US"/>
        </w:rPr>
        <w:t>– such as those of free mark</w:t>
      </w:r>
      <w:r w:rsidR="00317503">
        <w:rPr>
          <w:lang w:val="en-US"/>
        </w:rPr>
        <w:t>et economics</w:t>
      </w:r>
      <w:r w:rsidR="00183AC0" w:rsidRPr="00BD7537">
        <w:rPr>
          <w:lang w:val="en-US"/>
        </w:rPr>
        <w:t xml:space="preserve">. These </w:t>
      </w:r>
      <w:r w:rsidR="00183AC0">
        <w:rPr>
          <w:lang w:val="en-US"/>
        </w:rPr>
        <w:t xml:space="preserve">individual and social </w:t>
      </w:r>
      <w:r w:rsidR="00183AC0" w:rsidRPr="00BD7537">
        <w:rPr>
          <w:lang w:val="en-US"/>
        </w:rPr>
        <w:t xml:space="preserve">values and beliefs are, of course, </w:t>
      </w:r>
      <w:r w:rsidR="00183AC0">
        <w:rPr>
          <w:lang w:val="en-US"/>
        </w:rPr>
        <w:t>meaningful in a number of ways relating to the development and operation of the law;</w:t>
      </w:r>
      <w:r w:rsidR="00183AC0">
        <w:rPr>
          <w:rStyle w:val="FootnoteReference"/>
          <w:lang w:val="en-US"/>
        </w:rPr>
        <w:footnoteReference w:id="190"/>
      </w:r>
      <w:r w:rsidR="00183AC0">
        <w:rPr>
          <w:lang w:val="en-US"/>
        </w:rPr>
        <w:t xml:space="preserve"> shaping both notions of ‘the environment’ and the relative importance of different aspects. A</w:t>
      </w:r>
      <w:r w:rsidR="00183AC0" w:rsidRPr="00BD7537">
        <w:rPr>
          <w:lang w:val="en-US"/>
        </w:rPr>
        <w:t xml:space="preserve"> princip</w:t>
      </w:r>
      <w:r w:rsidR="00183AC0">
        <w:rPr>
          <w:lang w:val="en-US"/>
        </w:rPr>
        <w:t>al</w:t>
      </w:r>
      <w:r w:rsidR="00183AC0" w:rsidRPr="00BD7537">
        <w:rPr>
          <w:lang w:val="en-US"/>
        </w:rPr>
        <w:t xml:space="preserve"> reason for environme</w:t>
      </w:r>
      <w:r>
        <w:rPr>
          <w:lang w:val="en-US"/>
        </w:rPr>
        <w:t>ntal law becoming more ‘public’,</w:t>
      </w:r>
      <w:r w:rsidR="00183AC0" w:rsidRPr="00BD7537">
        <w:rPr>
          <w:lang w:val="en-US"/>
        </w:rPr>
        <w:t xml:space="preserve"> rather than a means of mediating private interests</w:t>
      </w:r>
      <w:r>
        <w:rPr>
          <w:lang w:val="en-US"/>
        </w:rPr>
        <w:t>,</w:t>
      </w:r>
      <w:r w:rsidR="00183AC0" w:rsidRPr="00BD7537">
        <w:rPr>
          <w:lang w:val="en-US"/>
        </w:rPr>
        <w:t xml:space="preserve"> is likely to have been the receptiveness of lawmakers to increase in public concern for the state of the</w:t>
      </w:r>
      <w:r w:rsidR="008C6D01">
        <w:rPr>
          <w:lang w:val="en-US"/>
        </w:rPr>
        <w:t xml:space="preserve"> natural</w:t>
      </w:r>
      <w:r w:rsidR="00183AC0" w:rsidRPr="00BD7537">
        <w:rPr>
          <w:lang w:val="en-US"/>
        </w:rPr>
        <w:t xml:space="preserve"> environment.</w:t>
      </w:r>
      <w:r w:rsidR="00183AC0" w:rsidRPr="00BD7537">
        <w:rPr>
          <w:rStyle w:val="FootnoteReference"/>
          <w:lang w:val="en-US"/>
        </w:rPr>
        <w:footnoteReference w:id="191"/>
      </w:r>
      <w:r w:rsidR="00183AC0" w:rsidRPr="00BD7537">
        <w:rPr>
          <w:lang w:val="en-US"/>
        </w:rPr>
        <w:t xml:space="preserve"> Culturally defined values and preferences influence the profoundly subjective bases for approaching the central questions relevant for environmental law</w:t>
      </w:r>
      <w:r w:rsidR="00317503">
        <w:rPr>
          <w:lang w:val="en-US"/>
        </w:rPr>
        <w:t>,</w:t>
      </w:r>
      <w:r w:rsidR="00183AC0" w:rsidRPr="00BD7537">
        <w:rPr>
          <w:lang w:val="en-US"/>
        </w:rPr>
        <w:t xml:space="preserve"> such as the values to be attached to different aspects of environmental protection.</w:t>
      </w:r>
      <w:r w:rsidR="00183AC0" w:rsidRPr="00BD7537">
        <w:rPr>
          <w:rStyle w:val="FootnoteReference"/>
          <w:lang w:val="en-US"/>
        </w:rPr>
        <w:footnoteReference w:id="192"/>
      </w:r>
      <w:r w:rsidR="00183AC0" w:rsidRPr="00BD7537">
        <w:rPr>
          <w:lang w:val="en-US"/>
        </w:rPr>
        <w:t xml:space="preserve"> These are not static and changes influence both what is regulated and how.</w:t>
      </w:r>
      <w:r w:rsidR="00183AC0" w:rsidRPr="00BD7537">
        <w:rPr>
          <w:rStyle w:val="FootnoteReference"/>
          <w:lang w:val="en-US"/>
        </w:rPr>
        <w:footnoteReference w:id="193"/>
      </w:r>
      <w:r w:rsidR="00183AC0" w:rsidRPr="00BD7537">
        <w:rPr>
          <w:lang w:val="en-US"/>
        </w:rPr>
        <w:t xml:space="preserve"> </w:t>
      </w:r>
      <w:r w:rsidR="006703A0" w:rsidRPr="005B0854">
        <w:rPr>
          <w:lang w:val="en-US"/>
        </w:rPr>
        <w:t>Modern society is, of course, far less homogenous than that of the Middle Ages: ‘</w:t>
      </w:r>
      <w:r w:rsidR="00826227" w:rsidRPr="005B0854">
        <w:rPr>
          <w:lang w:val="en-US"/>
        </w:rPr>
        <w:t xml:space="preserve">In addressing the issue of community, any discussion must now recognise the sheer diversity of groups </w:t>
      </w:r>
      <w:r w:rsidR="006703A0" w:rsidRPr="005B0854">
        <w:rPr>
          <w:lang w:val="en-US"/>
        </w:rPr>
        <w:t>and communities within society…’.</w:t>
      </w:r>
      <w:r w:rsidR="005B0854" w:rsidRPr="005B0854">
        <w:rPr>
          <w:rStyle w:val="FootnoteReference"/>
          <w:lang w:val="en-US"/>
        </w:rPr>
        <w:footnoteReference w:id="194"/>
      </w:r>
      <w:r w:rsidR="0041218A">
        <w:rPr>
          <w:lang w:val="en-US"/>
        </w:rPr>
        <w:t xml:space="preserve"> The forces influencing and shaping modern environmental law are correspondingly complex. A</w:t>
      </w:r>
      <w:r w:rsidR="00CF49BF">
        <w:rPr>
          <w:lang w:val="en-US"/>
        </w:rPr>
        <w:t>s</w:t>
      </w:r>
      <w:r w:rsidR="0041218A">
        <w:rPr>
          <w:lang w:val="en-US"/>
        </w:rPr>
        <w:t xml:space="preserve"> much as a developing </w:t>
      </w:r>
      <w:r w:rsidR="00CF49BF">
        <w:rPr>
          <w:lang w:val="en-US"/>
        </w:rPr>
        <w:t>‘</w:t>
      </w:r>
      <w:r w:rsidR="0041218A">
        <w:rPr>
          <w:lang w:val="en-US"/>
        </w:rPr>
        <w:t>environmental ethic</w:t>
      </w:r>
      <w:r w:rsidR="00CF49BF">
        <w:rPr>
          <w:lang w:val="en-US"/>
        </w:rPr>
        <w:t>’</w:t>
      </w:r>
      <w:r w:rsidR="0041218A">
        <w:rPr>
          <w:lang w:val="en-US"/>
        </w:rPr>
        <w:t>, these have included various ‘crises’, or fear-inducing events</w:t>
      </w:r>
      <w:r w:rsidR="00CF49BF">
        <w:rPr>
          <w:lang w:val="en-US"/>
        </w:rPr>
        <w:t xml:space="preserve">. On a general level, Rachel Carson’s publication of </w:t>
      </w:r>
      <w:r w:rsidR="00CF49BF">
        <w:rPr>
          <w:i/>
          <w:lang w:val="en-US"/>
        </w:rPr>
        <w:t>Silent Spring</w:t>
      </w:r>
      <w:r w:rsidR="00CF49BF">
        <w:rPr>
          <w:lang w:val="en-US"/>
        </w:rPr>
        <w:t xml:space="preserve"> warning of the effects and future consequences of indiscriminate biocide use</w:t>
      </w:r>
      <w:r w:rsidR="00517BA6">
        <w:rPr>
          <w:lang w:val="en-US"/>
        </w:rPr>
        <w:t xml:space="preserve"> ‘created an instant political demand for government action to address these very scary threats’.</w:t>
      </w:r>
      <w:r w:rsidR="00517BA6">
        <w:rPr>
          <w:rStyle w:val="FootnoteReference"/>
          <w:lang w:val="en-US"/>
        </w:rPr>
        <w:footnoteReference w:id="195"/>
      </w:r>
      <w:r w:rsidR="00517BA6">
        <w:rPr>
          <w:lang w:val="en-US"/>
        </w:rPr>
        <w:t xml:space="preserve"> In the case of Contaminated Land, the US regulatory regime (the </w:t>
      </w:r>
      <w:r w:rsidR="00517BA6" w:rsidRPr="00517BA6">
        <w:rPr>
          <w:lang w:val="en-US"/>
        </w:rPr>
        <w:t xml:space="preserve">Comprehensive Environmental Response Compensation and Liability Act </w:t>
      </w:r>
      <w:r w:rsidR="00517BA6">
        <w:rPr>
          <w:lang w:val="en-US"/>
        </w:rPr>
        <w:t>1980)</w:t>
      </w:r>
      <w:r w:rsidR="00517BA6">
        <w:rPr>
          <w:rStyle w:val="FootnoteReference"/>
          <w:lang w:val="en-US"/>
        </w:rPr>
        <w:footnoteReference w:id="196"/>
      </w:r>
      <w:r w:rsidR="00517BA6" w:rsidRPr="00517BA6">
        <w:rPr>
          <w:lang w:val="en-US"/>
        </w:rPr>
        <w:t xml:space="preserve"> </w:t>
      </w:r>
      <w:r w:rsidR="00517BA6">
        <w:rPr>
          <w:lang w:val="en-US"/>
        </w:rPr>
        <w:t>was in large part a response to public outcries following the ‘Love Canal’ and other disasters. A similar disaster in Le</w:t>
      </w:r>
      <w:r w:rsidR="005F2BFE">
        <w:rPr>
          <w:lang w:val="en-US"/>
        </w:rPr>
        <w:t>kkekerk (in the Netherlands) together with</w:t>
      </w:r>
      <w:r w:rsidR="00517BA6">
        <w:rPr>
          <w:lang w:val="en-US"/>
        </w:rPr>
        <w:t xml:space="preserve"> less dramatic</w:t>
      </w:r>
      <w:r w:rsidR="005F2BFE">
        <w:rPr>
          <w:lang w:val="en-US"/>
        </w:rPr>
        <w:t>, but nonetheless alarming, incidents such as a gas migration explosion at Loscoe (Derbyshire) in 1986</w:t>
      </w:r>
      <w:r w:rsidR="005F2BFE">
        <w:rPr>
          <w:rStyle w:val="FootnoteReference"/>
          <w:lang w:val="en-US"/>
        </w:rPr>
        <w:footnoteReference w:id="197"/>
      </w:r>
      <w:r w:rsidR="005F2BFE">
        <w:rPr>
          <w:lang w:val="en-US"/>
        </w:rPr>
        <w:t xml:space="preserve"> provided the impetus for the development of the Part IIA regime. Thus we see ‘pollution fears’ incorporating both moral and materialistic concerns playing out in different contexts, and (to some degree) reflecting different values, across differing ages and societies.  </w:t>
      </w:r>
      <w:r w:rsidR="00517BA6">
        <w:rPr>
          <w:lang w:val="en-US"/>
        </w:rPr>
        <w:t xml:space="preserve"> </w:t>
      </w:r>
    </w:p>
    <w:p w14:paraId="48F519CF" w14:textId="01B0A559" w:rsidR="009F2718" w:rsidRPr="005B0854" w:rsidRDefault="009F2718" w:rsidP="006703A0">
      <w:pPr>
        <w:rPr>
          <w:color w:val="FF0000"/>
          <w:lang w:val="en-US"/>
        </w:rPr>
      </w:pPr>
    </w:p>
    <w:p w14:paraId="71E0F676" w14:textId="77777777" w:rsidR="006703A0" w:rsidRDefault="006703A0" w:rsidP="006703A0">
      <w:pPr>
        <w:rPr>
          <w:lang w:val="en-US"/>
        </w:rPr>
      </w:pPr>
    </w:p>
    <w:p w14:paraId="7DEBF203" w14:textId="77777777" w:rsidR="009F2718" w:rsidRPr="00AA10FD" w:rsidRDefault="00D6405F" w:rsidP="00CE1820">
      <w:pPr>
        <w:jc w:val="center"/>
        <w:rPr>
          <w:b/>
          <w:lang w:val="en-US"/>
        </w:rPr>
      </w:pPr>
      <w:r>
        <w:rPr>
          <w:b/>
          <w:lang w:val="en-US"/>
        </w:rPr>
        <w:t>CONCLUSIONS</w:t>
      </w:r>
    </w:p>
    <w:p w14:paraId="5FB058CB" w14:textId="77777777" w:rsidR="00183AC0" w:rsidRPr="00BD7537" w:rsidRDefault="00183AC0" w:rsidP="00CE1820">
      <w:pPr>
        <w:rPr>
          <w:lang w:val="en-US"/>
        </w:rPr>
      </w:pPr>
    </w:p>
    <w:p w14:paraId="0B4B5FC2" w14:textId="4FA4C346" w:rsidR="00183AC0" w:rsidRPr="00BD7537" w:rsidRDefault="00E30EA0" w:rsidP="00CE1820">
      <w:pPr>
        <w:rPr>
          <w:lang w:val="en-US"/>
        </w:rPr>
      </w:pPr>
      <w:r>
        <w:rPr>
          <w:lang w:val="en-US"/>
        </w:rPr>
        <w:t>‘</w:t>
      </w:r>
      <w:r w:rsidR="00183AC0">
        <w:rPr>
          <w:lang w:val="en-US"/>
        </w:rPr>
        <w:t>Environmental law is controversial, and thus interesting, because it deals with questions of changing values and, therefore, differing priorities.</w:t>
      </w:r>
      <w:r>
        <w:rPr>
          <w:lang w:val="en-US"/>
        </w:rPr>
        <w:t>’</w:t>
      </w:r>
      <w:r w:rsidR="00183AC0">
        <w:rPr>
          <w:rStyle w:val="FootnoteReference"/>
          <w:lang w:val="en-US"/>
        </w:rPr>
        <w:footnoteReference w:id="198"/>
      </w:r>
      <w:r w:rsidR="00183AC0">
        <w:rPr>
          <w:lang w:val="en-US"/>
        </w:rPr>
        <w:t xml:space="preserve"> T</w:t>
      </w:r>
      <w:r w:rsidR="00183AC0" w:rsidRPr="00BD7537">
        <w:rPr>
          <w:lang w:val="en-US"/>
        </w:rPr>
        <w:t xml:space="preserve">he value placed on these different concerns </w:t>
      </w:r>
      <w:r w:rsidR="00183AC0">
        <w:rPr>
          <w:lang w:val="en-US"/>
        </w:rPr>
        <w:t>(</w:t>
      </w:r>
      <w:r w:rsidR="00183AC0" w:rsidRPr="00BD7537">
        <w:rPr>
          <w:lang w:val="en-US"/>
        </w:rPr>
        <w:t>or ‘environments’</w:t>
      </w:r>
      <w:r w:rsidR="00183AC0">
        <w:rPr>
          <w:lang w:val="en-US"/>
        </w:rPr>
        <w:t>)</w:t>
      </w:r>
      <w:r w:rsidR="00183AC0" w:rsidRPr="00BD7537">
        <w:rPr>
          <w:lang w:val="en-US"/>
        </w:rPr>
        <w:t>, as well as different aspects of each, and so the degree of focus and protection afforded to them, may fluctuate over time: and this may r</w:t>
      </w:r>
      <w:r w:rsidR="00183AC0">
        <w:rPr>
          <w:lang w:val="en-US"/>
        </w:rPr>
        <w:t>eflect public concerns or fears</w:t>
      </w:r>
      <w:r w:rsidR="00183AC0" w:rsidRPr="00BD7537">
        <w:rPr>
          <w:lang w:val="en-US"/>
        </w:rPr>
        <w:t xml:space="preserve">. Pollution of </w:t>
      </w:r>
      <w:r w:rsidR="00183AC0" w:rsidRPr="008C6D01">
        <w:rPr>
          <w:lang w:val="en-US"/>
        </w:rPr>
        <w:t>Churches and its regulation might be as distinct from modern environmental law a</w:t>
      </w:r>
      <w:r w:rsidR="00F02E30">
        <w:rPr>
          <w:lang w:val="en-US"/>
        </w:rPr>
        <w:t>s the medieval world is from</w:t>
      </w:r>
      <w:r w:rsidR="00183AC0" w:rsidRPr="008C6D01">
        <w:rPr>
          <w:lang w:val="en-US"/>
        </w:rPr>
        <w:t xml:space="preserve"> today. But some illustration</w:t>
      </w:r>
      <w:r w:rsidR="008C6D01" w:rsidRPr="008C6D01">
        <w:rPr>
          <w:lang w:val="en-US"/>
        </w:rPr>
        <w:t>s</w:t>
      </w:r>
      <w:r w:rsidR="00183AC0" w:rsidRPr="008C6D01">
        <w:rPr>
          <w:lang w:val="en-US"/>
        </w:rPr>
        <w:t xml:space="preserve"> of these deeper issues of shifting values</w:t>
      </w:r>
      <w:r w:rsidR="008C6D01" w:rsidRPr="008C6D01">
        <w:rPr>
          <w:lang w:val="en-US"/>
        </w:rPr>
        <w:t xml:space="preserve"> might be found</w:t>
      </w:r>
      <w:r w:rsidR="00183AC0" w:rsidRPr="008C6D01">
        <w:rPr>
          <w:lang w:val="en-US"/>
        </w:rPr>
        <w:t>. The way in which the environment is conceived and the value ascribed to different aspects might be represented in the concern and respect for the spiritual environment. The ways in which those values were furthered</w:t>
      </w:r>
      <w:r w:rsidR="0032390B">
        <w:rPr>
          <w:lang w:val="en-US"/>
        </w:rPr>
        <w:t>, the fears addressed, and communities sought protection</w:t>
      </w:r>
      <w:r w:rsidR="00183AC0" w:rsidRPr="008C6D01">
        <w:rPr>
          <w:lang w:val="en-US"/>
        </w:rPr>
        <w:t xml:space="preserve"> in a particular context, of holy spaces, were not dissimilar in many respects, to the </w:t>
      </w:r>
      <w:r w:rsidR="0032390B">
        <w:rPr>
          <w:lang w:val="en-US"/>
        </w:rPr>
        <w:t xml:space="preserve">concepts, </w:t>
      </w:r>
      <w:r w:rsidR="00183AC0" w:rsidRPr="008C6D01">
        <w:rPr>
          <w:lang w:val="en-US"/>
        </w:rPr>
        <w:t xml:space="preserve">rules and other structures developed or deployed in relation to protection of </w:t>
      </w:r>
      <w:r w:rsidR="0032390B">
        <w:rPr>
          <w:lang w:val="en-US"/>
        </w:rPr>
        <w:t xml:space="preserve">elements of </w:t>
      </w:r>
      <w:r w:rsidR="00183AC0" w:rsidRPr="008C6D01">
        <w:rPr>
          <w:lang w:val="en-US"/>
        </w:rPr>
        <w:t xml:space="preserve">the natural environment today. The shift of public concern from spiritual to </w:t>
      </w:r>
      <w:r w:rsidR="008C6D01" w:rsidRPr="008C6D01">
        <w:rPr>
          <w:lang w:val="en-US"/>
        </w:rPr>
        <w:t>other</w:t>
      </w:r>
      <w:r w:rsidR="00183AC0" w:rsidRPr="008C6D01">
        <w:rPr>
          <w:lang w:val="en-US"/>
        </w:rPr>
        <w:t xml:space="preserve"> environment</w:t>
      </w:r>
      <w:r w:rsidR="008C6D01" w:rsidRPr="008C6D01">
        <w:rPr>
          <w:lang w:val="en-US"/>
        </w:rPr>
        <w:t>s</w:t>
      </w:r>
      <w:r w:rsidR="00183AC0" w:rsidRPr="008C6D01">
        <w:rPr>
          <w:lang w:val="en-US"/>
        </w:rPr>
        <w:t xml:space="preserve"> illustrates </w:t>
      </w:r>
      <w:r w:rsidR="00E94288">
        <w:rPr>
          <w:lang w:val="en-US"/>
        </w:rPr>
        <w:t>the impermanence of some values:</w:t>
      </w:r>
      <w:r w:rsidR="00183AC0" w:rsidRPr="008C6D01">
        <w:rPr>
          <w:lang w:val="en-US"/>
        </w:rPr>
        <w:t xml:space="preserve"> </w:t>
      </w:r>
      <w:r w:rsidR="00E94288">
        <w:rPr>
          <w:lang w:val="en-US"/>
        </w:rPr>
        <w:t>n</w:t>
      </w:r>
      <w:r w:rsidR="00183AC0" w:rsidRPr="008C6D01">
        <w:rPr>
          <w:lang w:val="en-US"/>
        </w:rPr>
        <w:t>ot necessarily their existence, but the weight afforded to them by individuals and society at different times. Individual and societal beliefs as the basis for rule setting, and for the effectiveness of such norms is also a common feature. How the environment is perceived shapes both the conception of threats faced and ‘solutions’: scientific investigation and technical responses; economic analysis and market mechanisms; spiritual impairment and ritual cleansing. The various</w:t>
      </w:r>
      <w:r w:rsidR="00183AC0">
        <w:rPr>
          <w:lang w:val="en-US"/>
        </w:rPr>
        <w:t xml:space="preserve"> systems identify the problem and suggest the appropriate response. </w:t>
      </w:r>
    </w:p>
    <w:p w14:paraId="65A53A31" w14:textId="77777777" w:rsidR="00183AC0" w:rsidRPr="00BD7537" w:rsidRDefault="00183AC0" w:rsidP="00CE1820">
      <w:pPr>
        <w:rPr>
          <w:lang w:val="en-US"/>
        </w:rPr>
      </w:pPr>
    </w:p>
    <w:p w14:paraId="01537BFF" w14:textId="0DB294D7" w:rsidR="000D4D83" w:rsidRDefault="000D4D83" w:rsidP="00CE1820">
      <w:pPr>
        <w:rPr>
          <w:lang w:val="en-US"/>
        </w:rPr>
      </w:pPr>
      <w:r>
        <w:rPr>
          <w:lang w:val="en-US"/>
        </w:rPr>
        <w:t>Many may</w:t>
      </w:r>
      <w:r w:rsidRPr="00BD7537">
        <w:rPr>
          <w:lang w:val="en-US"/>
        </w:rPr>
        <w:t xml:space="preserve"> view </w:t>
      </w:r>
      <w:r>
        <w:rPr>
          <w:lang w:val="en-US"/>
        </w:rPr>
        <w:t>the focus of m</w:t>
      </w:r>
      <w:r w:rsidRPr="00BD7537">
        <w:rPr>
          <w:lang w:val="en-US"/>
        </w:rPr>
        <w:t>edieval beliefs and concerns as</w:t>
      </w:r>
      <w:r>
        <w:rPr>
          <w:lang w:val="en-US"/>
        </w:rPr>
        <w:t xml:space="preserve"> ignorance and </w:t>
      </w:r>
      <w:r w:rsidRPr="00BD7537">
        <w:rPr>
          <w:lang w:val="en-US"/>
        </w:rPr>
        <w:t>superstition, and celebrate contemporary focus on scientific rationality. Others might suggest that imbuing a spiritual dimension into an environmental ethos is the way to respond to environmental crises.</w:t>
      </w:r>
      <w:r w:rsidRPr="00BD7537">
        <w:rPr>
          <w:rStyle w:val="FootnoteReference"/>
          <w:lang w:val="en-US"/>
        </w:rPr>
        <w:footnoteReference w:id="199"/>
      </w:r>
      <w:r w:rsidRPr="00BD7537">
        <w:rPr>
          <w:lang w:val="en-US"/>
        </w:rPr>
        <w:t xml:space="preserve"> </w:t>
      </w:r>
      <w:r w:rsidR="009F2718">
        <w:rPr>
          <w:lang w:val="en-US"/>
        </w:rPr>
        <w:t>U</w:t>
      </w:r>
      <w:r>
        <w:rPr>
          <w:lang w:val="en-US"/>
        </w:rPr>
        <w:t>nderstanding the medieval conception of the environment and the way in which it was protected is</w:t>
      </w:r>
      <w:r w:rsidR="0032390B">
        <w:rPr>
          <w:lang w:val="en-US"/>
        </w:rPr>
        <w:t>, however,</w:t>
      </w:r>
      <w:r>
        <w:rPr>
          <w:lang w:val="en-US"/>
        </w:rPr>
        <w:t xml:space="preserve"> relevant to modern environmental law. </w:t>
      </w:r>
      <w:r w:rsidR="0032390B">
        <w:rPr>
          <w:lang w:val="en-US"/>
        </w:rPr>
        <w:t xml:space="preserve">Even if the illustrations drawn through the modern Contaminated Land comparator may be limited in their persuasiveness, </w:t>
      </w:r>
      <w:r>
        <w:rPr>
          <w:lang w:val="en-US"/>
        </w:rPr>
        <w:t>t</w:t>
      </w:r>
      <w:r w:rsidR="0032390B">
        <w:rPr>
          <w:lang w:val="en-US"/>
        </w:rPr>
        <w:t>he broader analysis</w:t>
      </w:r>
      <w:r>
        <w:rPr>
          <w:lang w:val="en-US"/>
        </w:rPr>
        <w:t xml:space="preserve"> reminds us that these different values and beliefs have a strong influence on behaviour. That includes how we define and regulate </w:t>
      </w:r>
      <w:r w:rsidR="005E5A76">
        <w:rPr>
          <w:lang w:val="en-US"/>
        </w:rPr>
        <w:t>‘</w:t>
      </w:r>
      <w:r>
        <w:rPr>
          <w:lang w:val="en-US"/>
        </w:rPr>
        <w:t>pollution</w:t>
      </w:r>
      <w:r w:rsidR="005E5A76">
        <w:rPr>
          <w:lang w:val="en-US"/>
        </w:rPr>
        <w:t>’</w:t>
      </w:r>
      <w:r>
        <w:rPr>
          <w:lang w:val="en-US"/>
        </w:rPr>
        <w:t xml:space="preserve">. </w:t>
      </w:r>
    </w:p>
    <w:p w14:paraId="22A4922B" w14:textId="2B4E7532" w:rsidR="00453589" w:rsidRPr="00D31047" w:rsidRDefault="00453589" w:rsidP="00453589">
      <w:pPr>
        <w:rPr>
          <w:lang w:val="en-US"/>
        </w:rPr>
      </w:pPr>
    </w:p>
    <w:sectPr w:rsidR="00453589" w:rsidRPr="00D31047" w:rsidSect="006C08DB">
      <w:footerReference w:type="even" r:id="rId8"/>
      <w:footerReference w:type="default" r:id="rId9"/>
      <w:pgSz w:w="11900" w:h="16840"/>
      <w:pgMar w:top="1440" w:right="1800" w:bottom="1440" w:left="226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0F69A" w14:textId="77777777" w:rsidR="005D3F2C" w:rsidRDefault="005D3F2C">
      <w:r>
        <w:separator/>
      </w:r>
    </w:p>
  </w:endnote>
  <w:endnote w:type="continuationSeparator" w:id="0">
    <w:p w14:paraId="08895931" w14:textId="77777777" w:rsidR="005D3F2C" w:rsidRDefault="005D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egoe UI">
    <w:altName w:val="Calibri"/>
    <w:charset w:val="00"/>
    <w:family w:val="swiss"/>
    <w:pitch w:val="variable"/>
    <w:sig w:usb0="E4002EFF" w:usb1="C000E47F"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Courier">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auto"/>
    <w:pitch w:val="variable"/>
    <w:sig w:usb0="00000003" w:usb1="00000000" w:usb2="00000000" w:usb3="00000000" w:csb0="00000001" w:csb1="00000000"/>
  </w:font>
  <w:font w:name="Code">
    <w:altName w:val="Cambria"/>
    <w:panose1 w:val="00000000000000000000"/>
    <w:charset w:val="4D"/>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241CE" w14:textId="77777777" w:rsidR="005D3F2C" w:rsidRDefault="005D3F2C" w:rsidP="00722F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E36EFF" w14:textId="77777777" w:rsidR="005D3F2C" w:rsidRDefault="005D3F2C" w:rsidP="00722FA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139B2" w14:textId="77777777" w:rsidR="005D3F2C" w:rsidRDefault="005D3F2C" w:rsidP="00722F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537A">
      <w:rPr>
        <w:rStyle w:val="PageNumber"/>
        <w:noProof/>
      </w:rPr>
      <w:t>1</w:t>
    </w:r>
    <w:r>
      <w:rPr>
        <w:rStyle w:val="PageNumber"/>
      </w:rPr>
      <w:fldChar w:fldCharType="end"/>
    </w:r>
  </w:p>
  <w:p w14:paraId="6E2F3E59" w14:textId="77777777" w:rsidR="005D3F2C" w:rsidRDefault="005D3F2C" w:rsidP="00722FA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8906B" w14:textId="77777777" w:rsidR="005D3F2C" w:rsidRDefault="005D3F2C">
      <w:r>
        <w:separator/>
      </w:r>
    </w:p>
  </w:footnote>
  <w:footnote w:type="continuationSeparator" w:id="0">
    <w:p w14:paraId="2C1A3DDE" w14:textId="77777777" w:rsidR="005D3F2C" w:rsidRDefault="005D3F2C">
      <w:r>
        <w:continuationSeparator/>
      </w:r>
    </w:p>
  </w:footnote>
  <w:footnote w:id="1">
    <w:p w14:paraId="0945398D" w14:textId="75E9E479" w:rsidR="005D3F2C" w:rsidRDefault="005D3F2C" w:rsidP="00183AC0">
      <w:pPr>
        <w:pStyle w:val="FootnoteText"/>
      </w:pPr>
      <w:r>
        <w:t xml:space="preserve">* </w:t>
      </w:r>
      <w:r w:rsidRPr="000C4A24">
        <w:t>I am grateful to Simon Halliday, Jenny Steele, Adam Tucker, Sarah Wilson and Abbie North for their comments on earlier drafts of this article.</w:t>
      </w:r>
      <w:r>
        <w:t xml:space="preserve"> </w:t>
      </w:r>
      <w:r w:rsidRPr="009B5D41">
        <w:t xml:space="preserve">I am </w:t>
      </w:r>
      <w:r>
        <w:t xml:space="preserve">also grateful for the help of </w:t>
      </w:r>
      <w:r w:rsidRPr="009B5D41">
        <w:t>Emma Simmons at York Law School,</w:t>
      </w:r>
      <w:r>
        <w:t xml:space="preserve"> and</w:t>
      </w:r>
      <w:r w:rsidRPr="009B5D41">
        <w:t xml:space="preserve"> staff from the Borthwick Institute for Archives at the University of York</w:t>
      </w:r>
      <w:r>
        <w:t>,</w:t>
      </w:r>
      <w:r w:rsidRPr="009B5D41">
        <w:t xml:space="preserve"> for assistance in accessing and </w:t>
      </w:r>
      <w:r>
        <w:t>translat</w:t>
      </w:r>
      <w:r w:rsidRPr="009B5D41">
        <w:t>ing the (limited) primary sources utilised for this paper.</w:t>
      </w:r>
    </w:p>
    <w:p w14:paraId="5A54C209" w14:textId="47A5EBCD" w:rsidR="005D3F2C" w:rsidRPr="00C41AFF" w:rsidRDefault="005D3F2C" w:rsidP="00183AC0">
      <w:pPr>
        <w:pStyle w:val="FootnoteText"/>
      </w:pPr>
      <w:r>
        <w:rPr>
          <w:rStyle w:val="FootnoteReference"/>
        </w:rPr>
        <w:footnoteRef/>
      </w:r>
      <w:r>
        <w:t xml:space="preserve"> R Scully ‘The Unmaking of a Saint: Thomas Becket and the English Reformation’ (2000) 86 The Catholic Historical Review 579, p 582. Most scholars agree that the knights initially intended no more than arrest, the murder resulting, in part, from Becket’s refusal </w:t>
      </w:r>
      <w:r w:rsidRPr="00C41AFF">
        <w:t xml:space="preserve">to go quietly </w:t>
      </w:r>
      <w:r w:rsidRPr="00C41AFF">
        <w:rPr>
          <w:lang w:val="en-US"/>
        </w:rPr>
        <w:t xml:space="preserve">(N Vincent ‘The Murderers of Thomas Becket’ in N Fyde and D Reitz </w:t>
      </w:r>
      <w:r>
        <w:rPr>
          <w:rFonts w:cs="Verdana"/>
          <w:lang w:val="en-US"/>
        </w:rPr>
        <w:t>(</w:t>
      </w:r>
      <w:r w:rsidRPr="001250B9">
        <w:rPr>
          <w:rFonts w:cs="Verdana"/>
          <w:lang w:val="en-US"/>
        </w:rPr>
        <w:t>eds</w:t>
      </w:r>
      <w:r>
        <w:rPr>
          <w:rFonts w:cs="Verdana"/>
          <w:lang w:val="en-US"/>
        </w:rPr>
        <w:t>)</w:t>
      </w:r>
      <w:r w:rsidRPr="001250B9">
        <w:rPr>
          <w:rFonts w:cs="Verdana"/>
          <w:lang w:val="en-US"/>
        </w:rPr>
        <w:t xml:space="preserve"> </w:t>
      </w:r>
      <w:r w:rsidRPr="00C41AFF">
        <w:rPr>
          <w:i/>
          <w:lang w:val="en-US"/>
        </w:rPr>
        <w:t>Bischofsmord im Mittelalter</w:t>
      </w:r>
      <w:r w:rsidRPr="00C41AFF">
        <w:rPr>
          <w:lang w:val="en-US"/>
        </w:rPr>
        <w:t xml:space="preserve"> (Göttingen: Vandenhoeck &amp; Ruprecht</w:t>
      </w:r>
      <w:r>
        <w:rPr>
          <w:lang w:val="en-US"/>
        </w:rPr>
        <w:t>, 2003)</w:t>
      </w:r>
      <w:r w:rsidRPr="00C41AFF">
        <w:rPr>
          <w:lang w:val="en-US"/>
        </w:rPr>
        <w:t xml:space="preserve"> p 211).</w:t>
      </w:r>
    </w:p>
  </w:footnote>
  <w:footnote w:id="2">
    <w:p w14:paraId="6CA74CD4" w14:textId="7A8BC8EB" w:rsidR="005D3F2C" w:rsidRPr="00D53592" w:rsidRDefault="005D3F2C">
      <w:pPr>
        <w:pStyle w:val="FootnoteText"/>
        <w:rPr>
          <w:szCs w:val="22"/>
          <w:lang w:val="en-US"/>
        </w:rPr>
      </w:pPr>
      <w:r w:rsidRPr="00D53592">
        <w:rPr>
          <w:rStyle w:val="FootnoteReference"/>
          <w:szCs w:val="22"/>
        </w:rPr>
        <w:footnoteRef/>
      </w:r>
      <w:r w:rsidRPr="00D53592">
        <w:rPr>
          <w:szCs w:val="22"/>
        </w:rPr>
        <w:t xml:space="preserve"> The full horror of the sacrilege included profaning the church, in the (sacred) Christmas season, with the blood and murder of a priest, cutting off the crown of his head (which had been dedicated to god), and scraping the brain out to scatter with blood and bones all over the panel floor </w:t>
      </w:r>
      <w:r w:rsidRPr="00D53592">
        <w:rPr>
          <w:rFonts w:cs="Arial"/>
          <w:szCs w:val="22"/>
          <w:lang w:val="en-US"/>
        </w:rPr>
        <w:t xml:space="preserve">(A Duggan </w:t>
      </w:r>
      <w:r w:rsidRPr="00D53592">
        <w:rPr>
          <w:rFonts w:cs="Arial"/>
          <w:i/>
          <w:szCs w:val="22"/>
          <w:lang w:val="en-US"/>
        </w:rPr>
        <w:t xml:space="preserve">Thomas Becket (Reputations) </w:t>
      </w:r>
      <w:r w:rsidRPr="00D53592">
        <w:rPr>
          <w:rFonts w:cs="Arial"/>
          <w:szCs w:val="22"/>
          <w:lang w:val="en-US"/>
        </w:rPr>
        <w:t>(London: Arnold</w:t>
      </w:r>
      <w:r>
        <w:rPr>
          <w:rFonts w:cs="Arial"/>
          <w:szCs w:val="22"/>
          <w:lang w:val="en-US"/>
        </w:rPr>
        <w:t>, 2004)</w:t>
      </w:r>
      <w:r w:rsidRPr="00D53592">
        <w:rPr>
          <w:rFonts w:cs="Arial"/>
          <w:szCs w:val="22"/>
          <w:lang w:val="en-US"/>
        </w:rPr>
        <w:t xml:space="preserve"> p 227).</w:t>
      </w:r>
      <w:r w:rsidRPr="00D53592">
        <w:rPr>
          <w:szCs w:val="22"/>
        </w:rPr>
        <w:t xml:space="preserve">  </w:t>
      </w:r>
    </w:p>
  </w:footnote>
  <w:footnote w:id="3">
    <w:p w14:paraId="00A4C17E" w14:textId="51E2D9BF" w:rsidR="005D3F2C" w:rsidRPr="00D53592" w:rsidRDefault="005D3F2C" w:rsidP="00183AC0">
      <w:pPr>
        <w:pStyle w:val="FootnoteText"/>
        <w:rPr>
          <w:szCs w:val="22"/>
        </w:rPr>
      </w:pPr>
      <w:r w:rsidRPr="00D53592">
        <w:rPr>
          <w:rStyle w:val="FootnoteReference"/>
          <w:szCs w:val="22"/>
        </w:rPr>
        <w:footnoteRef/>
      </w:r>
      <w:r w:rsidRPr="00D53592">
        <w:rPr>
          <w:szCs w:val="22"/>
        </w:rPr>
        <w:t xml:space="preserve"> To store them as holy relics (</w:t>
      </w:r>
      <w:r w:rsidRPr="00D53592">
        <w:rPr>
          <w:rFonts w:cs="Verdana"/>
          <w:bCs/>
          <w:szCs w:val="22"/>
          <w:lang w:val="en-US"/>
        </w:rPr>
        <w:t>D Hayes ‘</w:t>
      </w:r>
      <w:r w:rsidRPr="00D53592">
        <w:rPr>
          <w:rFonts w:cs="Verdana"/>
          <w:szCs w:val="22"/>
          <w:lang w:val="en-US"/>
        </w:rPr>
        <w:t xml:space="preserve">Body as Champion of Church Authority and Sacred Place: The Murder of Thomas Becket’ in M Meyerson, D Thiery and O Falk (eds) </w:t>
      </w:r>
      <w:r w:rsidRPr="00D53592">
        <w:rPr>
          <w:rFonts w:cs="Verdana"/>
          <w:i/>
          <w:szCs w:val="22"/>
          <w:lang w:val="en-US"/>
        </w:rPr>
        <w:t>A Great Effusion of Blood: Interpreting Medieval Violence</w:t>
      </w:r>
      <w:r w:rsidRPr="00D53592">
        <w:rPr>
          <w:rFonts w:cs="Verdana"/>
          <w:szCs w:val="22"/>
          <w:lang w:val="en-US"/>
        </w:rPr>
        <w:t xml:space="preserve"> (Toronto: University of Toronto Press, 2004)</w:t>
      </w:r>
      <w:r w:rsidRPr="00D53592">
        <w:rPr>
          <w:szCs w:val="22"/>
        </w:rPr>
        <w:t xml:space="preserve"> p 198).</w:t>
      </w:r>
    </w:p>
  </w:footnote>
  <w:footnote w:id="4">
    <w:p w14:paraId="4B9FB9AB" w14:textId="1952B9DE" w:rsidR="005D3F2C" w:rsidRPr="00D53592" w:rsidRDefault="005D3F2C" w:rsidP="00183AC0">
      <w:pPr>
        <w:pStyle w:val="FootnoteText"/>
        <w:rPr>
          <w:szCs w:val="22"/>
        </w:rPr>
      </w:pPr>
      <w:r w:rsidRPr="00D53592">
        <w:rPr>
          <w:rStyle w:val="FootnoteReference"/>
          <w:szCs w:val="22"/>
        </w:rPr>
        <w:footnoteRef/>
      </w:r>
      <w:r w:rsidRPr="00D53592">
        <w:rPr>
          <w:szCs w:val="22"/>
        </w:rPr>
        <w:t xml:space="preserve"> ‘The Reconciliation Sentence and Service in St. Paul’s Cathedral’, Consistory Court of London, February 7, 1891. Reported in Chancellor Tristram </w:t>
      </w:r>
      <w:r w:rsidRPr="00D53592">
        <w:rPr>
          <w:i/>
          <w:szCs w:val="22"/>
        </w:rPr>
        <w:t xml:space="preserve">The Principal Judgments Delivered in the Consistory Courts of London, Hereford Ripon and Wakefield, and in the Commissary of Canterbury 1872 to 1890 </w:t>
      </w:r>
      <w:r w:rsidRPr="00D53592">
        <w:rPr>
          <w:szCs w:val="22"/>
        </w:rPr>
        <w:t xml:space="preserve">(London: Butterworths, 1893) p 164. </w:t>
      </w:r>
    </w:p>
  </w:footnote>
  <w:footnote w:id="5">
    <w:p w14:paraId="49A2A61F" w14:textId="77777777" w:rsidR="005D3F2C" w:rsidRPr="00D53592" w:rsidRDefault="005D3F2C" w:rsidP="00183AC0">
      <w:pPr>
        <w:pStyle w:val="FootnoteText"/>
        <w:rPr>
          <w:i/>
          <w:szCs w:val="22"/>
        </w:rPr>
      </w:pPr>
      <w:r w:rsidRPr="00D53592">
        <w:rPr>
          <w:rStyle w:val="FootnoteReference"/>
          <w:szCs w:val="22"/>
        </w:rPr>
        <w:footnoteRef/>
      </w:r>
      <w:r w:rsidRPr="00D53592">
        <w:rPr>
          <w:szCs w:val="22"/>
        </w:rPr>
        <w:t xml:space="preserve"> </w:t>
      </w:r>
      <w:r w:rsidRPr="00D53592">
        <w:rPr>
          <w:i/>
          <w:szCs w:val="22"/>
        </w:rPr>
        <w:t xml:space="preserve">R. (on the application of Redland Minerals Ltd) v Secretary of State for the Environment, Food &amp; Rural Affairs </w:t>
      </w:r>
      <w:r w:rsidRPr="00D53592">
        <w:rPr>
          <w:szCs w:val="22"/>
        </w:rPr>
        <w:t>[2010] EWHC 913 (Admin).</w:t>
      </w:r>
      <w:r w:rsidRPr="00D53592">
        <w:rPr>
          <w:i/>
          <w:szCs w:val="22"/>
        </w:rPr>
        <w:t xml:space="preserve"> </w:t>
      </w:r>
    </w:p>
  </w:footnote>
  <w:footnote w:id="6">
    <w:p w14:paraId="7FCBBFC3" w14:textId="06C8654F" w:rsidR="005D3F2C" w:rsidRPr="00D53592" w:rsidRDefault="005D3F2C" w:rsidP="00183AC0">
      <w:pPr>
        <w:pStyle w:val="FootnoteText"/>
        <w:rPr>
          <w:szCs w:val="22"/>
        </w:rPr>
      </w:pPr>
      <w:r w:rsidRPr="00D53592">
        <w:rPr>
          <w:rStyle w:val="FootnoteReference"/>
          <w:szCs w:val="22"/>
        </w:rPr>
        <w:footnoteRef/>
      </w:r>
      <w:r w:rsidRPr="00D53592">
        <w:rPr>
          <w:szCs w:val="22"/>
        </w:rPr>
        <w:t xml:space="preserve"> See, for example, R Sandberg </w:t>
      </w:r>
      <w:r w:rsidRPr="00D53592">
        <w:rPr>
          <w:i/>
          <w:szCs w:val="22"/>
        </w:rPr>
        <w:t xml:space="preserve">Law and Religion </w:t>
      </w:r>
      <w:r w:rsidRPr="00D53592">
        <w:rPr>
          <w:szCs w:val="22"/>
        </w:rPr>
        <w:t xml:space="preserve">(Cambridge: CUP, 2011), A Musson and C Stebbings </w:t>
      </w:r>
      <w:r w:rsidRPr="00D53592">
        <w:rPr>
          <w:i/>
          <w:szCs w:val="22"/>
        </w:rPr>
        <w:t xml:space="preserve">Making Legal History: </w:t>
      </w:r>
      <w:r w:rsidRPr="00D53592">
        <w:rPr>
          <w:rFonts w:eastAsiaTheme="minorHAnsi" w:cs="Helvetica Neue"/>
          <w:i/>
          <w:color w:val="1A1A1A"/>
          <w:szCs w:val="22"/>
          <w:lang w:val="en-US" w:eastAsia="en-US"/>
        </w:rPr>
        <w:t>Approaches and Methodologies</w:t>
      </w:r>
      <w:r w:rsidRPr="00D53592">
        <w:rPr>
          <w:szCs w:val="22"/>
        </w:rPr>
        <w:t xml:space="preserve"> (Cambridge: CUP, 2012) and A Gillespie ‘Religious Justifications For Environmental Protection’ in A Gillespie (ed) </w:t>
      </w:r>
      <w:r w:rsidRPr="00D53592">
        <w:rPr>
          <w:i/>
          <w:szCs w:val="22"/>
        </w:rPr>
        <w:t xml:space="preserve">International Environmental Law, Policy, and Ethics </w:t>
      </w:r>
      <w:r w:rsidRPr="00D53592">
        <w:rPr>
          <w:szCs w:val="22"/>
        </w:rPr>
        <w:t xml:space="preserve">(Oxford: OUP, 2000). </w:t>
      </w:r>
    </w:p>
  </w:footnote>
  <w:footnote w:id="7">
    <w:p w14:paraId="0DF2C7A8" w14:textId="60FDBD10" w:rsidR="005D3F2C" w:rsidRPr="00CC4094" w:rsidRDefault="005D3F2C" w:rsidP="00917046">
      <w:pPr>
        <w:pStyle w:val="FootnoteText"/>
        <w:rPr>
          <w:lang w:val="en-US"/>
        </w:rPr>
      </w:pPr>
      <w:r w:rsidRPr="00D53592">
        <w:rPr>
          <w:rStyle w:val="FootnoteReference"/>
          <w:szCs w:val="22"/>
        </w:rPr>
        <w:footnoteRef/>
      </w:r>
      <w:r w:rsidRPr="00D53592">
        <w:rPr>
          <w:szCs w:val="22"/>
        </w:rPr>
        <w:t xml:space="preserve"> </w:t>
      </w:r>
      <w:r w:rsidRPr="00D53592">
        <w:rPr>
          <w:szCs w:val="22"/>
          <w:lang w:val="en-US"/>
        </w:rPr>
        <w:t>There is also no single event in the history of the Middle Ages with the details so well</w:t>
      </w:r>
      <w:r>
        <w:rPr>
          <w:lang w:val="en-US"/>
        </w:rPr>
        <w:t xml:space="preserve"> known as Becket’s </w:t>
      </w:r>
      <w:r w:rsidRPr="00D53592">
        <w:rPr>
          <w:lang w:val="en-US"/>
        </w:rPr>
        <w:t>murder (Vincent</w:t>
      </w:r>
      <w:r>
        <w:rPr>
          <w:lang w:val="en-US"/>
        </w:rPr>
        <w:t>, p</w:t>
      </w:r>
      <w:r w:rsidRPr="00D53592">
        <w:rPr>
          <w:lang w:val="en-US"/>
        </w:rPr>
        <w:t xml:space="preserve"> 211, above n 1).</w:t>
      </w:r>
    </w:p>
  </w:footnote>
  <w:footnote w:id="8">
    <w:p w14:paraId="46888723" w14:textId="77777777" w:rsidR="005D3F2C" w:rsidRPr="009B5D41" w:rsidRDefault="005D3F2C" w:rsidP="00183AC0">
      <w:pPr>
        <w:pStyle w:val="FootnoteText"/>
      </w:pPr>
      <w:r w:rsidRPr="009B5D41">
        <w:rPr>
          <w:rStyle w:val="FootnoteReference"/>
        </w:rPr>
        <w:footnoteRef/>
      </w:r>
      <w:r w:rsidRPr="009B5D41">
        <w:t xml:space="preserve"> Including excommunication for some, and public penance for King Henry II.</w:t>
      </w:r>
    </w:p>
  </w:footnote>
  <w:footnote w:id="9">
    <w:p w14:paraId="7EB527BF" w14:textId="7DFB5602" w:rsidR="005D3F2C" w:rsidRPr="00FD2C96" w:rsidRDefault="005D3F2C" w:rsidP="00183AC0">
      <w:pPr>
        <w:rPr>
          <w:rFonts w:ascii="Times New Roman" w:hAnsi="Times New Roman"/>
          <w:sz w:val="22"/>
        </w:rPr>
      </w:pPr>
      <w:r w:rsidRPr="00FD2C96">
        <w:rPr>
          <w:rStyle w:val="FootnoteReference"/>
          <w:rFonts w:ascii="Times New Roman" w:hAnsi="Times New Roman"/>
          <w:sz w:val="22"/>
        </w:rPr>
        <w:footnoteRef/>
      </w:r>
      <w:r w:rsidRPr="00FD2C96">
        <w:rPr>
          <w:rFonts w:ascii="Times New Roman" w:hAnsi="Times New Roman"/>
          <w:sz w:val="22"/>
        </w:rPr>
        <w:t xml:space="preserve"> Hayes</w:t>
      </w:r>
      <w:r>
        <w:rPr>
          <w:rFonts w:ascii="Times New Roman" w:hAnsi="Times New Roman"/>
          <w:sz w:val="22"/>
        </w:rPr>
        <w:t xml:space="preserve">, p </w:t>
      </w:r>
      <w:r w:rsidRPr="00FD2C96">
        <w:rPr>
          <w:rFonts w:ascii="Times New Roman" w:hAnsi="Times New Roman"/>
          <w:sz w:val="22"/>
        </w:rPr>
        <w:t>198</w:t>
      </w:r>
      <w:r>
        <w:rPr>
          <w:rFonts w:ascii="Times New Roman" w:hAnsi="Times New Roman"/>
          <w:sz w:val="22"/>
        </w:rPr>
        <w:t>, above n 3.</w:t>
      </w:r>
      <w:r w:rsidRPr="00FD2C96">
        <w:rPr>
          <w:rFonts w:ascii="Times New Roman" w:hAnsi="Times New Roman"/>
          <w:sz w:val="22"/>
        </w:rPr>
        <w:t xml:space="preserve"> </w:t>
      </w:r>
      <w:r>
        <w:rPr>
          <w:rFonts w:ascii="Times New Roman" w:hAnsi="Times New Roman"/>
          <w:sz w:val="22"/>
        </w:rPr>
        <w:t>‘The great church, one of the ancient shrines of Christendom, stood violated and defiled…It was to be almost a year before Canterbury Cathedral was declared cleansed from the sacrilege</w:t>
      </w:r>
      <w:r w:rsidRPr="00180962">
        <w:rPr>
          <w:rFonts w:ascii="Times New Roman" w:hAnsi="Times New Roman"/>
          <w:sz w:val="22"/>
        </w:rPr>
        <w:t xml:space="preserve">’ (W Urry </w:t>
      </w:r>
      <w:r w:rsidRPr="00180962">
        <w:rPr>
          <w:rFonts w:ascii="Times New Roman" w:hAnsi="Times New Roman"/>
          <w:i/>
          <w:sz w:val="22"/>
        </w:rPr>
        <w:t>Thomas Becket: His Last Days</w:t>
      </w:r>
      <w:r w:rsidRPr="00180962">
        <w:rPr>
          <w:rFonts w:ascii="Times New Roman" w:hAnsi="Times New Roman"/>
          <w:sz w:val="22"/>
        </w:rPr>
        <w:t xml:space="preserve"> (Stroud: Sutton Publishing, 1999) p 155). </w:t>
      </w:r>
    </w:p>
  </w:footnote>
  <w:footnote w:id="10">
    <w:p w14:paraId="06C2C905" w14:textId="2C1C6E2C" w:rsidR="005D3F2C" w:rsidRPr="00D53592" w:rsidRDefault="005D3F2C" w:rsidP="00CB3679">
      <w:pPr>
        <w:rPr>
          <w:rFonts w:ascii="Times New Roman" w:hAnsi="Times New Roman"/>
          <w:sz w:val="22"/>
        </w:rPr>
      </w:pPr>
      <w:r w:rsidRPr="00D53592">
        <w:rPr>
          <w:rStyle w:val="FootnoteReference"/>
          <w:rFonts w:ascii="Times New Roman" w:hAnsi="Times New Roman"/>
          <w:sz w:val="22"/>
        </w:rPr>
        <w:footnoteRef/>
      </w:r>
      <w:r w:rsidRPr="00D53592">
        <w:rPr>
          <w:rFonts w:ascii="Times New Roman" w:hAnsi="Times New Roman"/>
          <w:sz w:val="22"/>
        </w:rPr>
        <w:t xml:space="preserve"> </w:t>
      </w:r>
      <w:r w:rsidRPr="00D53592">
        <w:rPr>
          <w:rFonts w:ascii="Times New Roman" w:hAnsi="Times New Roman" w:cs="Arial"/>
          <w:sz w:val="22"/>
          <w:szCs w:val="22"/>
          <w:lang w:val="en-US"/>
        </w:rPr>
        <w:t xml:space="preserve">Duggan, p </w:t>
      </w:r>
      <w:r>
        <w:rPr>
          <w:rFonts w:ascii="Times New Roman" w:hAnsi="Times New Roman" w:cs="Arial"/>
          <w:sz w:val="22"/>
          <w:szCs w:val="22"/>
          <w:lang w:val="en-US"/>
        </w:rPr>
        <w:t>215</w:t>
      </w:r>
      <w:r w:rsidRPr="00D53592">
        <w:rPr>
          <w:rFonts w:ascii="Times New Roman" w:hAnsi="Times New Roman" w:cs="Arial"/>
          <w:sz w:val="22"/>
          <w:szCs w:val="22"/>
          <w:lang w:val="en-US"/>
        </w:rPr>
        <w:t>, above n 2.</w:t>
      </w:r>
    </w:p>
  </w:footnote>
  <w:footnote w:id="11">
    <w:p w14:paraId="197E72FD" w14:textId="4DD3364F" w:rsidR="005D3F2C" w:rsidRPr="007C764D" w:rsidRDefault="005D3F2C" w:rsidP="00D159AB">
      <w:pPr>
        <w:pStyle w:val="FootnoteText"/>
        <w:rPr>
          <w:lang w:val="en-US"/>
        </w:rPr>
      </w:pPr>
      <w:r>
        <w:rPr>
          <w:rStyle w:val="FootnoteReference"/>
        </w:rPr>
        <w:footnoteRef/>
      </w:r>
      <w:r>
        <w:t xml:space="preserve"> Murray notes that </w:t>
      </w:r>
      <w:r>
        <w:rPr>
          <w:lang w:val="en-US"/>
        </w:rPr>
        <w:t xml:space="preserve">suicide ‘polluted’ speech, thought, the body and place, which meant that a sacred space, such as a chapel, might need to be </w:t>
      </w:r>
      <w:r w:rsidRPr="00180962">
        <w:rPr>
          <w:lang w:val="en-US"/>
        </w:rPr>
        <w:t xml:space="preserve">reconsecrated (A Murray </w:t>
      </w:r>
      <w:r w:rsidRPr="00180962">
        <w:rPr>
          <w:i/>
          <w:lang w:val="en-US"/>
        </w:rPr>
        <w:t xml:space="preserve">Suicide in the Middle Ages: Vol. II </w:t>
      </w:r>
      <w:r w:rsidRPr="00180962">
        <w:rPr>
          <w:lang w:val="en-US"/>
        </w:rPr>
        <w:t>(Oxford: OUP, 1998) p 449); the question arising in the case of an attempted suicide in 1297, for example (Murray, p 403).</w:t>
      </w:r>
      <w:r>
        <w:rPr>
          <w:lang w:val="en-US"/>
        </w:rPr>
        <w:t xml:space="preserve"> </w:t>
      </w:r>
    </w:p>
  </w:footnote>
  <w:footnote w:id="12">
    <w:p w14:paraId="79A67764" w14:textId="6B736769" w:rsidR="005D3F2C" w:rsidRPr="009B5D41" w:rsidRDefault="005D3F2C" w:rsidP="00183AC0">
      <w:pPr>
        <w:pStyle w:val="FootnoteText"/>
      </w:pPr>
      <w:r w:rsidRPr="009B5D41">
        <w:rPr>
          <w:rStyle w:val="FootnoteReference"/>
        </w:rPr>
        <w:footnoteRef/>
      </w:r>
      <w:r w:rsidRPr="009B5D41">
        <w:t xml:space="preserve"> As the focus of this paper</w:t>
      </w:r>
      <w:r>
        <w:t xml:space="preserve"> is the historic regulation of Church P</w:t>
      </w:r>
      <w:r w:rsidRPr="009B5D41">
        <w:t xml:space="preserve">ollution, references will use the past tense. This is </w:t>
      </w:r>
      <w:r>
        <w:t>not</w:t>
      </w:r>
      <w:r w:rsidRPr="009B5D41">
        <w:t xml:space="preserve"> to suggest that it has no contemporary use or relevance.</w:t>
      </w:r>
      <w:r>
        <w:t xml:space="preserve"> An example of a recent (related) event, in the Anglican Church, is the re-dedication of a churchyard in Didcot in March 2014 following the discovery of a murder victim there. </w:t>
      </w:r>
    </w:p>
  </w:footnote>
  <w:footnote w:id="13">
    <w:p w14:paraId="023F2879" w14:textId="505440D4" w:rsidR="005D3F2C" w:rsidRPr="00B24A58" w:rsidRDefault="005D3F2C" w:rsidP="00B24A58">
      <w:pPr>
        <w:rPr>
          <w:rFonts w:ascii="Times New Roman" w:hAnsi="Times New Roman"/>
          <w:sz w:val="22"/>
        </w:rPr>
      </w:pPr>
      <w:r w:rsidRPr="00B24A58">
        <w:rPr>
          <w:rStyle w:val="FootnoteReference"/>
          <w:rFonts w:ascii="Times New Roman" w:hAnsi="Times New Roman"/>
          <w:sz w:val="22"/>
        </w:rPr>
        <w:footnoteRef/>
      </w:r>
      <w:r w:rsidRPr="00B24A58">
        <w:rPr>
          <w:rFonts w:ascii="Times New Roman" w:hAnsi="Times New Roman"/>
          <w:sz w:val="22"/>
        </w:rPr>
        <w:t xml:space="preserve"> </w:t>
      </w:r>
      <w:r>
        <w:rPr>
          <w:rFonts w:ascii="Times New Roman" w:hAnsi="Times New Roman"/>
          <w:sz w:val="22"/>
          <w:lang w:val="en-US"/>
        </w:rPr>
        <w:t>R</w:t>
      </w:r>
      <w:r w:rsidRPr="00B24A58">
        <w:rPr>
          <w:rFonts w:ascii="Times New Roman" w:hAnsi="Times New Roman"/>
          <w:sz w:val="22"/>
          <w:lang w:val="en-US"/>
        </w:rPr>
        <w:t xml:space="preserve"> Helmholz</w:t>
      </w:r>
      <w:r>
        <w:rPr>
          <w:rFonts w:ascii="Times New Roman" w:hAnsi="Times New Roman"/>
          <w:sz w:val="22"/>
          <w:lang w:val="en-US"/>
        </w:rPr>
        <w:t xml:space="preserve"> </w:t>
      </w:r>
      <w:r w:rsidRPr="00B24A58">
        <w:rPr>
          <w:rFonts w:ascii="Times New Roman" w:hAnsi="Times New Roman"/>
          <w:i/>
          <w:sz w:val="22"/>
          <w:lang w:val="en-US"/>
        </w:rPr>
        <w:t xml:space="preserve">The Oxford </w:t>
      </w:r>
      <w:r>
        <w:rPr>
          <w:rFonts w:ascii="Times New Roman" w:hAnsi="Times New Roman"/>
          <w:i/>
          <w:sz w:val="22"/>
          <w:lang w:val="en-US"/>
        </w:rPr>
        <w:t>H</w:t>
      </w:r>
      <w:r w:rsidRPr="00B24A58">
        <w:rPr>
          <w:rFonts w:ascii="Times New Roman" w:hAnsi="Times New Roman"/>
          <w:i/>
          <w:sz w:val="22"/>
          <w:lang w:val="en-US"/>
        </w:rPr>
        <w:t xml:space="preserve">istory of the </w:t>
      </w:r>
      <w:r>
        <w:rPr>
          <w:rFonts w:ascii="Times New Roman" w:hAnsi="Times New Roman"/>
          <w:i/>
          <w:sz w:val="22"/>
          <w:lang w:val="en-US"/>
        </w:rPr>
        <w:t>L</w:t>
      </w:r>
      <w:r w:rsidRPr="00B24A58">
        <w:rPr>
          <w:rFonts w:ascii="Times New Roman" w:hAnsi="Times New Roman"/>
          <w:i/>
          <w:sz w:val="22"/>
          <w:lang w:val="en-US"/>
        </w:rPr>
        <w:t>aws of England</w:t>
      </w:r>
      <w:r>
        <w:rPr>
          <w:rFonts w:ascii="Times New Roman" w:hAnsi="Times New Roman"/>
          <w:i/>
          <w:sz w:val="22"/>
          <w:lang w:val="en-US"/>
        </w:rPr>
        <w:t>,</w:t>
      </w:r>
      <w:r w:rsidRPr="00B24A58">
        <w:rPr>
          <w:rFonts w:ascii="Times New Roman" w:hAnsi="Times New Roman"/>
          <w:i/>
          <w:sz w:val="22"/>
          <w:lang w:val="en-US"/>
        </w:rPr>
        <w:t xml:space="preserve"> Vol</w:t>
      </w:r>
      <w:r>
        <w:rPr>
          <w:rFonts w:ascii="Times New Roman" w:hAnsi="Times New Roman"/>
          <w:i/>
          <w:sz w:val="22"/>
          <w:lang w:val="en-US"/>
        </w:rPr>
        <w:t>.</w:t>
      </w:r>
      <w:r w:rsidRPr="00B24A58">
        <w:rPr>
          <w:rFonts w:ascii="Times New Roman" w:hAnsi="Times New Roman"/>
          <w:i/>
          <w:sz w:val="22"/>
          <w:lang w:val="en-US"/>
        </w:rPr>
        <w:t xml:space="preserve"> I, the </w:t>
      </w:r>
      <w:r>
        <w:rPr>
          <w:rFonts w:ascii="Times New Roman" w:hAnsi="Times New Roman"/>
          <w:i/>
          <w:sz w:val="22"/>
          <w:lang w:val="en-US"/>
        </w:rPr>
        <w:t>C</w:t>
      </w:r>
      <w:r w:rsidRPr="00B24A58">
        <w:rPr>
          <w:rFonts w:ascii="Times New Roman" w:hAnsi="Times New Roman"/>
          <w:i/>
          <w:sz w:val="22"/>
          <w:lang w:val="en-US"/>
        </w:rPr>
        <w:t xml:space="preserve">anon </w:t>
      </w:r>
      <w:r>
        <w:rPr>
          <w:rFonts w:ascii="Times New Roman" w:hAnsi="Times New Roman"/>
          <w:i/>
          <w:sz w:val="22"/>
          <w:lang w:val="en-US"/>
        </w:rPr>
        <w:t>L</w:t>
      </w:r>
      <w:r w:rsidRPr="00B24A58">
        <w:rPr>
          <w:rFonts w:ascii="Times New Roman" w:hAnsi="Times New Roman"/>
          <w:i/>
          <w:sz w:val="22"/>
          <w:lang w:val="en-US"/>
        </w:rPr>
        <w:t xml:space="preserve">aw and </w:t>
      </w:r>
      <w:r>
        <w:rPr>
          <w:rFonts w:ascii="Times New Roman" w:hAnsi="Times New Roman"/>
          <w:i/>
          <w:sz w:val="22"/>
          <w:lang w:val="en-US"/>
        </w:rPr>
        <w:t>E</w:t>
      </w:r>
      <w:r w:rsidRPr="00B24A58">
        <w:rPr>
          <w:rFonts w:ascii="Times New Roman" w:hAnsi="Times New Roman"/>
          <w:i/>
          <w:sz w:val="22"/>
          <w:lang w:val="en-US"/>
        </w:rPr>
        <w:t xml:space="preserve">cclesiastical </w:t>
      </w:r>
      <w:r>
        <w:rPr>
          <w:rFonts w:ascii="Times New Roman" w:hAnsi="Times New Roman"/>
          <w:i/>
          <w:sz w:val="22"/>
          <w:lang w:val="en-US"/>
        </w:rPr>
        <w:t>J</w:t>
      </w:r>
      <w:r w:rsidRPr="00B24A58">
        <w:rPr>
          <w:rFonts w:ascii="Times New Roman" w:hAnsi="Times New Roman"/>
          <w:i/>
          <w:sz w:val="22"/>
          <w:lang w:val="en-US"/>
        </w:rPr>
        <w:t xml:space="preserve">urisdiction from 597 to the 1640s </w:t>
      </w:r>
      <w:r w:rsidRPr="00B24A58">
        <w:rPr>
          <w:rFonts w:ascii="Times New Roman" w:hAnsi="Times New Roman"/>
          <w:sz w:val="22"/>
          <w:lang w:val="en-US"/>
        </w:rPr>
        <w:t>(</w:t>
      </w:r>
      <w:r>
        <w:rPr>
          <w:rFonts w:ascii="Times New Roman" w:hAnsi="Times New Roman"/>
          <w:sz w:val="22"/>
          <w:lang w:val="en-US"/>
        </w:rPr>
        <w:t xml:space="preserve">Oxford: </w:t>
      </w:r>
      <w:r w:rsidRPr="00B24A58">
        <w:rPr>
          <w:rFonts w:ascii="Times New Roman" w:hAnsi="Times New Roman"/>
          <w:sz w:val="22"/>
          <w:lang w:val="en-US"/>
        </w:rPr>
        <w:t>OUP</w:t>
      </w:r>
      <w:r>
        <w:rPr>
          <w:rFonts w:ascii="Times New Roman" w:hAnsi="Times New Roman"/>
          <w:sz w:val="22"/>
          <w:lang w:val="en-US"/>
        </w:rPr>
        <w:t>,</w:t>
      </w:r>
      <w:r w:rsidRPr="00B24A58">
        <w:rPr>
          <w:rFonts w:ascii="Times New Roman" w:hAnsi="Times New Roman"/>
          <w:sz w:val="22"/>
          <w:lang w:val="en-US"/>
        </w:rPr>
        <w:t xml:space="preserve"> 2004)</w:t>
      </w:r>
      <w:r w:rsidRPr="00B24A58">
        <w:rPr>
          <w:rFonts w:ascii="Times New Roman" w:hAnsi="Times New Roman"/>
          <w:sz w:val="22"/>
        </w:rPr>
        <w:t xml:space="preserve"> p.494 in broad terms, (including theft of church property).</w:t>
      </w:r>
    </w:p>
  </w:footnote>
  <w:footnote w:id="14">
    <w:p w14:paraId="4C006839" w14:textId="5B9BC55C" w:rsidR="005D3F2C" w:rsidRPr="00B24A58" w:rsidRDefault="005D3F2C" w:rsidP="00B24A58">
      <w:pPr>
        <w:rPr>
          <w:rFonts w:ascii="Times New Roman" w:hAnsi="Times New Roman"/>
          <w:sz w:val="22"/>
        </w:rPr>
      </w:pPr>
      <w:r w:rsidRPr="00B24A58">
        <w:rPr>
          <w:rStyle w:val="FootnoteReference"/>
          <w:rFonts w:ascii="Times New Roman" w:hAnsi="Times New Roman"/>
          <w:sz w:val="22"/>
        </w:rPr>
        <w:footnoteRef/>
      </w:r>
      <w:r w:rsidRPr="00B24A58">
        <w:rPr>
          <w:rFonts w:ascii="Times New Roman" w:hAnsi="Times New Roman"/>
          <w:sz w:val="22"/>
        </w:rPr>
        <w:t xml:space="preserve"> </w:t>
      </w:r>
      <w:r>
        <w:rPr>
          <w:rFonts w:ascii="Times New Roman" w:hAnsi="Times New Roman"/>
          <w:sz w:val="22"/>
          <w:lang w:val="en-US"/>
        </w:rPr>
        <w:t>Ibid</w:t>
      </w:r>
      <w:r w:rsidRPr="00E21204">
        <w:rPr>
          <w:rFonts w:ascii="Times New Roman" w:hAnsi="Times New Roman"/>
          <w:sz w:val="22"/>
        </w:rPr>
        <w:t>,</w:t>
      </w:r>
      <w:r>
        <w:rPr>
          <w:rFonts w:ascii="Times New Roman" w:hAnsi="Times New Roman"/>
          <w:sz w:val="22"/>
        </w:rPr>
        <w:t xml:space="preserve"> p </w:t>
      </w:r>
      <w:r w:rsidRPr="00B24A58">
        <w:rPr>
          <w:rFonts w:ascii="Times New Roman" w:hAnsi="Times New Roman"/>
          <w:sz w:val="22"/>
        </w:rPr>
        <w:t>495.</w:t>
      </w:r>
    </w:p>
  </w:footnote>
  <w:footnote w:id="15">
    <w:p w14:paraId="46AB2A60" w14:textId="77777777" w:rsidR="005D3F2C" w:rsidRPr="009B5D41" w:rsidRDefault="005D3F2C" w:rsidP="00183AC0">
      <w:pPr>
        <w:pStyle w:val="FootnoteText"/>
      </w:pPr>
      <w:r w:rsidRPr="009B5D41">
        <w:rPr>
          <w:rStyle w:val="FootnoteReference"/>
        </w:rPr>
        <w:footnoteRef/>
      </w:r>
      <w:r w:rsidRPr="009B5D41">
        <w:t xml:space="preserve"> and continues to be, of course.</w:t>
      </w:r>
    </w:p>
  </w:footnote>
  <w:footnote w:id="16">
    <w:p w14:paraId="2F858349" w14:textId="77777777" w:rsidR="005D3F2C" w:rsidRDefault="005D3F2C" w:rsidP="00634C6E">
      <w:pPr>
        <w:pStyle w:val="FootnoteText"/>
      </w:pPr>
      <w:r>
        <w:rPr>
          <w:rStyle w:val="FootnoteReference"/>
        </w:rPr>
        <w:footnoteRef/>
      </w:r>
      <w:r>
        <w:t xml:space="preserve"> The term ‘spiritual’ is generally used in this paper in the context of the intangible aspects of religious belief, specifically those relating to the Church in Medieval England. That is in no way to seek to equate spirituality with organised religion.   </w:t>
      </w:r>
    </w:p>
  </w:footnote>
  <w:footnote w:id="17">
    <w:p w14:paraId="300A5C44" w14:textId="058679C1" w:rsidR="005D3F2C" w:rsidRPr="009B5D41" w:rsidRDefault="005D3F2C" w:rsidP="00183AC0">
      <w:pPr>
        <w:pStyle w:val="FootnoteText"/>
      </w:pPr>
      <w:r w:rsidRPr="009B5D41">
        <w:rPr>
          <w:rStyle w:val="FootnoteReference"/>
        </w:rPr>
        <w:footnoteRef/>
      </w:r>
      <w:r w:rsidRPr="009B5D41">
        <w:t xml:space="preserve"> </w:t>
      </w:r>
      <w:r w:rsidRPr="00B24A58">
        <w:rPr>
          <w:lang w:val="en-US"/>
        </w:rPr>
        <w:t>Helmholz</w:t>
      </w:r>
      <w:r w:rsidRPr="00E21204">
        <w:t>,</w:t>
      </w:r>
      <w:r>
        <w:t xml:space="preserve"> p </w:t>
      </w:r>
      <w:r w:rsidRPr="009B5D41">
        <w:t>497</w:t>
      </w:r>
      <w:r>
        <w:rPr>
          <w:lang w:val="en-US"/>
        </w:rPr>
        <w:t>, above n 13</w:t>
      </w:r>
      <w:r>
        <w:t>.</w:t>
      </w:r>
    </w:p>
  </w:footnote>
  <w:footnote w:id="18">
    <w:p w14:paraId="5CCBC98B" w14:textId="77777777" w:rsidR="005D3F2C" w:rsidRDefault="005D3F2C">
      <w:pPr>
        <w:pStyle w:val="FootnoteText"/>
      </w:pPr>
      <w:r>
        <w:rPr>
          <w:rStyle w:val="FootnoteReference"/>
        </w:rPr>
        <w:footnoteRef/>
      </w:r>
      <w:r>
        <w:t xml:space="preserve"> Blood is, of course, associated ‘impurity’ in many religions.</w:t>
      </w:r>
    </w:p>
  </w:footnote>
  <w:footnote w:id="19">
    <w:p w14:paraId="02E8D827" w14:textId="5FD117A4" w:rsidR="005D3F2C" w:rsidRPr="00C8630D" w:rsidRDefault="005D3F2C" w:rsidP="00D159AB">
      <w:pPr>
        <w:pStyle w:val="FootnoteText"/>
        <w:rPr>
          <w:color w:val="FF0000"/>
        </w:rPr>
      </w:pPr>
      <w:r>
        <w:rPr>
          <w:rStyle w:val="FootnoteReference"/>
        </w:rPr>
        <w:footnoteRef/>
      </w:r>
      <w:r>
        <w:t xml:space="preserve"> </w:t>
      </w:r>
      <w:r w:rsidRPr="009E172B">
        <w:t xml:space="preserve">D Thiery </w:t>
      </w:r>
      <w:r w:rsidRPr="009E172B">
        <w:rPr>
          <w:i/>
        </w:rPr>
        <w:t>Polluting the Sacred</w:t>
      </w:r>
      <w:r w:rsidRPr="009E172B">
        <w:rPr>
          <w:i/>
          <w:lang w:val="en-US"/>
        </w:rPr>
        <w:t>: Violence, Faith, and the 'Civilizing' of Parishioners in Late Medieval England</w:t>
      </w:r>
      <w:r w:rsidRPr="009E172B">
        <w:rPr>
          <w:lang w:val="en-US"/>
        </w:rPr>
        <w:t xml:space="preserve"> (Leiden: Brill, 2009)</w:t>
      </w:r>
      <w:r w:rsidRPr="009E172B">
        <w:t xml:space="preserve"> p 48.</w:t>
      </w:r>
      <w:r>
        <w:t xml:space="preserve"> </w:t>
      </w:r>
    </w:p>
  </w:footnote>
  <w:footnote w:id="20">
    <w:p w14:paraId="5CC5E8B3" w14:textId="4EBCDD69" w:rsidR="005D3F2C" w:rsidRPr="00196C36" w:rsidRDefault="005D3F2C">
      <w:pPr>
        <w:pStyle w:val="FootnoteText"/>
        <w:rPr>
          <w:lang w:val="en-US"/>
        </w:rPr>
      </w:pPr>
      <w:r>
        <w:rPr>
          <w:rStyle w:val="FootnoteReference"/>
        </w:rPr>
        <w:footnoteRef/>
      </w:r>
      <w:r>
        <w:t xml:space="preserve"> </w:t>
      </w:r>
      <w:r>
        <w:rPr>
          <w:lang w:val="en-US"/>
        </w:rPr>
        <w:t xml:space="preserve">Translation of </w:t>
      </w:r>
      <w:r w:rsidRPr="00C74F48">
        <w:t xml:space="preserve">Gratian’s Decretum C. 3. D. LXVIII </w:t>
      </w:r>
      <w:r>
        <w:t>(</w:t>
      </w:r>
      <w:r w:rsidRPr="00C74F48">
        <w:t>repeated in</w:t>
      </w:r>
      <w:r>
        <w:t xml:space="preserve"> </w:t>
      </w:r>
      <w:r w:rsidRPr="00F64406">
        <w:t>Decreti Tertia Pars De Consecrati Dist. I C.XX</w:t>
      </w:r>
      <w:r>
        <w:t>),</w:t>
      </w:r>
      <w:r>
        <w:rPr>
          <w:lang w:val="en-US"/>
        </w:rPr>
        <w:t xml:space="preserve"> yery kindly provided by Gary Brannan of the Borthwick Institute for Archives, University of York: ‘things’ meaning ‘places’ in this context.</w:t>
      </w:r>
    </w:p>
  </w:footnote>
  <w:footnote w:id="21">
    <w:p w14:paraId="3CC099B7" w14:textId="77777777" w:rsidR="005D3F2C" w:rsidRDefault="005D3F2C" w:rsidP="00183AC0">
      <w:pPr>
        <w:pStyle w:val="FootnoteText"/>
      </w:pPr>
      <w:r>
        <w:rPr>
          <w:rStyle w:val="FootnoteReference"/>
        </w:rPr>
        <w:footnoteRef/>
      </w:r>
      <w:r>
        <w:t xml:space="preserve"> Perhaps a result of the more ‘multifunctional’ use of church property in the Middle Ages. </w:t>
      </w:r>
    </w:p>
  </w:footnote>
  <w:footnote w:id="22">
    <w:p w14:paraId="78AB9F2E" w14:textId="7CEA5A27" w:rsidR="005D3F2C" w:rsidRDefault="005D3F2C" w:rsidP="00183AC0">
      <w:pPr>
        <w:pStyle w:val="FootnoteText"/>
      </w:pPr>
      <w:r>
        <w:rPr>
          <w:rStyle w:val="FootnoteReference"/>
        </w:rPr>
        <w:footnoteRef/>
      </w:r>
      <w:r>
        <w:t xml:space="preserve"> R Helmholz ‘</w:t>
      </w:r>
      <w:r w:rsidRPr="0082405C">
        <w:rPr>
          <w:lang w:val="en-US"/>
        </w:rPr>
        <w:t>Crime, Compurgation and the Courts of the Medieval Church</w:t>
      </w:r>
      <w:r>
        <w:rPr>
          <w:lang w:val="en-US"/>
        </w:rPr>
        <w:t>’</w:t>
      </w:r>
      <w:r w:rsidRPr="0082405C">
        <w:rPr>
          <w:lang w:val="en-US"/>
        </w:rPr>
        <w:t xml:space="preserve"> (1983)</w:t>
      </w:r>
      <w:r>
        <w:rPr>
          <w:lang w:val="en-US"/>
        </w:rPr>
        <w:t xml:space="preserve"> </w:t>
      </w:r>
      <w:r w:rsidRPr="0082405C">
        <w:rPr>
          <w:lang w:val="en-US"/>
        </w:rPr>
        <w:t xml:space="preserve">1 </w:t>
      </w:r>
      <w:r w:rsidRPr="002A415D">
        <w:rPr>
          <w:iCs/>
          <w:lang w:val="en-US"/>
        </w:rPr>
        <w:t>Law and History Review</w:t>
      </w:r>
      <w:r>
        <w:rPr>
          <w:lang w:val="en-US"/>
        </w:rPr>
        <w:t xml:space="preserve"> 1</w:t>
      </w:r>
      <w:r>
        <w:t>, p 7.</w:t>
      </w:r>
    </w:p>
  </w:footnote>
  <w:footnote w:id="23">
    <w:p w14:paraId="6B069507" w14:textId="48A2A386" w:rsidR="005D3F2C" w:rsidRDefault="005D3F2C" w:rsidP="00183AC0">
      <w:pPr>
        <w:pStyle w:val="FootnoteText"/>
      </w:pPr>
      <w:r>
        <w:rPr>
          <w:rStyle w:val="FootnoteReference"/>
        </w:rPr>
        <w:footnoteRef/>
      </w:r>
      <w:r>
        <w:t xml:space="preserve"> (Involving either violence, or burial of excommunicates) P Clarke </w:t>
      </w:r>
      <w:r>
        <w:rPr>
          <w:i/>
          <w:lang w:val="en-US"/>
        </w:rPr>
        <w:t>The I</w:t>
      </w:r>
      <w:r w:rsidRPr="0082405C">
        <w:rPr>
          <w:i/>
          <w:lang w:val="en-US"/>
        </w:rPr>
        <w:t>nte</w:t>
      </w:r>
      <w:r>
        <w:rPr>
          <w:i/>
          <w:lang w:val="en-US"/>
        </w:rPr>
        <w:t>rdict in the Thirteenth Century</w:t>
      </w:r>
      <w:r w:rsidRPr="0082405C">
        <w:rPr>
          <w:i/>
          <w:lang w:val="en-US"/>
        </w:rPr>
        <w:t xml:space="preserve">: </w:t>
      </w:r>
      <w:r>
        <w:rPr>
          <w:i/>
          <w:lang w:val="en-US"/>
        </w:rPr>
        <w:t>A</w:t>
      </w:r>
      <w:r w:rsidRPr="0082405C">
        <w:rPr>
          <w:i/>
          <w:lang w:val="en-US"/>
        </w:rPr>
        <w:t xml:space="preserve"> </w:t>
      </w:r>
      <w:r>
        <w:rPr>
          <w:i/>
          <w:lang w:val="en-US"/>
        </w:rPr>
        <w:t>Q</w:t>
      </w:r>
      <w:r w:rsidRPr="0082405C">
        <w:rPr>
          <w:i/>
          <w:lang w:val="en-US"/>
        </w:rPr>
        <w:t xml:space="preserve">uestion of </w:t>
      </w:r>
      <w:r>
        <w:rPr>
          <w:i/>
          <w:lang w:val="en-US"/>
        </w:rPr>
        <w:t>C</w:t>
      </w:r>
      <w:r w:rsidRPr="0082405C">
        <w:rPr>
          <w:i/>
          <w:lang w:val="en-US"/>
        </w:rPr>
        <w:t xml:space="preserve">ollective </w:t>
      </w:r>
      <w:r>
        <w:rPr>
          <w:i/>
          <w:lang w:val="en-US"/>
        </w:rPr>
        <w:t>G</w:t>
      </w:r>
      <w:r w:rsidRPr="0082405C">
        <w:rPr>
          <w:i/>
          <w:lang w:val="en-US"/>
        </w:rPr>
        <w:t>uilt</w:t>
      </w:r>
      <w:r>
        <w:t xml:space="preserve"> (Oxford: OUP, 2007) p 222.</w:t>
      </w:r>
    </w:p>
  </w:footnote>
  <w:footnote w:id="24">
    <w:p w14:paraId="76902E57" w14:textId="77EF98DD" w:rsidR="005D3F2C" w:rsidRPr="009B5D41" w:rsidRDefault="005D3F2C" w:rsidP="00183AC0">
      <w:pPr>
        <w:pStyle w:val="FootnoteText"/>
      </w:pPr>
      <w:r w:rsidRPr="009B5D41">
        <w:rPr>
          <w:rStyle w:val="FootnoteReference"/>
        </w:rPr>
        <w:footnoteRef/>
      </w:r>
      <w:r w:rsidRPr="009B5D41">
        <w:t xml:space="preserve"> </w:t>
      </w:r>
      <w:r>
        <w:t xml:space="preserve">‘The Old Chapels at St John’s’ in Harrison </w:t>
      </w:r>
      <w:r w:rsidRPr="002A415D">
        <w:rPr>
          <w:i/>
        </w:rPr>
        <w:t>Records of the Tynwald &amp; St John’s Chapel in the Isle of Man, ManxSoc Vol. XIX</w:t>
      </w:r>
      <w:r>
        <w:t xml:space="preserve"> (available at: </w:t>
      </w:r>
      <w:hyperlink r:id="rId1" w:history="1">
        <w:r w:rsidRPr="002B4298">
          <w:rPr>
            <w:rStyle w:val="Hyperlink"/>
          </w:rPr>
          <w:t>http://isle-of-man.com/manxnotebook/manxsoc/msvol19/pt02.htm</w:t>
        </w:r>
      </w:hyperlink>
      <w:r>
        <w:t xml:space="preserve"> [accessed 27 March 2015].</w:t>
      </w:r>
    </w:p>
  </w:footnote>
  <w:footnote w:id="25">
    <w:p w14:paraId="144EC91A" w14:textId="77777777" w:rsidR="005D3F2C" w:rsidRPr="009B5D41" w:rsidRDefault="005D3F2C" w:rsidP="00183AC0">
      <w:pPr>
        <w:pStyle w:val="FootnoteText"/>
      </w:pPr>
      <w:r w:rsidRPr="009B5D41">
        <w:rPr>
          <w:rStyle w:val="FootnoteReference"/>
        </w:rPr>
        <w:footnoteRef/>
      </w:r>
      <w:r w:rsidRPr="009B5D41">
        <w:t xml:space="preserve"> </w:t>
      </w:r>
      <w:r>
        <w:t xml:space="preserve">A suicide case at Calvary Church Manhattan in 1897, reported in the New York Times 21 June 1897 (see </w:t>
      </w:r>
      <w:hyperlink r:id="rId2" w:history="1">
        <w:r w:rsidRPr="00A9453E">
          <w:rPr>
            <w:rStyle w:val="Hyperlink"/>
          </w:rPr>
          <w:t>http://query.nytimes.com/mem/archive-free/pdf?res=F10612FF3F5811738DDDA80A94DE405B8785F0D3</w:t>
        </w:r>
      </w:hyperlink>
      <w:r>
        <w:t xml:space="preserve"> [accessed 27 March 2015])</w:t>
      </w:r>
      <w:r w:rsidRPr="009B5D41">
        <w:t>.</w:t>
      </w:r>
    </w:p>
  </w:footnote>
  <w:footnote w:id="26">
    <w:p w14:paraId="2D85A9E9" w14:textId="694E7DD4" w:rsidR="005D3F2C" w:rsidRDefault="005D3F2C" w:rsidP="00183AC0">
      <w:pPr>
        <w:pStyle w:val="FootnoteText"/>
      </w:pPr>
      <w:r>
        <w:rPr>
          <w:rStyle w:val="FootnoteReference"/>
        </w:rPr>
        <w:footnoteRef/>
      </w:r>
      <w:r>
        <w:t xml:space="preserve"> The Canterbury &amp; York Society Series (</w:t>
      </w:r>
      <w:r w:rsidRPr="0054345F">
        <w:rPr>
          <w:lang w:val="en-US"/>
        </w:rPr>
        <w:t>editions of episcopal and archiepiscopal registers</w:t>
      </w:r>
      <w:r>
        <w:rPr>
          <w:lang w:val="en-US"/>
        </w:rPr>
        <w:t>)</w:t>
      </w:r>
      <w:r>
        <w:t>. I am grateful for the assistance of Jack Wells and Anthony Lynch in undertaking this survey.</w:t>
      </w:r>
    </w:p>
  </w:footnote>
  <w:footnote w:id="27">
    <w:p w14:paraId="7BD423B6" w14:textId="56E0DFAE" w:rsidR="005D3F2C" w:rsidRPr="009B5D41" w:rsidRDefault="005D3F2C" w:rsidP="00183AC0">
      <w:pPr>
        <w:pStyle w:val="FootnoteText"/>
      </w:pPr>
      <w:r w:rsidRPr="009B5D41">
        <w:rPr>
          <w:rStyle w:val="FootnoteReference"/>
        </w:rPr>
        <w:footnoteRef/>
      </w:r>
      <w:r w:rsidRPr="009B5D41">
        <w:t xml:space="preserve"> </w:t>
      </w:r>
      <w:r>
        <w:t>As well as cases from the 14</w:t>
      </w:r>
      <w:r w:rsidRPr="007E2647">
        <w:rPr>
          <w:vertAlign w:val="superscript"/>
        </w:rPr>
        <w:t>th</w:t>
      </w:r>
      <w:r>
        <w:t xml:space="preserve"> century. </w:t>
      </w:r>
    </w:p>
  </w:footnote>
  <w:footnote w:id="28">
    <w:p w14:paraId="146AF5AE" w14:textId="0627A86E" w:rsidR="005D3F2C" w:rsidRPr="001F460D" w:rsidRDefault="005D3F2C" w:rsidP="00183AC0">
      <w:pPr>
        <w:pStyle w:val="FootnoteText"/>
      </w:pPr>
      <w:r>
        <w:rPr>
          <w:rStyle w:val="FootnoteReference"/>
        </w:rPr>
        <w:footnoteRef/>
      </w:r>
      <w:r>
        <w:t xml:space="preserve"> </w:t>
      </w:r>
      <w:r w:rsidRPr="001F460D">
        <w:t xml:space="preserve">At Carlisle Cathedral, </w:t>
      </w:r>
      <w:r w:rsidRPr="001F460D">
        <w:rPr>
          <w:rFonts w:eastAsiaTheme="minorHAnsi" w:cs="Arial"/>
          <w:szCs w:val="26"/>
          <w:lang w:val="en-US" w:eastAsia="en-US"/>
        </w:rPr>
        <w:t>Thompson</w:t>
      </w:r>
      <w:r w:rsidRPr="001F460D">
        <w:rPr>
          <w:rFonts w:eastAsiaTheme="minorHAnsi" w:cs="Arial"/>
          <w:i/>
          <w:iCs/>
          <w:szCs w:val="26"/>
          <w:lang w:val="en-US" w:eastAsia="en-US"/>
        </w:rPr>
        <w:t xml:space="preserve"> </w:t>
      </w:r>
      <w:r w:rsidRPr="001F460D">
        <w:rPr>
          <w:rFonts w:eastAsiaTheme="minorHAnsi" w:cs="Arial"/>
          <w:iCs/>
          <w:szCs w:val="26"/>
          <w:lang w:val="en-US" w:eastAsia="en-US"/>
        </w:rPr>
        <w:t>(</w:t>
      </w:r>
      <w:r>
        <w:rPr>
          <w:rFonts w:eastAsiaTheme="minorHAnsi" w:cs="Arial"/>
          <w:szCs w:val="26"/>
          <w:lang w:val="en-US" w:eastAsia="en-US"/>
        </w:rPr>
        <w:t>ed</w:t>
      </w:r>
      <w:r w:rsidRPr="001F460D">
        <w:rPr>
          <w:rFonts w:eastAsiaTheme="minorHAnsi" w:cs="Arial"/>
          <w:szCs w:val="26"/>
          <w:lang w:val="en-US" w:eastAsia="en-US"/>
        </w:rPr>
        <w:t xml:space="preserve">) </w:t>
      </w:r>
      <w:r w:rsidRPr="001F460D">
        <w:rPr>
          <w:rFonts w:eastAsiaTheme="minorHAnsi" w:cs="Arial"/>
          <w:i/>
          <w:iCs/>
          <w:szCs w:val="26"/>
          <w:lang w:val="en-US" w:eastAsia="en-US"/>
        </w:rPr>
        <w:t xml:space="preserve">Register of John de Halton, Bishop of Carlisle, 1292-1324 </w:t>
      </w:r>
      <w:r w:rsidRPr="001F460D">
        <w:t>(</w:t>
      </w:r>
      <w:r>
        <w:t xml:space="preserve">London: </w:t>
      </w:r>
      <w:r w:rsidRPr="001F460D">
        <w:t xml:space="preserve">The Canterbury &amp; </w:t>
      </w:r>
      <w:r>
        <w:t>York Society Series, vol. 12, 1913) p</w:t>
      </w:r>
      <w:r w:rsidRPr="001F460D">
        <w:t xml:space="preserve"> 76.</w:t>
      </w:r>
    </w:p>
  </w:footnote>
  <w:footnote w:id="29">
    <w:p w14:paraId="665FD1BA" w14:textId="03DBF838" w:rsidR="005D3F2C" w:rsidRPr="001F460D" w:rsidRDefault="005D3F2C" w:rsidP="00183AC0">
      <w:pPr>
        <w:pStyle w:val="FootnoteText"/>
      </w:pPr>
      <w:r w:rsidRPr="001F460D">
        <w:rPr>
          <w:rStyle w:val="FootnoteReference"/>
        </w:rPr>
        <w:footnoteRef/>
      </w:r>
      <w:r w:rsidRPr="001F460D">
        <w:t xml:space="preserve"> </w:t>
      </w:r>
      <w:r>
        <w:rPr>
          <w:rFonts w:eastAsiaTheme="minorHAnsi" w:cs="Arial"/>
          <w:szCs w:val="26"/>
          <w:lang w:val="en-US" w:eastAsia="en-US"/>
        </w:rPr>
        <w:t xml:space="preserve">Bannister (ed) </w:t>
      </w:r>
      <w:r w:rsidRPr="001F460D">
        <w:rPr>
          <w:rFonts w:eastAsiaTheme="minorHAnsi" w:cs="Arial"/>
          <w:i/>
          <w:iCs/>
          <w:szCs w:val="26"/>
          <w:lang w:val="en-US" w:eastAsia="en-US"/>
        </w:rPr>
        <w:t>Registrum Ricardi Mayew, episcopi Herefordensis, 1504-16</w:t>
      </w:r>
      <w:r>
        <w:rPr>
          <w:rFonts w:eastAsiaTheme="minorHAnsi" w:cs="Arial"/>
          <w:szCs w:val="26"/>
          <w:lang w:val="en-US" w:eastAsia="en-US"/>
        </w:rPr>
        <w:t xml:space="preserve"> </w:t>
      </w:r>
      <w:r w:rsidRPr="001F460D">
        <w:t>(</w:t>
      </w:r>
      <w:r>
        <w:t xml:space="preserve">London: </w:t>
      </w:r>
      <w:r w:rsidRPr="001F460D">
        <w:t xml:space="preserve">The Canterbury &amp; </w:t>
      </w:r>
      <w:r>
        <w:t>York Society Series, vol. 27, 1921) p</w:t>
      </w:r>
      <w:r w:rsidRPr="001F460D">
        <w:t xml:space="preserve"> 105.</w:t>
      </w:r>
    </w:p>
  </w:footnote>
  <w:footnote w:id="30">
    <w:p w14:paraId="04FDAB49" w14:textId="610137E7" w:rsidR="005D3F2C" w:rsidRDefault="005D3F2C" w:rsidP="00183AC0">
      <w:pPr>
        <w:pStyle w:val="FootnoteText"/>
      </w:pPr>
      <w:r w:rsidRPr="001F460D">
        <w:rPr>
          <w:rStyle w:val="FootnoteReference"/>
        </w:rPr>
        <w:footnoteRef/>
      </w:r>
      <w:r w:rsidRPr="001F460D">
        <w:t xml:space="preserve"> At Exeter Cathedral in 1425, </w:t>
      </w:r>
      <w:r w:rsidRPr="001F460D">
        <w:rPr>
          <w:rFonts w:eastAsiaTheme="minorHAnsi" w:cs="Arial"/>
          <w:szCs w:val="26"/>
          <w:lang w:val="en-US" w:eastAsia="en-US"/>
        </w:rPr>
        <w:t>Dunstan</w:t>
      </w:r>
      <w:r>
        <w:rPr>
          <w:rFonts w:eastAsiaTheme="minorHAnsi" w:cs="Arial"/>
          <w:szCs w:val="26"/>
          <w:lang w:val="en-US" w:eastAsia="en-US"/>
        </w:rPr>
        <w:t xml:space="preserve"> (ed</w:t>
      </w:r>
      <w:r w:rsidRPr="001F460D">
        <w:rPr>
          <w:rFonts w:eastAsiaTheme="minorHAnsi" w:cs="Arial"/>
          <w:szCs w:val="26"/>
          <w:lang w:val="en-US" w:eastAsia="en-US"/>
        </w:rPr>
        <w:t xml:space="preserve">) </w:t>
      </w:r>
      <w:r w:rsidRPr="001F460D">
        <w:rPr>
          <w:rFonts w:eastAsiaTheme="minorHAnsi" w:cs="Arial"/>
          <w:i/>
          <w:iCs/>
          <w:szCs w:val="26"/>
          <w:lang w:val="en-US" w:eastAsia="en-US"/>
        </w:rPr>
        <w:t>The register of Edmund Lacy, Bishop of Exeter, 1420-55, 'Registrum commune' Vol. 1</w:t>
      </w:r>
      <w:r>
        <w:rPr>
          <w:rFonts w:eastAsiaTheme="minorHAnsi" w:cs="Arial"/>
          <w:szCs w:val="26"/>
          <w:lang w:val="en-US" w:eastAsia="en-US"/>
        </w:rPr>
        <w:t xml:space="preserve"> </w:t>
      </w:r>
      <w:r w:rsidRPr="001F460D">
        <w:t>(</w:t>
      </w:r>
      <w:r>
        <w:t xml:space="preserve">London: </w:t>
      </w:r>
      <w:r w:rsidRPr="001F460D">
        <w:t>The</w:t>
      </w:r>
      <w:r w:rsidRPr="000E3324">
        <w:t xml:space="preserve"> Canterbury &amp; York Society Series</w:t>
      </w:r>
      <w:r>
        <w:t xml:space="preserve">, </w:t>
      </w:r>
      <w:r w:rsidRPr="000E3324">
        <w:t>v</w:t>
      </w:r>
      <w:r>
        <w:t>ol. 60, 1963) p</w:t>
      </w:r>
      <w:r w:rsidRPr="001F460D">
        <w:t xml:space="preserve"> 157</w:t>
      </w:r>
      <w:r>
        <w:t>, for example.</w:t>
      </w:r>
    </w:p>
  </w:footnote>
  <w:footnote w:id="31">
    <w:p w14:paraId="12A0B36A" w14:textId="51F0F1C9" w:rsidR="005D3F2C" w:rsidRPr="001F460D" w:rsidRDefault="005D3F2C" w:rsidP="00183AC0">
      <w:pPr>
        <w:pStyle w:val="FootnoteText"/>
      </w:pPr>
      <w:r w:rsidRPr="001F460D">
        <w:rPr>
          <w:rStyle w:val="FootnoteReference"/>
        </w:rPr>
        <w:footnoteRef/>
      </w:r>
      <w:r w:rsidRPr="001F460D">
        <w:t xml:space="preserve"> At Broadwood Kelly Church in </w:t>
      </w:r>
      <w:r w:rsidRPr="00E21204">
        <w:t xml:space="preserve">1425, </w:t>
      </w:r>
      <w:r>
        <w:rPr>
          <w:rFonts w:eastAsiaTheme="minorHAnsi" w:cs="Arial"/>
          <w:iCs/>
          <w:szCs w:val="26"/>
          <w:lang w:val="en-US" w:eastAsia="en-US"/>
        </w:rPr>
        <w:t>Ibid</w:t>
      </w:r>
      <w:r w:rsidRPr="00E21204">
        <w:t>,</w:t>
      </w:r>
      <w:r>
        <w:t xml:space="preserve"> p </w:t>
      </w:r>
      <w:r w:rsidRPr="001F460D">
        <w:t>111, for example.</w:t>
      </w:r>
    </w:p>
  </w:footnote>
  <w:footnote w:id="32">
    <w:p w14:paraId="3A0F9D36" w14:textId="7C8CE6A9" w:rsidR="005D3F2C" w:rsidRPr="001F460D" w:rsidRDefault="005D3F2C" w:rsidP="00183AC0">
      <w:pPr>
        <w:pStyle w:val="FootnoteText"/>
      </w:pPr>
      <w:r w:rsidRPr="001F460D">
        <w:rPr>
          <w:rStyle w:val="FootnoteReference"/>
        </w:rPr>
        <w:footnoteRef/>
      </w:r>
      <w:r w:rsidRPr="001F460D">
        <w:t xml:space="preserve"> At Chulmelegh Parish Church in 1426</w:t>
      </w:r>
      <w:r w:rsidRPr="001F460D">
        <w:rPr>
          <w:rFonts w:eastAsiaTheme="minorHAnsi" w:cs="Arial"/>
          <w:iCs/>
          <w:szCs w:val="26"/>
          <w:lang w:val="en-US" w:eastAsia="en-US"/>
        </w:rPr>
        <w:t>,</w:t>
      </w:r>
      <w:r w:rsidRPr="001F460D">
        <w:rPr>
          <w:rFonts w:eastAsiaTheme="minorHAnsi" w:cs="Arial"/>
          <w:i/>
          <w:iCs/>
          <w:szCs w:val="26"/>
          <w:lang w:val="en-US" w:eastAsia="en-US"/>
        </w:rPr>
        <w:t xml:space="preserve"> </w:t>
      </w:r>
      <w:r>
        <w:rPr>
          <w:rFonts w:eastAsiaTheme="minorHAnsi" w:cs="Arial"/>
          <w:iCs/>
          <w:szCs w:val="26"/>
          <w:lang w:val="en-US" w:eastAsia="en-US"/>
        </w:rPr>
        <w:t>Ibid</w:t>
      </w:r>
      <w:r w:rsidRPr="001F460D">
        <w:t>,</w:t>
      </w:r>
      <w:r>
        <w:t xml:space="preserve"> p 161</w:t>
      </w:r>
      <w:r w:rsidRPr="001F460D">
        <w:t>, for example.</w:t>
      </w:r>
    </w:p>
  </w:footnote>
  <w:footnote w:id="33">
    <w:p w14:paraId="040EE0D6" w14:textId="1E2D2626" w:rsidR="005D3F2C" w:rsidRDefault="005D3F2C" w:rsidP="00183AC0">
      <w:pPr>
        <w:pStyle w:val="FootnoteText"/>
      </w:pPr>
      <w:r w:rsidRPr="001F460D">
        <w:rPr>
          <w:rStyle w:val="FootnoteReference"/>
        </w:rPr>
        <w:footnoteRef/>
      </w:r>
      <w:r w:rsidRPr="001F460D">
        <w:t xml:space="preserve"> At Stamford Courtenay </w:t>
      </w:r>
      <w:r>
        <w:t>Churchyard in 1421</w:t>
      </w:r>
      <w:r w:rsidRPr="001F460D">
        <w:rPr>
          <w:rFonts w:eastAsiaTheme="minorHAnsi" w:cs="Arial"/>
          <w:iCs/>
          <w:szCs w:val="26"/>
          <w:lang w:val="en-US" w:eastAsia="en-US"/>
        </w:rPr>
        <w:t>,</w:t>
      </w:r>
      <w:r w:rsidRPr="001F460D">
        <w:rPr>
          <w:rFonts w:eastAsiaTheme="minorHAnsi" w:cs="Arial"/>
          <w:i/>
          <w:iCs/>
          <w:szCs w:val="26"/>
          <w:lang w:val="en-US" w:eastAsia="en-US"/>
        </w:rPr>
        <w:t xml:space="preserve"> </w:t>
      </w:r>
      <w:r>
        <w:rPr>
          <w:rFonts w:eastAsiaTheme="minorHAnsi" w:cs="Arial"/>
          <w:iCs/>
          <w:szCs w:val="26"/>
          <w:lang w:val="en-US" w:eastAsia="en-US"/>
        </w:rPr>
        <w:t>Ibid</w:t>
      </w:r>
      <w:r>
        <w:t>, p</w:t>
      </w:r>
      <w:r w:rsidRPr="001F460D">
        <w:t xml:space="preserve"> 29</w:t>
      </w:r>
      <w:r>
        <w:t>, for example.</w:t>
      </w:r>
    </w:p>
  </w:footnote>
  <w:footnote w:id="34">
    <w:p w14:paraId="49D41868" w14:textId="34905BDA" w:rsidR="005D3F2C" w:rsidRPr="009B5D41" w:rsidRDefault="005D3F2C" w:rsidP="00183AC0">
      <w:pPr>
        <w:pStyle w:val="FootnoteText"/>
      </w:pPr>
      <w:r w:rsidRPr="009B5D41">
        <w:rPr>
          <w:rStyle w:val="FootnoteReference"/>
        </w:rPr>
        <w:footnoteRef/>
      </w:r>
      <w:r w:rsidRPr="009B5D41">
        <w:t xml:space="preserve"> </w:t>
      </w:r>
      <w:r>
        <w:t>Harrison, above n 24.</w:t>
      </w:r>
    </w:p>
  </w:footnote>
  <w:footnote w:id="35">
    <w:p w14:paraId="68B91D21" w14:textId="75C59E03" w:rsidR="005D3F2C" w:rsidRDefault="005D3F2C" w:rsidP="00183AC0">
      <w:pPr>
        <w:pStyle w:val="FootnoteText"/>
      </w:pPr>
      <w:r>
        <w:rPr>
          <w:rStyle w:val="FootnoteReference"/>
        </w:rPr>
        <w:footnoteRef/>
      </w:r>
      <w:r>
        <w:t xml:space="preserve"> Tristram, p 170,</w:t>
      </w:r>
      <w:r w:rsidRPr="00F84EED">
        <w:t xml:space="preserve"> </w:t>
      </w:r>
      <w:r>
        <w:t>above n 4. Though several instances of suicide in churches were noted, this was considered to have been the first recorded instance since the Reformation of such an act ‘during Divine Service and in the face of the congregation’.</w:t>
      </w:r>
    </w:p>
  </w:footnote>
  <w:footnote w:id="36">
    <w:p w14:paraId="278D7A0E" w14:textId="77777777" w:rsidR="005D3F2C" w:rsidRPr="009B5D41" w:rsidRDefault="005D3F2C" w:rsidP="002542D6">
      <w:pPr>
        <w:pStyle w:val="FootnoteText"/>
      </w:pPr>
      <w:r w:rsidRPr="009B5D41">
        <w:rPr>
          <w:rStyle w:val="FootnoteReference"/>
        </w:rPr>
        <w:footnoteRef/>
      </w:r>
      <w:r w:rsidRPr="009B5D41">
        <w:t xml:space="preserve"> </w:t>
      </w:r>
      <w:r>
        <w:rPr>
          <w:lang w:val="en-US"/>
        </w:rPr>
        <w:t>S Lewis ‘Dubbieside – Dun’</w:t>
      </w:r>
      <w:r w:rsidRPr="008E7FE1">
        <w:rPr>
          <w:lang w:val="en-US"/>
        </w:rPr>
        <w:t xml:space="preserve">, in </w:t>
      </w:r>
      <w:r w:rsidRPr="005F117A">
        <w:rPr>
          <w:i/>
          <w:lang w:val="en-US"/>
        </w:rPr>
        <w:t>A Topographical Dictionary of Scotland</w:t>
      </w:r>
      <w:r>
        <w:rPr>
          <w:lang w:val="en-US"/>
        </w:rPr>
        <w:t xml:space="preserve"> (London, 1846) pp</w:t>
      </w:r>
      <w:r w:rsidRPr="008E7FE1">
        <w:rPr>
          <w:lang w:val="en-US"/>
        </w:rPr>
        <w:t xml:space="preserve"> 297-310 </w:t>
      </w:r>
      <w:hyperlink r:id="rId3" w:history="1">
        <w:r w:rsidRPr="002B4298">
          <w:rPr>
            <w:rStyle w:val="Hyperlink"/>
            <w:lang w:val="en-US"/>
          </w:rPr>
          <w:t>http://www.british-history.ac.uk/topographical-dict/scotland/pp297-310</w:t>
        </w:r>
      </w:hyperlink>
      <w:r>
        <w:rPr>
          <w:lang w:val="en-US"/>
        </w:rPr>
        <w:t xml:space="preserve"> </w:t>
      </w:r>
      <w:r w:rsidRPr="008E7FE1">
        <w:rPr>
          <w:lang w:val="en-US"/>
        </w:rPr>
        <w:t>[accessed 27 March 2015].</w:t>
      </w:r>
    </w:p>
  </w:footnote>
  <w:footnote w:id="37">
    <w:p w14:paraId="6A032FAF" w14:textId="77777777" w:rsidR="005D3F2C" w:rsidRPr="00DC708A" w:rsidRDefault="005D3F2C" w:rsidP="009066CE">
      <w:pPr>
        <w:pStyle w:val="FootnoteText"/>
      </w:pPr>
      <w:r w:rsidRPr="00DC708A">
        <w:rPr>
          <w:rStyle w:val="FootnoteReference"/>
        </w:rPr>
        <w:footnoteRef/>
      </w:r>
      <w:r w:rsidRPr="00DC708A">
        <w:t xml:space="preserve"> Case 1400/01 Pollution of Church. LXIV ds. Joh. D</w:t>
      </w:r>
      <w:r>
        <w:t>el Grene, V. of Wystowe (in J Purvis</w:t>
      </w:r>
      <w:r w:rsidRPr="00DC708A">
        <w:t xml:space="preserve"> </w:t>
      </w:r>
      <w:r>
        <w:rPr>
          <w:rFonts w:eastAsiaTheme="minorHAnsi" w:cs="Verdana"/>
          <w:i/>
          <w:szCs w:val="26"/>
          <w:lang w:val="en-US" w:eastAsia="en-US"/>
        </w:rPr>
        <w:t>A Mediaeval Act Book</w:t>
      </w:r>
      <w:r w:rsidRPr="00DC708A">
        <w:rPr>
          <w:rFonts w:eastAsiaTheme="minorHAnsi" w:cs="Verdana"/>
          <w:i/>
          <w:szCs w:val="26"/>
          <w:lang w:val="en-US" w:eastAsia="en-US"/>
        </w:rPr>
        <w:t xml:space="preserve">: </w:t>
      </w:r>
      <w:r>
        <w:rPr>
          <w:rFonts w:eastAsiaTheme="minorHAnsi" w:cs="Verdana"/>
          <w:i/>
          <w:szCs w:val="26"/>
          <w:lang w:val="en-US" w:eastAsia="en-US"/>
        </w:rPr>
        <w:t>W</w:t>
      </w:r>
      <w:r w:rsidRPr="00DC708A">
        <w:rPr>
          <w:rFonts w:eastAsiaTheme="minorHAnsi" w:cs="Verdana"/>
          <w:i/>
          <w:szCs w:val="26"/>
          <w:lang w:val="en-US" w:eastAsia="en-US"/>
        </w:rPr>
        <w:t xml:space="preserve">ith </w:t>
      </w:r>
      <w:r>
        <w:rPr>
          <w:rFonts w:eastAsiaTheme="minorHAnsi" w:cs="Verdana"/>
          <w:i/>
          <w:szCs w:val="26"/>
          <w:lang w:val="en-US" w:eastAsia="en-US"/>
        </w:rPr>
        <w:t>S</w:t>
      </w:r>
      <w:r w:rsidRPr="00DC708A">
        <w:rPr>
          <w:rFonts w:eastAsiaTheme="minorHAnsi" w:cs="Verdana"/>
          <w:i/>
          <w:szCs w:val="26"/>
          <w:lang w:val="en-US" w:eastAsia="en-US"/>
        </w:rPr>
        <w:t xml:space="preserve">ome </w:t>
      </w:r>
      <w:r>
        <w:rPr>
          <w:rFonts w:eastAsiaTheme="minorHAnsi" w:cs="Verdana"/>
          <w:i/>
          <w:szCs w:val="26"/>
          <w:lang w:val="en-US" w:eastAsia="en-US"/>
        </w:rPr>
        <w:t>A</w:t>
      </w:r>
      <w:r w:rsidRPr="00DC708A">
        <w:rPr>
          <w:rFonts w:eastAsiaTheme="minorHAnsi" w:cs="Verdana"/>
          <w:i/>
          <w:szCs w:val="26"/>
          <w:lang w:val="en-US" w:eastAsia="en-US"/>
        </w:rPr>
        <w:t xml:space="preserve">ccount of </w:t>
      </w:r>
      <w:r>
        <w:rPr>
          <w:rFonts w:eastAsiaTheme="minorHAnsi" w:cs="Verdana"/>
          <w:i/>
          <w:szCs w:val="26"/>
          <w:lang w:val="en-US" w:eastAsia="en-US"/>
        </w:rPr>
        <w:t>E</w:t>
      </w:r>
      <w:r w:rsidRPr="00DC708A">
        <w:rPr>
          <w:rFonts w:eastAsiaTheme="minorHAnsi" w:cs="Verdana"/>
          <w:i/>
          <w:szCs w:val="26"/>
          <w:lang w:val="en-US" w:eastAsia="en-US"/>
        </w:rPr>
        <w:t xml:space="preserve">cclesiastical </w:t>
      </w:r>
      <w:r>
        <w:rPr>
          <w:rFonts w:eastAsiaTheme="minorHAnsi" w:cs="Verdana"/>
          <w:i/>
          <w:szCs w:val="26"/>
          <w:lang w:val="en-US" w:eastAsia="en-US"/>
        </w:rPr>
        <w:t>J</w:t>
      </w:r>
      <w:r w:rsidRPr="00DC708A">
        <w:rPr>
          <w:rFonts w:eastAsiaTheme="minorHAnsi" w:cs="Verdana"/>
          <w:i/>
          <w:szCs w:val="26"/>
          <w:lang w:val="en-US" w:eastAsia="en-US"/>
        </w:rPr>
        <w:t>urisdiction at York</w:t>
      </w:r>
      <w:r>
        <w:rPr>
          <w:rFonts w:eastAsiaTheme="minorHAnsi" w:cs="Verdana"/>
          <w:szCs w:val="26"/>
          <w:lang w:val="en-US" w:eastAsia="en-US"/>
        </w:rPr>
        <w:t xml:space="preserve"> (York: Herald Printing Works, 1943)</w:t>
      </w:r>
      <w:r>
        <w:t xml:space="preserve"> p </w:t>
      </w:r>
      <w:r w:rsidRPr="00DC708A">
        <w:t>51.</w:t>
      </w:r>
    </w:p>
  </w:footnote>
  <w:footnote w:id="38">
    <w:p w14:paraId="505B0126" w14:textId="491831AD" w:rsidR="005D3F2C" w:rsidRPr="00DC708A" w:rsidRDefault="005D3F2C" w:rsidP="00183AC0">
      <w:pPr>
        <w:pStyle w:val="FootnoteText"/>
      </w:pPr>
      <w:r w:rsidRPr="00DC708A">
        <w:rPr>
          <w:rStyle w:val="FootnoteReference"/>
        </w:rPr>
        <w:footnoteRef/>
      </w:r>
      <w:r w:rsidRPr="00DC708A">
        <w:t xml:space="preserve"> Sir Robert Phillimore, S</w:t>
      </w:r>
      <w:r>
        <w:t>ir Walter Phillimore and C Jemmett</w:t>
      </w:r>
      <w:r w:rsidRPr="00DC708A">
        <w:t xml:space="preserve"> </w:t>
      </w:r>
      <w:r w:rsidRPr="00DC708A">
        <w:rPr>
          <w:rFonts w:eastAsiaTheme="minorHAnsi" w:cs="Verdana"/>
          <w:bCs/>
          <w:i/>
          <w:color w:val="262623"/>
          <w:szCs w:val="26"/>
          <w:lang w:val="en-US" w:eastAsia="en-US"/>
        </w:rPr>
        <w:t xml:space="preserve">The </w:t>
      </w:r>
      <w:r>
        <w:rPr>
          <w:rFonts w:eastAsiaTheme="minorHAnsi" w:cs="Verdana"/>
          <w:bCs/>
          <w:i/>
          <w:color w:val="262623"/>
          <w:szCs w:val="26"/>
          <w:lang w:val="en-US" w:eastAsia="en-US"/>
        </w:rPr>
        <w:t>E</w:t>
      </w:r>
      <w:r w:rsidRPr="00DC708A">
        <w:rPr>
          <w:rFonts w:eastAsiaTheme="minorHAnsi" w:cs="Verdana"/>
          <w:bCs/>
          <w:i/>
          <w:color w:val="262623"/>
          <w:szCs w:val="26"/>
          <w:lang w:val="en-US" w:eastAsia="en-US"/>
        </w:rPr>
        <w:t xml:space="preserve">cclesiastical </w:t>
      </w:r>
      <w:r>
        <w:rPr>
          <w:rFonts w:eastAsiaTheme="minorHAnsi" w:cs="Verdana"/>
          <w:bCs/>
          <w:i/>
          <w:color w:val="262623"/>
          <w:szCs w:val="26"/>
          <w:lang w:val="en-US" w:eastAsia="en-US"/>
        </w:rPr>
        <w:t>L</w:t>
      </w:r>
      <w:r w:rsidRPr="00DC708A">
        <w:rPr>
          <w:rFonts w:eastAsiaTheme="minorHAnsi" w:cs="Verdana"/>
          <w:bCs/>
          <w:i/>
          <w:color w:val="262623"/>
          <w:szCs w:val="26"/>
          <w:lang w:val="en-US" w:eastAsia="en-US"/>
        </w:rPr>
        <w:t xml:space="preserve">aw of </w:t>
      </w:r>
      <w:r w:rsidRPr="0070007A">
        <w:rPr>
          <w:rFonts w:eastAsiaTheme="minorHAnsi" w:cs="Verdana"/>
          <w:bCs/>
          <w:i/>
          <w:color w:val="262623"/>
          <w:szCs w:val="26"/>
          <w:lang w:val="en-US" w:eastAsia="en-US"/>
        </w:rPr>
        <w:t>the</w:t>
      </w:r>
      <w:r>
        <w:rPr>
          <w:rFonts w:eastAsiaTheme="minorHAnsi" w:cs="Verdana"/>
          <w:bCs/>
          <w:i/>
          <w:color w:val="262623"/>
          <w:szCs w:val="26"/>
          <w:lang w:val="en-US" w:eastAsia="en-US"/>
        </w:rPr>
        <w:t xml:space="preserve"> C</w:t>
      </w:r>
      <w:r w:rsidRPr="0070007A">
        <w:rPr>
          <w:rFonts w:eastAsiaTheme="minorHAnsi" w:cs="Verdana"/>
          <w:bCs/>
          <w:i/>
          <w:color w:val="262623"/>
          <w:szCs w:val="26"/>
          <w:lang w:val="en-US" w:eastAsia="en-US"/>
        </w:rPr>
        <w:t>hurch of England</w:t>
      </w:r>
      <w:r w:rsidRPr="0070007A">
        <w:rPr>
          <w:i/>
        </w:rPr>
        <w:t xml:space="preserve"> Vol. I</w:t>
      </w:r>
      <w:r>
        <w:t xml:space="preserve"> (London: Sweet &amp; Maxwell, 2</w:t>
      </w:r>
      <w:r w:rsidRPr="0070007A">
        <w:rPr>
          <w:vertAlign w:val="superscript"/>
        </w:rPr>
        <w:t>nd</w:t>
      </w:r>
      <w:r>
        <w:t xml:space="preserve"> edn, 1895) p</w:t>
      </w:r>
      <w:r w:rsidRPr="00DC708A">
        <w:t xml:space="preserve"> 1773.</w:t>
      </w:r>
    </w:p>
  </w:footnote>
  <w:footnote w:id="39">
    <w:p w14:paraId="4E47ED4A" w14:textId="2E601E0C" w:rsidR="005D3F2C" w:rsidRDefault="005D3F2C" w:rsidP="00183AC0">
      <w:pPr>
        <w:pStyle w:val="FootnoteText"/>
      </w:pPr>
      <w:r>
        <w:rPr>
          <w:rStyle w:val="FootnoteReference"/>
        </w:rPr>
        <w:footnoteRef/>
      </w:r>
      <w:r>
        <w:t xml:space="preserve"> Tristram, p 171, above n 4.</w:t>
      </w:r>
    </w:p>
  </w:footnote>
  <w:footnote w:id="40">
    <w:p w14:paraId="44032E36" w14:textId="38395E73" w:rsidR="005D3F2C" w:rsidRPr="00CC6131" w:rsidRDefault="005D3F2C" w:rsidP="00E01D9F">
      <w:pPr>
        <w:pStyle w:val="FootnoteText"/>
        <w:rPr>
          <w:lang w:val="en-US"/>
        </w:rPr>
      </w:pPr>
      <w:r>
        <w:rPr>
          <w:rStyle w:val="FootnoteReference"/>
        </w:rPr>
        <w:footnoteRef/>
      </w:r>
      <w:r>
        <w:t xml:space="preserve"> D Neale and B Webb </w:t>
      </w:r>
      <w:r>
        <w:rPr>
          <w:i/>
        </w:rPr>
        <w:t>The Symbolism of Churches and Church Ornaments: A Translation of he First Book of the Rationale Divinorum Officiorum by William Durandus</w:t>
      </w:r>
      <w:r>
        <w:t xml:space="preserve"> (New York: Charles Scribner’s Sons 1893), pp 108-109. </w:t>
      </w:r>
    </w:p>
  </w:footnote>
  <w:footnote w:id="41">
    <w:p w14:paraId="53D01B65" w14:textId="5938E548" w:rsidR="005D3F2C" w:rsidRDefault="005D3F2C" w:rsidP="00183AC0">
      <w:pPr>
        <w:pStyle w:val="FootnoteText"/>
      </w:pPr>
      <w:r>
        <w:rPr>
          <w:rStyle w:val="FootnoteReference"/>
        </w:rPr>
        <w:footnoteRef/>
      </w:r>
      <w:r>
        <w:t xml:space="preserve"> Thiery, p 74, above n 19</w:t>
      </w:r>
      <w:r w:rsidRPr="009B5D41">
        <w:t>.</w:t>
      </w:r>
      <w:r>
        <w:t xml:space="preserve"> </w:t>
      </w:r>
      <w:r w:rsidRPr="00BD7537">
        <w:rPr>
          <w:lang w:val="en-US"/>
        </w:rPr>
        <w:t>There are also further connect</w:t>
      </w:r>
      <w:r>
        <w:rPr>
          <w:lang w:val="en-US"/>
        </w:rPr>
        <w:t>ions between bodily fluids and pollution, discussed below.</w:t>
      </w:r>
    </w:p>
  </w:footnote>
  <w:footnote w:id="42">
    <w:p w14:paraId="77B57B14" w14:textId="0D2206E2" w:rsidR="005D3F2C" w:rsidRPr="00C8630D" w:rsidRDefault="005D3F2C" w:rsidP="000F3CE2">
      <w:pPr>
        <w:pStyle w:val="FootnoteText"/>
        <w:rPr>
          <w:color w:val="FF0000"/>
        </w:rPr>
      </w:pPr>
      <w:r w:rsidRPr="009B5D41">
        <w:rPr>
          <w:rStyle w:val="FootnoteReference"/>
        </w:rPr>
        <w:footnoteRef/>
      </w:r>
      <w:r w:rsidRPr="009B5D41">
        <w:t xml:space="preserve"> </w:t>
      </w:r>
      <w:r w:rsidRPr="00CC6131">
        <w:t xml:space="preserve">Decretal of Boniface VIII added to the Liber Sextus (Sext.3.21.1) (see </w:t>
      </w:r>
      <w:r w:rsidRPr="00CC6131">
        <w:rPr>
          <w:lang w:val="en-US"/>
        </w:rPr>
        <w:t>Helmholz</w:t>
      </w:r>
      <w:r w:rsidRPr="00CC6131">
        <w:t>, p 150</w:t>
      </w:r>
      <w:r>
        <w:rPr>
          <w:lang w:val="en-US"/>
        </w:rPr>
        <w:t>, above n 13</w:t>
      </w:r>
      <w:r w:rsidRPr="00CC6131">
        <w:t>).</w:t>
      </w:r>
    </w:p>
  </w:footnote>
  <w:footnote w:id="43">
    <w:p w14:paraId="083FB07F" w14:textId="61221080" w:rsidR="005D3F2C" w:rsidRDefault="005D3F2C" w:rsidP="000F3CE2">
      <w:pPr>
        <w:pStyle w:val="FootnoteText"/>
      </w:pPr>
      <w:r>
        <w:rPr>
          <w:rStyle w:val="FootnoteReference"/>
        </w:rPr>
        <w:footnoteRef/>
      </w:r>
      <w:r>
        <w:t xml:space="preserve"> Thiery, p 58, above n 19</w:t>
      </w:r>
      <w:r w:rsidRPr="009B5D41">
        <w:t>.</w:t>
      </w:r>
    </w:p>
  </w:footnote>
  <w:footnote w:id="44">
    <w:p w14:paraId="0E629FED" w14:textId="77777777" w:rsidR="005D3F2C" w:rsidRDefault="005D3F2C" w:rsidP="000F3CE2">
      <w:pPr>
        <w:pStyle w:val="FootnoteText"/>
      </w:pPr>
      <w:r>
        <w:rPr>
          <w:rStyle w:val="FootnoteReference"/>
        </w:rPr>
        <w:footnoteRef/>
      </w:r>
      <w:r>
        <w:t xml:space="preserve"> Tristram, p 165, above n 3. The disruption of order no doubt being a significant factor.</w:t>
      </w:r>
    </w:p>
  </w:footnote>
  <w:footnote w:id="45">
    <w:p w14:paraId="789E0BE1" w14:textId="70C9919D" w:rsidR="005D3F2C" w:rsidRDefault="005D3F2C" w:rsidP="000F3CE2">
      <w:pPr>
        <w:pStyle w:val="FootnoteText"/>
      </w:pPr>
      <w:r>
        <w:rPr>
          <w:rStyle w:val="FootnoteReference"/>
        </w:rPr>
        <w:footnoteRef/>
      </w:r>
      <w:r w:rsidR="00C1537A">
        <w:t xml:space="preserve"> Hayes, p 190, above n 3.</w:t>
      </w:r>
      <w:r>
        <w:t xml:space="preserve"> The offence </w:t>
      </w:r>
      <w:r w:rsidR="00C1537A">
        <w:t>was</w:t>
      </w:r>
      <w:r>
        <w:t xml:space="preserve"> further aggravated as it included the removal of the crown of Becket’s head (dedicated to God), during the Christmas season (</w:t>
      </w:r>
      <w:r>
        <w:rPr>
          <w:lang w:val="en-US"/>
        </w:rPr>
        <w:t>Duggan</w:t>
      </w:r>
      <w:r w:rsidRPr="00D53592">
        <w:rPr>
          <w:lang w:val="en-US"/>
        </w:rPr>
        <w:t>, p</w:t>
      </w:r>
      <w:r>
        <w:t xml:space="preserve"> 216</w:t>
      </w:r>
      <w:r w:rsidRPr="00D53592">
        <w:rPr>
          <w:lang w:val="en-US"/>
        </w:rPr>
        <w:t xml:space="preserve">, above n </w:t>
      </w:r>
      <w:r>
        <w:rPr>
          <w:lang w:val="en-US"/>
        </w:rPr>
        <w:t>2</w:t>
      </w:r>
      <w:r>
        <w:t>).</w:t>
      </w:r>
    </w:p>
  </w:footnote>
  <w:footnote w:id="46">
    <w:p w14:paraId="32B1B5F6" w14:textId="4A068068" w:rsidR="005D3F2C" w:rsidRPr="006433A8" w:rsidRDefault="005D3F2C" w:rsidP="00183AC0">
      <w:pPr>
        <w:pStyle w:val="FootnoteText"/>
      </w:pPr>
      <w:r>
        <w:rPr>
          <w:rStyle w:val="FootnoteReference"/>
        </w:rPr>
        <w:footnoteRef/>
      </w:r>
      <w:r>
        <w:t xml:space="preserve"> The </w:t>
      </w:r>
      <w:r>
        <w:rPr>
          <w:lang w:val="en-US"/>
        </w:rPr>
        <w:t>Canon</w:t>
      </w:r>
      <w:r w:rsidRPr="00BD7537">
        <w:rPr>
          <w:lang w:val="en-US"/>
        </w:rPr>
        <w:t xml:space="preserve"> in Gratian’s D</w:t>
      </w:r>
      <w:r>
        <w:rPr>
          <w:lang w:val="en-US"/>
        </w:rPr>
        <w:t>ecretum required reconsecration (see above)</w:t>
      </w:r>
      <w:r>
        <w:t xml:space="preserve">, </w:t>
      </w:r>
      <w:r w:rsidRPr="00BD7537">
        <w:rPr>
          <w:lang w:val="en-US"/>
        </w:rPr>
        <w:t xml:space="preserve">but by the late </w:t>
      </w:r>
      <w:r>
        <w:rPr>
          <w:lang w:val="en-US"/>
        </w:rPr>
        <w:t>12</w:t>
      </w:r>
      <w:r w:rsidRPr="00AF3975">
        <w:rPr>
          <w:vertAlign w:val="superscript"/>
          <w:lang w:val="en-US"/>
        </w:rPr>
        <w:t>th</w:t>
      </w:r>
      <w:r>
        <w:rPr>
          <w:lang w:val="en-US"/>
        </w:rPr>
        <w:t xml:space="preserve"> </w:t>
      </w:r>
      <w:r w:rsidRPr="00BD7537">
        <w:rPr>
          <w:lang w:val="en-US"/>
        </w:rPr>
        <w:t>century, Alexander III’s decretal ‘Significasti’ (1172-73) ordered reconciliation</w:t>
      </w:r>
      <w:r>
        <w:rPr>
          <w:lang w:val="en-US"/>
        </w:rPr>
        <w:t xml:space="preserve"> (</w:t>
      </w:r>
      <w:r>
        <w:t xml:space="preserve">Clarke, p 246, above n 22). </w:t>
      </w:r>
      <w:r w:rsidRPr="008063B0">
        <w:rPr>
          <w:lang w:val="en-US"/>
        </w:rPr>
        <w:t xml:space="preserve">Durandus’ </w:t>
      </w:r>
      <w:r>
        <w:rPr>
          <w:lang w:val="en-US"/>
        </w:rPr>
        <w:t>13</w:t>
      </w:r>
      <w:r w:rsidRPr="00AF3975">
        <w:rPr>
          <w:vertAlign w:val="superscript"/>
          <w:lang w:val="en-US"/>
        </w:rPr>
        <w:t>th</w:t>
      </w:r>
      <w:r>
        <w:rPr>
          <w:lang w:val="en-US"/>
        </w:rPr>
        <w:t xml:space="preserve"> </w:t>
      </w:r>
      <w:r w:rsidRPr="008063B0">
        <w:rPr>
          <w:lang w:val="en-US"/>
        </w:rPr>
        <w:t xml:space="preserve">century </w:t>
      </w:r>
      <w:r w:rsidRPr="008063B0">
        <w:rPr>
          <w:i/>
          <w:lang w:val="en-US"/>
        </w:rPr>
        <w:t>Rationale</w:t>
      </w:r>
      <w:r w:rsidRPr="008063B0">
        <w:rPr>
          <w:lang w:val="en-US"/>
        </w:rPr>
        <w:t xml:space="preserve"> states that intentional shedding of blood warrants only reconciliation</w:t>
      </w:r>
      <w:r>
        <w:rPr>
          <w:lang w:val="en-US"/>
        </w:rPr>
        <w:t xml:space="preserve"> (</w:t>
      </w:r>
      <w:r>
        <w:t xml:space="preserve">Neale and B Webb, pp 107-108, above </w:t>
      </w:r>
      <w:r w:rsidRPr="008063B0">
        <w:t xml:space="preserve">n </w:t>
      </w:r>
      <w:r>
        <w:t>40)</w:t>
      </w:r>
      <w:r w:rsidRPr="00BD7537">
        <w:rPr>
          <w:lang w:val="en-US"/>
        </w:rPr>
        <w:t>.</w:t>
      </w:r>
      <w:r w:rsidRPr="007B7449">
        <w:rPr>
          <w:lang w:val="en-US"/>
        </w:rPr>
        <w:t xml:space="preserve"> </w:t>
      </w:r>
      <w:r w:rsidRPr="00BD7537">
        <w:rPr>
          <w:lang w:val="en-US"/>
        </w:rPr>
        <w:t xml:space="preserve">An </w:t>
      </w:r>
      <w:r>
        <w:rPr>
          <w:lang w:val="en-US"/>
        </w:rPr>
        <w:t>18</w:t>
      </w:r>
      <w:r w:rsidRPr="00AF3975">
        <w:rPr>
          <w:vertAlign w:val="superscript"/>
          <w:lang w:val="en-US"/>
        </w:rPr>
        <w:t>th</w:t>
      </w:r>
      <w:r>
        <w:rPr>
          <w:lang w:val="en-US"/>
        </w:rPr>
        <w:t xml:space="preserve"> c</w:t>
      </w:r>
      <w:r w:rsidRPr="00BD7537">
        <w:rPr>
          <w:lang w:val="en-US"/>
        </w:rPr>
        <w:t>entury source suggests that pollution may justify a full re-consecration</w:t>
      </w:r>
      <w:r>
        <w:rPr>
          <w:lang w:val="en-US"/>
        </w:rPr>
        <w:t xml:space="preserve">, </w:t>
      </w:r>
      <w:r w:rsidRPr="009B5D41">
        <w:t>Pollution by Effusion of Blood being the only situation where a church once consecrated could be consecrated again (</w:t>
      </w:r>
      <w:r>
        <w:t>R</w:t>
      </w:r>
      <w:r w:rsidRPr="006433A8">
        <w:t xml:space="preserve"> </w:t>
      </w:r>
      <w:r>
        <w:rPr>
          <w:rFonts w:eastAsiaTheme="minorHAnsi" w:cs="Arial Unicode MS"/>
          <w:szCs w:val="26"/>
          <w:lang w:val="en-US" w:eastAsia="en-US"/>
        </w:rPr>
        <w:t>Grey and E</w:t>
      </w:r>
      <w:r w:rsidRPr="006433A8">
        <w:rPr>
          <w:rFonts w:eastAsiaTheme="minorHAnsi" w:cs="Arial Unicode MS"/>
          <w:szCs w:val="26"/>
          <w:lang w:val="en-US" w:eastAsia="en-US"/>
        </w:rPr>
        <w:t xml:space="preserve"> Gibson, </w:t>
      </w:r>
      <w:r w:rsidRPr="006433A8">
        <w:rPr>
          <w:rFonts w:eastAsiaTheme="minorHAnsi" w:cs="Arial Unicode MS"/>
          <w:i/>
          <w:szCs w:val="26"/>
          <w:lang w:val="en-US" w:eastAsia="en-US"/>
        </w:rPr>
        <w:t>A system of English ecclesiastical law: extracted from the Codex juris ecclesiastici anglicani of the right reverend the Lord Bishop of London for use of young students in the universities, who are designed for Holy Orders</w:t>
      </w:r>
      <w:r>
        <w:t xml:space="preserve"> (London, 1732) p </w:t>
      </w:r>
      <w:r w:rsidRPr="006433A8">
        <w:t xml:space="preserve">67. </w:t>
      </w:r>
      <w:r w:rsidRPr="006433A8">
        <w:rPr>
          <w:lang w:val="en-US"/>
        </w:rPr>
        <w:t xml:space="preserve"> </w:t>
      </w:r>
    </w:p>
  </w:footnote>
  <w:footnote w:id="47">
    <w:p w14:paraId="669E59EF" w14:textId="4CAA0315" w:rsidR="005D3F2C" w:rsidRPr="006433A8" w:rsidRDefault="005D3F2C" w:rsidP="00183AC0">
      <w:pPr>
        <w:rPr>
          <w:rFonts w:ascii="Times New Roman" w:hAnsi="Times New Roman"/>
          <w:sz w:val="22"/>
          <w:lang w:val="en-US"/>
        </w:rPr>
      </w:pPr>
      <w:r w:rsidRPr="006433A8">
        <w:rPr>
          <w:rStyle w:val="FootnoteReference"/>
          <w:rFonts w:ascii="Times New Roman" w:hAnsi="Times New Roman"/>
          <w:sz w:val="22"/>
        </w:rPr>
        <w:footnoteRef/>
      </w:r>
      <w:r w:rsidRPr="006433A8">
        <w:rPr>
          <w:rFonts w:ascii="Times New Roman" w:hAnsi="Times New Roman"/>
          <w:sz w:val="22"/>
        </w:rPr>
        <w:t xml:space="preserve"> </w:t>
      </w:r>
      <w:r w:rsidRPr="00B24A58">
        <w:rPr>
          <w:rFonts w:ascii="Times New Roman" w:hAnsi="Times New Roman"/>
          <w:sz w:val="22"/>
          <w:lang w:val="en-US"/>
        </w:rPr>
        <w:t>Helmholz</w:t>
      </w:r>
      <w:r w:rsidRPr="00E21204">
        <w:rPr>
          <w:rFonts w:ascii="Times New Roman" w:hAnsi="Times New Roman"/>
          <w:sz w:val="22"/>
        </w:rPr>
        <w:t>,</w:t>
      </w:r>
      <w:r>
        <w:rPr>
          <w:rFonts w:ascii="Times New Roman" w:hAnsi="Times New Roman"/>
          <w:sz w:val="22"/>
        </w:rPr>
        <w:t xml:space="preserve"> p </w:t>
      </w:r>
      <w:r w:rsidRPr="006433A8">
        <w:rPr>
          <w:rFonts w:ascii="Times New Roman" w:hAnsi="Times New Roman"/>
          <w:sz w:val="22"/>
        </w:rPr>
        <w:t>497</w:t>
      </w:r>
      <w:r>
        <w:rPr>
          <w:rFonts w:ascii="Times New Roman" w:hAnsi="Times New Roman"/>
          <w:sz w:val="22"/>
          <w:lang w:val="en-US"/>
        </w:rPr>
        <w:t>, above n 13</w:t>
      </w:r>
      <w:r w:rsidRPr="006433A8">
        <w:rPr>
          <w:rFonts w:ascii="Times New Roman" w:hAnsi="Times New Roman"/>
          <w:sz w:val="22"/>
        </w:rPr>
        <w:t>.</w:t>
      </w:r>
    </w:p>
  </w:footnote>
  <w:footnote w:id="48">
    <w:p w14:paraId="63ED0F2C" w14:textId="0F0E02C2" w:rsidR="005D3F2C" w:rsidRPr="006433A8" w:rsidRDefault="005D3F2C" w:rsidP="00183AC0">
      <w:pPr>
        <w:pStyle w:val="FootnoteText"/>
      </w:pPr>
      <w:r w:rsidRPr="006433A8">
        <w:rPr>
          <w:rStyle w:val="FootnoteReference"/>
        </w:rPr>
        <w:footnoteRef/>
      </w:r>
      <w:r w:rsidRPr="006433A8">
        <w:t xml:space="preserve"> X.3.40.4 (</w:t>
      </w:r>
      <w:r>
        <w:t>Ibid</w:t>
      </w:r>
      <w:r w:rsidRPr="00E21204">
        <w:t>,</w:t>
      </w:r>
      <w:r>
        <w:t xml:space="preserve"> p </w:t>
      </w:r>
      <w:r w:rsidRPr="006433A8">
        <w:t>150).</w:t>
      </w:r>
    </w:p>
  </w:footnote>
  <w:footnote w:id="49">
    <w:p w14:paraId="186BF3A9" w14:textId="57D21E12" w:rsidR="005D3F2C" w:rsidRDefault="005D3F2C" w:rsidP="00183AC0">
      <w:pPr>
        <w:pStyle w:val="FootnoteText"/>
      </w:pPr>
      <w:r>
        <w:rPr>
          <w:rStyle w:val="FootnoteReference"/>
        </w:rPr>
        <w:footnoteRef/>
      </w:r>
      <w:r>
        <w:t xml:space="preserve"> Tristram, p 166, above n 3.</w:t>
      </w:r>
    </w:p>
  </w:footnote>
  <w:footnote w:id="50">
    <w:p w14:paraId="006F6AB9" w14:textId="159FD80D" w:rsidR="005D3F2C" w:rsidRDefault="005D3F2C" w:rsidP="00183AC0">
      <w:pPr>
        <w:pStyle w:val="FootnoteText"/>
      </w:pPr>
      <w:r>
        <w:rPr>
          <w:rStyle w:val="FootnoteReference"/>
        </w:rPr>
        <w:footnoteRef/>
      </w:r>
      <w:r>
        <w:t xml:space="preserve"> Thiery, p 51, above n 19</w:t>
      </w:r>
      <w:r w:rsidRPr="009B5D41">
        <w:t>.</w:t>
      </w:r>
    </w:p>
  </w:footnote>
  <w:footnote w:id="51">
    <w:p w14:paraId="4D5DE3E5" w14:textId="48EE7E80" w:rsidR="005D3F2C" w:rsidRDefault="005D3F2C" w:rsidP="00183AC0">
      <w:pPr>
        <w:pStyle w:val="FootnoteText"/>
      </w:pPr>
      <w:r>
        <w:rPr>
          <w:rStyle w:val="FootnoteReference"/>
        </w:rPr>
        <w:footnoteRef/>
      </w:r>
      <w:r>
        <w:t xml:space="preserve"> D Thiery ‘Welcome to the Parish, Remove Your Cap and Stop Assaulting Your Neighbour’ in </w:t>
      </w:r>
      <w:r>
        <w:rPr>
          <w:lang w:val="en-US"/>
        </w:rPr>
        <w:t>D Biggs, S Michalove and A</w:t>
      </w:r>
      <w:r w:rsidRPr="006433A8">
        <w:rPr>
          <w:lang w:val="en-US"/>
        </w:rPr>
        <w:t xml:space="preserve"> Reeves</w:t>
      </w:r>
      <w:r>
        <w:rPr>
          <w:lang w:val="en-US"/>
        </w:rPr>
        <w:t xml:space="preserve"> (eds) </w:t>
      </w:r>
      <w:r w:rsidRPr="006433A8">
        <w:rPr>
          <w:i/>
        </w:rPr>
        <w:t>Reputation &amp; Representation in Fifteenth Century Europe</w:t>
      </w:r>
      <w:r>
        <w:t xml:space="preserve"> (Leiden: Brill, 2004) p 241.</w:t>
      </w:r>
    </w:p>
  </w:footnote>
  <w:footnote w:id="52">
    <w:p w14:paraId="25FC93DF" w14:textId="0077C294" w:rsidR="005D3F2C" w:rsidRPr="00900946" w:rsidRDefault="005D3F2C" w:rsidP="00183AC0">
      <w:pPr>
        <w:pStyle w:val="FootnoteText"/>
      </w:pPr>
      <w:r w:rsidRPr="00900946">
        <w:rPr>
          <w:rStyle w:val="FootnoteReference"/>
        </w:rPr>
        <w:footnoteRef/>
      </w:r>
      <w:r>
        <w:t xml:space="preserve"> D</w:t>
      </w:r>
      <w:r w:rsidRPr="00900946">
        <w:t xml:space="preserve"> Elliott </w:t>
      </w:r>
      <w:r>
        <w:t>‘</w:t>
      </w:r>
      <w:r w:rsidRPr="00900946">
        <w:rPr>
          <w:rFonts w:eastAsiaTheme="minorHAnsi" w:cs="Georgia"/>
          <w:color w:val="3B2F12"/>
          <w:szCs w:val="42"/>
          <w:lang w:val="en-US" w:eastAsia="en-US"/>
        </w:rPr>
        <w:t>Sex in Holy Places: An Exploration of a Medieval Anxiety</w:t>
      </w:r>
      <w:r>
        <w:rPr>
          <w:rFonts w:eastAsiaTheme="minorHAnsi" w:cs="Georgia"/>
          <w:color w:val="3B2F12"/>
          <w:szCs w:val="42"/>
          <w:lang w:val="en-US" w:eastAsia="en-US"/>
        </w:rPr>
        <w:t>’ (1994) 6 Journal of Women’s History 6</w:t>
      </w:r>
      <w:r>
        <w:t xml:space="preserve">, p </w:t>
      </w:r>
      <w:r w:rsidRPr="00900946">
        <w:t>9.</w:t>
      </w:r>
    </w:p>
  </w:footnote>
  <w:footnote w:id="53">
    <w:p w14:paraId="65C1A27C" w14:textId="2BF5D95A" w:rsidR="005D3F2C" w:rsidRPr="00900946" w:rsidRDefault="005D3F2C" w:rsidP="00183AC0">
      <w:pPr>
        <w:pStyle w:val="FootnoteText"/>
      </w:pPr>
      <w:r w:rsidRPr="00900946">
        <w:rPr>
          <w:rStyle w:val="FootnoteReference"/>
        </w:rPr>
        <w:footnoteRef/>
      </w:r>
      <w:r>
        <w:t xml:space="preserve"> D Elliott</w:t>
      </w:r>
      <w:r w:rsidRPr="00900946">
        <w:t xml:space="preserve"> </w:t>
      </w:r>
      <w:r w:rsidRPr="00900946">
        <w:rPr>
          <w:rFonts w:eastAsiaTheme="minorHAnsi" w:cs="Verdana"/>
          <w:i/>
          <w:color w:val="262623"/>
          <w:szCs w:val="26"/>
          <w:lang w:val="en-US" w:eastAsia="en-US"/>
        </w:rPr>
        <w:t xml:space="preserve">Fallen </w:t>
      </w:r>
      <w:r>
        <w:rPr>
          <w:rFonts w:eastAsiaTheme="minorHAnsi" w:cs="Verdana"/>
          <w:i/>
          <w:color w:val="262623"/>
          <w:szCs w:val="26"/>
          <w:lang w:val="en-US" w:eastAsia="en-US"/>
        </w:rPr>
        <w:t>B</w:t>
      </w:r>
      <w:r w:rsidRPr="00900946">
        <w:rPr>
          <w:rFonts w:eastAsiaTheme="minorHAnsi" w:cs="Verdana"/>
          <w:i/>
          <w:color w:val="262623"/>
          <w:szCs w:val="26"/>
          <w:lang w:val="en-US" w:eastAsia="en-US"/>
        </w:rPr>
        <w:t xml:space="preserve">odies: </w:t>
      </w:r>
      <w:r>
        <w:rPr>
          <w:rFonts w:eastAsiaTheme="minorHAnsi" w:cs="Verdana"/>
          <w:i/>
          <w:color w:val="262623"/>
          <w:szCs w:val="26"/>
          <w:lang w:val="en-US" w:eastAsia="en-US"/>
        </w:rPr>
        <w:t>P</w:t>
      </w:r>
      <w:r w:rsidRPr="00900946">
        <w:rPr>
          <w:rFonts w:eastAsiaTheme="minorHAnsi" w:cs="Verdana"/>
          <w:i/>
          <w:color w:val="262623"/>
          <w:szCs w:val="26"/>
          <w:lang w:val="en-US" w:eastAsia="en-US"/>
        </w:rPr>
        <w:t xml:space="preserve">ollution, </w:t>
      </w:r>
      <w:r>
        <w:rPr>
          <w:rFonts w:eastAsiaTheme="minorHAnsi" w:cs="Verdana"/>
          <w:i/>
          <w:color w:val="262623"/>
          <w:szCs w:val="26"/>
          <w:lang w:val="en-US" w:eastAsia="en-US"/>
        </w:rPr>
        <w:t>S</w:t>
      </w:r>
      <w:r w:rsidRPr="00900946">
        <w:rPr>
          <w:rFonts w:eastAsiaTheme="minorHAnsi" w:cs="Verdana"/>
          <w:i/>
          <w:color w:val="262623"/>
          <w:szCs w:val="26"/>
          <w:lang w:val="en-US" w:eastAsia="en-US"/>
        </w:rPr>
        <w:t xml:space="preserve">exuality, and </w:t>
      </w:r>
      <w:r>
        <w:rPr>
          <w:rFonts w:eastAsiaTheme="minorHAnsi" w:cs="Verdana"/>
          <w:i/>
          <w:color w:val="262623"/>
          <w:szCs w:val="26"/>
          <w:lang w:val="en-US" w:eastAsia="en-US"/>
        </w:rPr>
        <w:t>D</w:t>
      </w:r>
      <w:r w:rsidRPr="00900946">
        <w:rPr>
          <w:rFonts w:eastAsiaTheme="minorHAnsi" w:cs="Verdana"/>
          <w:i/>
          <w:color w:val="262623"/>
          <w:szCs w:val="26"/>
          <w:lang w:val="en-US" w:eastAsia="en-US"/>
        </w:rPr>
        <w:t>emonology in the Middle Ages</w:t>
      </w:r>
      <w:r w:rsidRPr="00900946">
        <w:rPr>
          <w:rFonts w:eastAsiaTheme="minorHAnsi" w:cs="Verdana"/>
          <w:color w:val="262623"/>
          <w:szCs w:val="26"/>
          <w:lang w:val="en-US" w:eastAsia="en-US"/>
        </w:rPr>
        <w:t xml:space="preserve"> (</w:t>
      </w:r>
      <w:r>
        <w:rPr>
          <w:rFonts w:eastAsiaTheme="minorHAnsi" w:cs="Verdana"/>
          <w:color w:val="262623"/>
          <w:szCs w:val="26"/>
          <w:lang w:val="en-US" w:eastAsia="en-US"/>
        </w:rPr>
        <w:t xml:space="preserve">Philadelphia: </w:t>
      </w:r>
      <w:r w:rsidRPr="00900946">
        <w:rPr>
          <w:rFonts w:eastAsiaTheme="minorHAnsi" w:cs="Verdana"/>
          <w:color w:val="262623"/>
          <w:szCs w:val="26"/>
          <w:lang w:val="en-US" w:eastAsia="en-US"/>
        </w:rPr>
        <w:t>University of Pennsylvania Press 1999)</w:t>
      </w:r>
      <w:r>
        <w:t xml:space="preserve">, p </w:t>
      </w:r>
      <w:r w:rsidRPr="00900946">
        <w:t>21.</w:t>
      </w:r>
    </w:p>
  </w:footnote>
  <w:footnote w:id="54">
    <w:p w14:paraId="50834C08" w14:textId="3FCCEA2B" w:rsidR="005D3F2C" w:rsidRPr="009B5D41" w:rsidRDefault="005D3F2C" w:rsidP="00183AC0">
      <w:pPr>
        <w:pStyle w:val="FootnoteText"/>
      </w:pPr>
      <w:r w:rsidRPr="009B5D41">
        <w:rPr>
          <w:rStyle w:val="FootnoteReference"/>
        </w:rPr>
        <w:footnoteRef/>
      </w:r>
      <w:r w:rsidRPr="009B5D41">
        <w:t xml:space="preserve"> </w:t>
      </w:r>
      <w:r>
        <w:t xml:space="preserve">Thiery, p </w:t>
      </w:r>
      <w:r w:rsidRPr="009B5D41">
        <w:t>48</w:t>
      </w:r>
      <w:r>
        <w:t>, above n 19</w:t>
      </w:r>
      <w:r w:rsidRPr="009B5D41">
        <w:t>.</w:t>
      </w:r>
    </w:p>
  </w:footnote>
  <w:footnote w:id="55">
    <w:p w14:paraId="5808B8B4" w14:textId="56152E4B" w:rsidR="005D3F2C" w:rsidRPr="009B5D41" w:rsidRDefault="005D3F2C" w:rsidP="00183AC0">
      <w:pPr>
        <w:pStyle w:val="FootnoteText"/>
      </w:pPr>
      <w:r w:rsidRPr="009B5D41">
        <w:rPr>
          <w:rStyle w:val="FootnoteReference"/>
        </w:rPr>
        <w:footnoteRef/>
      </w:r>
      <w:r w:rsidRPr="009B5D41">
        <w:t xml:space="preserve"> </w:t>
      </w:r>
      <w:r>
        <w:t xml:space="preserve">Ibid, p </w:t>
      </w:r>
      <w:r w:rsidRPr="009B5D41">
        <w:t>48.</w:t>
      </w:r>
    </w:p>
  </w:footnote>
  <w:footnote w:id="56">
    <w:p w14:paraId="154593CD" w14:textId="45F9174E" w:rsidR="005D3F2C" w:rsidRPr="00285934" w:rsidRDefault="005D3F2C" w:rsidP="00183AC0">
      <w:pPr>
        <w:pStyle w:val="FootnoteText"/>
      </w:pPr>
      <w:r w:rsidRPr="00285934">
        <w:rPr>
          <w:rStyle w:val="FootnoteReference"/>
        </w:rPr>
        <w:footnoteRef/>
      </w:r>
      <w:r w:rsidRPr="00285934">
        <w:t xml:space="preserve"> </w:t>
      </w:r>
      <w:r>
        <w:rPr>
          <w:rFonts w:eastAsiaTheme="minorHAnsi" w:cs="Arial"/>
          <w:szCs w:val="26"/>
          <w:lang w:val="en-US" w:eastAsia="en-US"/>
        </w:rPr>
        <w:t xml:space="preserve">Johnson (ed) </w:t>
      </w:r>
      <w:r w:rsidRPr="00285934">
        <w:rPr>
          <w:rFonts w:eastAsiaTheme="minorHAnsi" w:cs="Arial"/>
          <w:i/>
          <w:iCs/>
          <w:szCs w:val="26"/>
          <w:lang w:val="en-US" w:eastAsia="en-US"/>
        </w:rPr>
        <w:t>Diocesis Roffensis registrum Hamonis Hethe</w:t>
      </w:r>
      <w:r>
        <w:rPr>
          <w:rFonts w:eastAsiaTheme="minorHAnsi" w:cs="Arial"/>
          <w:szCs w:val="26"/>
          <w:lang w:val="en-US" w:eastAsia="en-US"/>
        </w:rPr>
        <w:t xml:space="preserve"> </w:t>
      </w:r>
      <w:r w:rsidRPr="00285934">
        <w:t>(</w:t>
      </w:r>
      <w:r>
        <w:t xml:space="preserve">London: </w:t>
      </w:r>
      <w:r w:rsidRPr="00285934">
        <w:t>The Canterbury &amp; Yor</w:t>
      </w:r>
      <w:r>
        <w:t>k Society Series, vol. 48-49, 1948) p</w:t>
      </w:r>
      <w:r w:rsidRPr="00285934">
        <w:t xml:space="preserve"> 242.</w:t>
      </w:r>
    </w:p>
  </w:footnote>
  <w:footnote w:id="57">
    <w:p w14:paraId="2943D6B2" w14:textId="428CD4B3" w:rsidR="005D3F2C" w:rsidRDefault="005D3F2C" w:rsidP="00183AC0">
      <w:pPr>
        <w:pStyle w:val="FootnoteText"/>
      </w:pPr>
      <w:r>
        <w:rPr>
          <w:rStyle w:val="FootnoteReference"/>
        </w:rPr>
        <w:footnoteRef/>
      </w:r>
      <w:r>
        <w:t xml:space="preserve"> Thiery, p 49, above n 19</w:t>
      </w:r>
      <w:r w:rsidRPr="009B5D41">
        <w:t>.</w:t>
      </w:r>
    </w:p>
  </w:footnote>
  <w:footnote w:id="58">
    <w:p w14:paraId="2A903F7C" w14:textId="156F9363" w:rsidR="005D3F2C" w:rsidRDefault="005D3F2C" w:rsidP="00183AC0">
      <w:pPr>
        <w:pStyle w:val="FootnoteText"/>
      </w:pPr>
      <w:r>
        <w:rPr>
          <w:rStyle w:val="FootnoteReference"/>
        </w:rPr>
        <w:footnoteRef/>
      </w:r>
      <w:r>
        <w:t xml:space="preserve"> J Brundage </w:t>
      </w:r>
      <w:r w:rsidRPr="00993F84">
        <w:rPr>
          <w:i/>
        </w:rPr>
        <w:t>Medieval Canon Law</w:t>
      </w:r>
      <w:r>
        <w:t xml:space="preserve"> (London: Longman, 1995) p 42.</w:t>
      </w:r>
    </w:p>
  </w:footnote>
  <w:footnote w:id="59">
    <w:p w14:paraId="7AE04332" w14:textId="77777777" w:rsidR="005D3F2C" w:rsidRDefault="005D3F2C" w:rsidP="00183AC0">
      <w:pPr>
        <w:pStyle w:val="FootnoteText"/>
      </w:pPr>
      <w:r>
        <w:rPr>
          <w:rStyle w:val="FootnoteReference"/>
        </w:rPr>
        <w:footnoteRef/>
      </w:r>
      <w:r>
        <w:t xml:space="preserve"> See CP.G.104 </w:t>
      </w:r>
      <w:r w:rsidRPr="00993F84">
        <w:rPr>
          <w:i/>
        </w:rPr>
        <w:t>Cause Papers</w:t>
      </w:r>
      <w:r>
        <w:t xml:space="preserve">, </w:t>
      </w:r>
      <w:r w:rsidRPr="00B10347">
        <w:rPr>
          <w:lang w:val="en-US"/>
        </w:rPr>
        <w:t>Borthwick Institute for Archives at the University of York</w:t>
      </w:r>
      <w:r>
        <w:t xml:space="preserve">. </w:t>
      </w:r>
    </w:p>
  </w:footnote>
  <w:footnote w:id="60">
    <w:p w14:paraId="087EDC7D" w14:textId="6CFA60AF" w:rsidR="005D3F2C" w:rsidRDefault="005D3F2C" w:rsidP="00183AC0">
      <w:pPr>
        <w:pStyle w:val="FootnoteText"/>
      </w:pPr>
      <w:r>
        <w:rPr>
          <w:rStyle w:val="FootnoteReference"/>
        </w:rPr>
        <w:footnoteRef/>
      </w:r>
      <w:r>
        <w:t xml:space="preserve"> R Helmholz </w:t>
      </w:r>
      <w:r w:rsidRPr="00993F84">
        <w:rPr>
          <w:i/>
        </w:rPr>
        <w:t>Roman Canon Law in Reformation England</w:t>
      </w:r>
      <w:r>
        <w:t xml:space="preserve"> (Cambridge: CUP, 1990) p 2.</w:t>
      </w:r>
    </w:p>
  </w:footnote>
  <w:footnote w:id="61">
    <w:p w14:paraId="05DD5CB0" w14:textId="6D80B2A9" w:rsidR="005D3F2C" w:rsidRPr="00B13751" w:rsidRDefault="005D3F2C" w:rsidP="00183AC0">
      <w:pPr>
        <w:pStyle w:val="FootnoteText"/>
      </w:pPr>
      <w:r>
        <w:rPr>
          <w:rStyle w:val="FootnoteReference"/>
        </w:rPr>
        <w:footnoteRef/>
      </w:r>
      <w:r>
        <w:t xml:space="preserve"> Case in Chuddelegh on 23 November 1426</w:t>
      </w:r>
      <w:r w:rsidRPr="001B02AE">
        <w:t xml:space="preserve">, </w:t>
      </w:r>
      <w:r w:rsidRPr="00E21204">
        <w:rPr>
          <w:rFonts w:eastAsiaTheme="minorHAnsi" w:cs="Arial"/>
          <w:iCs/>
          <w:szCs w:val="26"/>
          <w:lang w:val="en-US" w:eastAsia="en-US"/>
        </w:rPr>
        <w:t>Dunstan</w:t>
      </w:r>
      <w:r w:rsidRPr="00E21204">
        <w:t>,</w:t>
      </w:r>
      <w:r>
        <w:t xml:space="preserve"> p 191</w:t>
      </w:r>
      <w:r w:rsidR="00FD263D">
        <w:rPr>
          <w:rFonts w:eastAsiaTheme="minorHAnsi" w:cs="Arial"/>
          <w:iCs/>
          <w:szCs w:val="26"/>
          <w:lang w:val="en-US" w:eastAsia="en-US"/>
        </w:rPr>
        <w:t>, above n 30</w:t>
      </w:r>
      <w:r w:rsidRPr="00B13751">
        <w:t>.</w:t>
      </w:r>
    </w:p>
  </w:footnote>
  <w:footnote w:id="62">
    <w:p w14:paraId="18398509" w14:textId="70F44A54" w:rsidR="005D3F2C" w:rsidRPr="00993F84" w:rsidRDefault="005D3F2C" w:rsidP="00183AC0">
      <w:pPr>
        <w:pStyle w:val="Default"/>
        <w:rPr>
          <w:rFonts w:ascii="Times New Roman" w:hAnsi="Times New Roman" w:cs="Code"/>
          <w:sz w:val="22"/>
          <w:szCs w:val="22"/>
        </w:rPr>
      </w:pPr>
      <w:r w:rsidRPr="00993F84">
        <w:rPr>
          <w:rStyle w:val="FootnoteReference"/>
          <w:rFonts w:ascii="Times New Roman" w:hAnsi="Times New Roman"/>
          <w:sz w:val="22"/>
        </w:rPr>
        <w:footnoteRef/>
      </w:r>
      <w:r w:rsidRPr="00993F84">
        <w:rPr>
          <w:rFonts w:ascii="Times New Roman" w:hAnsi="Times New Roman"/>
          <w:sz w:val="22"/>
        </w:rPr>
        <w:t xml:space="preserve"> See </w:t>
      </w:r>
      <w:r w:rsidRPr="00B24A58">
        <w:rPr>
          <w:rFonts w:ascii="Times New Roman" w:hAnsi="Times New Roman"/>
          <w:sz w:val="22"/>
          <w:lang w:val="en-US"/>
        </w:rPr>
        <w:t>Helmholz</w:t>
      </w:r>
      <w:r>
        <w:rPr>
          <w:rFonts w:ascii="Times New Roman" w:hAnsi="Times New Roman" w:cs="Code"/>
          <w:sz w:val="22"/>
          <w:szCs w:val="22"/>
        </w:rPr>
        <w:t xml:space="preserve">, p </w:t>
      </w:r>
      <w:r w:rsidRPr="00993F84">
        <w:rPr>
          <w:rFonts w:ascii="Times New Roman" w:hAnsi="Times New Roman" w:cs="Code"/>
          <w:sz w:val="22"/>
          <w:szCs w:val="22"/>
        </w:rPr>
        <w:t>1</w:t>
      </w:r>
      <w:r>
        <w:rPr>
          <w:rFonts w:ascii="Times New Roman" w:hAnsi="Times New Roman"/>
          <w:sz w:val="22"/>
          <w:lang w:val="en-US"/>
        </w:rPr>
        <w:t>, above n 22</w:t>
      </w:r>
    </w:p>
  </w:footnote>
  <w:footnote w:id="63">
    <w:p w14:paraId="71B16D7A" w14:textId="77777777" w:rsidR="005D3F2C" w:rsidRDefault="005D3F2C" w:rsidP="00183AC0">
      <w:pPr>
        <w:pStyle w:val="FootnoteText"/>
      </w:pPr>
      <w:r>
        <w:rPr>
          <w:rStyle w:val="FootnoteReference"/>
        </w:rPr>
        <w:footnoteRef/>
      </w:r>
      <w:r>
        <w:t xml:space="preserve"> See CP.G.104 </w:t>
      </w:r>
      <w:r w:rsidRPr="00993F84">
        <w:rPr>
          <w:i/>
        </w:rPr>
        <w:t>Cause Papers</w:t>
      </w:r>
      <w:r>
        <w:t xml:space="preserve"> </w:t>
      </w:r>
      <w:r w:rsidRPr="00B10347">
        <w:rPr>
          <w:lang w:val="en-US"/>
        </w:rPr>
        <w:t>Borthwick Institute for Archives at the University of York</w:t>
      </w:r>
      <w:r>
        <w:t xml:space="preserve">. </w:t>
      </w:r>
    </w:p>
  </w:footnote>
  <w:footnote w:id="64">
    <w:p w14:paraId="3EC1DEE7" w14:textId="6B6ED764" w:rsidR="005D3F2C" w:rsidRDefault="005D3F2C" w:rsidP="00183AC0">
      <w:pPr>
        <w:pStyle w:val="FootnoteText"/>
      </w:pPr>
      <w:r>
        <w:rPr>
          <w:rStyle w:val="FootnoteReference"/>
        </w:rPr>
        <w:footnoteRef/>
      </w:r>
      <w:r>
        <w:t xml:space="preserve"> </w:t>
      </w:r>
      <w:r w:rsidRPr="000F5EA9">
        <w:rPr>
          <w:i/>
        </w:rPr>
        <w:t>Thomas Shaw</w:t>
      </w:r>
      <w:r>
        <w:t xml:space="preserve"> in CP.G.104 </w:t>
      </w:r>
      <w:r w:rsidRPr="00993F84">
        <w:rPr>
          <w:i/>
        </w:rPr>
        <w:t>Cause Papers</w:t>
      </w:r>
      <w:r>
        <w:rPr>
          <w:i/>
        </w:rPr>
        <w:t>,</w:t>
      </w:r>
      <w:r>
        <w:t xml:space="preserve"> </w:t>
      </w:r>
      <w:r w:rsidRPr="00B10347">
        <w:rPr>
          <w:lang w:val="en-US"/>
        </w:rPr>
        <w:t>Borthwick Institute for Archives at the University of York</w:t>
      </w:r>
      <w:r>
        <w:t xml:space="preserve">. </w:t>
      </w:r>
    </w:p>
  </w:footnote>
  <w:footnote w:id="65">
    <w:p w14:paraId="2E9107E1" w14:textId="5272CEC4" w:rsidR="005D3F2C" w:rsidRPr="000E231B" w:rsidRDefault="005D3F2C" w:rsidP="00183AC0">
      <w:pPr>
        <w:pStyle w:val="FootnoteText"/>
      </w:pPr>
      <w:r>
        <w:rPr>
          <w:rStyle w:val="FootnoteReference"/>
        </w:rPr>
        <w:footnoteRef/>
      </w:r>
      <w:r>
        <w:t xml:space="preserve"> Even though </w:t>
      </w:r>
      <w:r>
        <w:rPr>
          <w:i/>
        </w:rPr>
        <w:t xml:space="preserve">ex officio </w:t>
      </w:r>
      <w:r>
        <w:t xml:space="preserve">fees were relatively low, guilty parties were called upon to pay these (B Woodcock </w:t>
      </w:r>
      <w:r w:rsidRPr="00993F84">
        <w:rPr>
          <w:i/>
          <w:lang w:val="en-US"/>
        </w:rPr>
        <w:t xml:space="preserve">Medieval </w:t>
      </w:r>
      <w:r>
        <w:rPr>
          <w:i/>
          <w:lang w:val="en-US"/>
        </w:rPr>
        <w:t>E</w:t>
      </w:r>
      <w:r w:rsidRPr="00993F84">
        <w:rPr>
          <w:i/>
          <w:lang w:val="en-US"/>
        </w:rPr>
        <w:t xml:space="preserve">cclesiastical </w:t>
      </w:r>
      <w:r>
        <w:rPr>
          <w:i/>
          <w:lang w:val="en-US"/>
        </w:rPr>
        <w:t>C</w:t>
      </w:r>
      <w:r w:rsidRPr="00993F84">
        <w:rPr>
          <w:i/>
          <w:lang w:val="en-US"/>
        </w:rPr>
        <w:t xml:space="preserve">ourts in the </w:t>
      </w:r>
      <w:r>
        <w:rPr>
          <w:i/>
          <w:lang w:val="en-US"/>
        </w:rPr>
        <w:t>D</w:t>
      </w:r>
      <w:r w:rsidRPr="00993F84">
        <w:rPr>
          <w:i/>
          <w:lang w:val="en-US"/>
        </w:rPr>
        <w:t>iocese of Canterbury</w:t>
      </w:r>
      <w:r>
        <w:rPr>
          <w:i/>
          <w:lang w:val="en-US"/>
        </w:rPr>
        <w:t xml:space="preserve"> </w:t>
      </w:r>
      <w:r>
        <w:rPr>
          <w:lang w:val="en-US"/>
        </w:rPr>
        <w:t>(Oxford: OUP, 1952)</w:t>
      </w:r>
      <w:r>
        <w:t xml:space="preserve"> p 70).</w:t>
      </w:r>
    </w:p>
  </w:footnote>
  <w:footnote w:id="66">
    <w:p w14:paraId="0CE812EA" w14:textId="4583E859" w:rsidR="005D3F2C" w:rsidRPr="009B5D41" w:rsidRDefault="005D3F2C" w:rsidP="00183AC0">
      <w:pPr>
        <w:pStyle w:val="FootnoteText"/>
      </w:pPr>
      <w:r w:rsidRPr="009B5D41">
        <w:rPr>
          <w:rStyle w:val="FootnoteReference"/>
        </w:rPr>
        <w:footnoteRef/>
      </w:r>
      <w:r w:rsidRPr="009B5D41">
        <w:t xml:space="preserve"> </w:t>
      </w:r>
      <w:r w:rsidRPr="00B24A58">
        <w:rPr>
          <w:lang w:val="en-US"/>
        </w:rPr>
        <w:t>Helmholz</w:t>
      </w:r>
      <w:r w:rsidRPr="00E21204">
        <w:t>,</w:t>
      </w:r>
      <w:r>
        <w:t xml:space="preserve"> p 150</w:t>
      </w:r>
      <w:r>
        <w:rPr>
          <w:lang w:val="en-US"/>
        </w:rPr>
        <w:t>, above n 13</w:t>
      </w:r>
      <w:r w:rsidRPr="009B5D41">
        <w:t>.</w:t>
      </w:r>
      <w:r>
        <w:t xml:space="preserve"> This was around £1600 in modern terms, or one-third the annual wage of a craftsman in the building industry.</w:t>
      </w:r>
    </w:p>
  </w:footnote>
  <w:footnote w:id="67">
    <w:p w14:paraId="3E2A5C1F" w14:textId="74BBC9FC" w:rsidR="005D3F2C" w:rsidRDefault="005D3F2C" w:rsidP="00183AC0">
      <w:pPr>
        <w:pStyle w:val="FootnoteText"/>
      </w:pPr>
      <w:r>
        <w:rPr>
          <w:rStyle w:val="FootnoteReference"/>
        </w:rPr>
        <w:footnoteRef/>
      </w:r>
      <w:r>
        <w:t xml:space="preserve"> Case 1400/01 </w:t>
      </w:r>
      <w:r w:rsidRPr="002A415D">
        <w:rPr>
          <w:i/>
        </w:rPr>
        <w:t>Pollution of Church. LXIV ds. Joh. Del Grene, V. of Wystowe</w:t>
      </w:r>
      <w:r>
        <w:t xml:space="preserve"> (in Purvis, p </w:t>
      </w:r>
      <w:r w:rsidRPr="004D3907">
        <w:t>51</w:t>
      </w:r>
      <w:r>
        <w:t>, above n 39)</w:t>
      </w:r>
      <w:r w:rsidRPr="004D3907">
        <w:t>.</w:t>
      </w:r>
    </w:p>
  </w:footnote>
  <w:footnote w:id="68">
    <w:p w14:paraId="7A1CE52E" w14:textId="7D6D7BF0" w:rsidR="005D3F2C" w:rsidRPr="00E0405E" w:rsidRDefault="005D3F2C" w:rsidP="00183AC0">
      <w:pPr>
        <w:pStyle w:val="FootnoteText"/>
      </w:pPr>
      <w:r w:rsidRPr="00E0405E">
        <w:rPr>
          <w:rStyle w:val="FootnoteReference"/>
        </w:rPr>
        <w:footnoteRef/>
      </w:r>
      <w:r w:rsidRPr="00E0405E">
        <w:t xml:space="preserve"> </w:t>
      </w:r>
      <w:r w:rsidRPr="00E0405E">
        <w:rPr>
          <w:rFonts w:eastAsiaTheme="minorHAnsi" w:cs="Arial"/>
          <w:iCs/>
          <w:szCs w:val="26"/>
          <w:lang w:val="en-US" w:eastAsia="en-US"/>
        </w:rPr>
        <w:t>Johnson</w:t>
      </w:r>
      <w:r>
        <w:t>, p</w:t>
      </w:r>
      <w:r w:rsidRPr="00E0405E">
        <w:t xml:space="preserve"> 795</w:t>
      </w:r>
      <w:r>
        <w:rPr>
          <w:rFonts w:eastAsiaTheme="minorHAnsi" w:cs="Arial"/>
          <w:iCs/>
          <w:szCs w:val="26"/>
          <w:lang w:val="en-US" w:eastAsia="en-US"/>
        </w:rPr>
        <w:t>, above n 56</w:t>
      </w:r>
      <w:r w:rsidRPr="00E0405E">
        <w:t xml:space="preserve"> (emphasis added).</w:t>
      </w:r>
    </w:p>
  </w:footnote>
  <w:footnote w:id="69">
    <w:p w14:paraId="41910056" w14:textId="54DB3612" w:rsidR="005D3F2C" w:rsidRDefault="005D3F2C" w:rsidP="00183AC0">
      <w:pPr>
        <w:pStyle w:val="FootnoteText"/>
      </w:pPr>
      <w:r>
        <w:rPr>
          <w:rStyle w:val="FootnoteReference"/>
        </w:rPr>
        <w:footnoteRef/>
      </w:r>
      <w:r>
        <w:t xml:space="preserve"> Brundage, p 152, above n 58.</w:t>
      </w:r>
    </w:p>
  </w:footnote>
  <w:footnote w:id="70">
    <w:p w14:paraId="72C6A8FF" w14:textId="6F53FC4F" w:rsidR="005D3F2C" w:rsidRPr="00652DED" w:rsidRDefault="005D3F2C" w:rsidP="00652DED">
      <w:pPr>
        <w:pStyle w:val="FootnoteText"/>
      </w:pPr>
      <w:r>
        <w:rPr>
          <w:rStyle w:val="FootnoteReference"/>
        </w:rPr>
        <w:footnoteRef/>
      </w:r>
      <w:r>
        <w:t xml:space="preserve"> Outhwaite </w:t>
      </w:r>
      <w:r w:rsidRPr="00360B7B">
        <w:rPr>
          <w:i/>
        </w:rPr>
        <w:t>The Rise and Fall of the English Ecclesiastical Courts 1500-1860</w:t>
      </w:r>
      <w:r>
        <w:t xml:space="preserve"> (Cambridge: CUP, 2006), p 11.</w:t>
      </w:r>
    </w:p>
  </w:footnote>
  <w:footnote w:id="71">
    <w:p w14:paraId="4A4E42F6" w14:textId="1154E553" w:rsidR="005D3F2C" w:rsidRPr="00652DED" w:rsidRDefault="005D3F2C" w:rsidP="00652DED">
      <w:pPr>
        <w:pStyle w:val="FootnoteText"/>
      </w:pPr>
      <w:r w:rsidRPr="00652DED">
        <w:rPr>
          <w:rStyle w:val="FootnoteReference"/>
        </w:rPr>
        <w:footnoteRef/>
      </w:r>
      <w:r w:rsidRPr="00652DED">
        <w:t xml:space="preserve"> </w:t>
      </w:r>
      <w:r>
        <w:t>W Urry ‘The Normans in Canterbury’ [1958] 8 Annales de Normandie 119, at 138</w:t>
      </w:r>
      <w:r w:rsidRPr="00652DED">
        <w:t>.</w:t>
      </w:r>
    </w:p>
  </w:footnote>
  <w:footnote w:id="72">
    <w:p w14:paraId="376BA8D1" w14:textId="3B52D855" w:rsidR="005D3F2C" w:rsidRPr="00652DED" w:rsidRDefault="005D3F2C" w:rsidP="00652DED">
      <w:pPr>
        <w:pStyle w:val="FootnoteText"/>
      </w:pPr>
      <w:r w:rsidRPr="00652DED">
        <w:rPr>
          <w:rStyle w:val="FootnoteReference"/>
        </w:rPr>
        <w:footnoteRef/>
      </w:r>
      <w:r w:rsidRPr="00652DED">
        <w:t xml:space="preserve"> </w:t>
      </w:r>
      <w:r>
        <w:t xml:space="preserve">Thiery, p </w:t>
      </w:r>
      <w:r w:rsidRPr="00652DED">
        <w:t>36</w:t>
      </w:r>
      <w:r>
        <w:t>, above n 19</w:t>
      </w:r>
      <w:r w:rsidRPr="00652DED">
        <w:t>.</w:t>
      </w:r>
    </w:p>
  </w:footnote>
  <w:footnote w:id="73">
    <w:p w14:paraId="38381E69" w14:textId="4650D43D" w:rsidR="005D3F2C" w:rsidRDefault="005D3F2C" w:rsidP="00183AC0">
      <w:pPr>
        <w:pStyle w:val="FootnoteText"/>
      </w:pPr>
      <w:r>
        <w:rPr>
          <w:rStyle w:val="FootnoteReference"/>
        </w:rPr>
        <w:footnoteRef/>
      </w:r>
      <w:r>
        <w:t xml:space="preserve"> </w:t>
      </w:r>
      <w:r w:rsidRPr="00FE195B">
        <w:rPr>
          <w:lang w:val="en-US"/>
        </w:rPr>
        <w:t>The sentence of excommunication having pre-Christian roots, including the use by Druids (</w:t>
      </w:r>
      <w:r>
        <w:t>R Hill</w:t>
      </w:r>
      <w:r w:rsidRPr="00FE195B">
        <w:t xml:space="preserve"> ‘The Theory and Practice of Excommunication in Medieval Englan</w:t>
      </w:r>
      <w:r>
        <w:t>d’</w:t>
      </w:r>
      <w:r w:rsidRPr="00FE195B">
        <w:t xml:space="preserve"> [1957] </w:t>
      </w:r>
      <w:r>
        <w:t xml:space="preserve">42 </w:t>
      </w:r>
      <w:r w:rsidRPr="00FE195B">
        <w:t>History</w:t>
      </w:r>
      <w:r>
        <w:t xml:space="preserve"> 1, p </w:t>
      </w:r>
      <w:r w:rsidRPr="00FE195B">
        <w:t>2.)</w:t>
      </w:r>
    </w:p>
  </w:footnote>
  <w:footnote w:id="74">
    <w:p w14:paraId="4B434CFF" w14:textId="00182337" w:rsidR="005D3F2C" w:rsidRPr="0035146C" w:rsidRDefault="005D3F2C">
      <w:pPr>
        <w:pStyle w:val="FootnoteText"/>
        <w:rPr>
          <w:lang w:val="en-US"/>
        </w:rPr>
      </w:pPr>
      <w:r>
        <w:rPr>
          <w:rStyle w:val="FootnoteReference"/>
        </w:rPr>
        <w:footnoteRef/>
      </w:r>
      <w:r>
        <w:t xml:space="preserve"> </w:t>
      </w:r>
      <w:r>
        <w:rPr>
          <w:lang w:val="en-US"/>
        </w:rPr>
        <w:t>The basic distinction from the 13</w:t>
      </w:r>
      <w:r w:rsidRPr="00AF3975">
        <w:rPr>
          <w:vertAlign w:val="superscript"/>
          <w:lang w:val="en-US"/>
        </w:rPr>
        <w:t>th</w:t>
      </w:r>
      <w:r>
        <w:rPr>
          <w:lang w:val="en-US"/>
        </w:rPr>
        <w:t xml:space="preserve"> century onwards being between ‘minor’ and ‘major’ form (</w:t>
      </w:r>
      <w:r w:rsidRPr="009E172B">
        <w:rPr>
          <w:lang w:val="en-US"/>
        </w:rPr>
        <w:t xml:space="preserve">FD Logan </w:t>
      </w:r>
      <w:r w:rsidRPr="009E172B">
        <w:rPr>
          <w:i/>
          <w:lang w:val="en-US"/>
        </w:rPr>
        <w:t>Excommunication and the Secular Arm in Medieval England</w:t>
      </w:r>
      <w:r w:rsidRPr="009E172B">
        <w:rPr>
          <w:lang w:val="en-US"/>
        </w:rPr>
        <w:t xml:space="preserve"> (Toronto: Pontifical Institute of Medieval Studies, 1968) p 14).</w:t>
      </w:r>
    </w:p>
  </w:footnote>
  <w:footnote w:id="75">
    <w:p w14:paraId="5BF37CBB" w14:textId="41572717" w:rsidR="005D3F2C" w:rsidRDefault="005D3F2C" w:rsidP="00183AC0">
      <w:pPr>
        <w:pStyle w:val="FootnoteText"/>
      </w:pPr>
      <w:r>
        <w:rPr>
          <w:rStyle w:val="FootnoteReference"/>
        </w:rPr>
        <w:footnoteRef/>
      </w:r>
      <w:r>
        <w:t xml:space="preserve"> S Ollivant </w:t>
      </w:r>
      <w:r w:rsidRPr="00463DF6">
        <w:rPr>
          <w:i/>
        </w:rPr>
        <w:t>The Court of the Official in Pre-Reformation Scotland</w:t>
      </w:r>
      <w:r>
        <w:t xml:space="preserve"> (Edinburgh: Stair Society, 1982), p 151. These impacts are considered further below.</w:t>
      </w:r>
    </w:p>
  </w:footnote>
  <w:footnote w:id="76">
    <w:p w14:paraId="1A587C30" w14:textId="34E2D7EF" w:rsidR="005D3F2C" w:rsidRPr="00AA7438" w:rsidRDefault="005D3F2C">
      <w:pPr>
        <w:pStyle w:val="FootnoteText"/>
        <w:rPr>
          <w:lang w:val="en-US"/>
        </w:rPr>
      </w:pPr>
      <w:r>
        <w:rPr>
          <w:rStyle w:val="FootnoteReference"/>
        </w:rPr>
        <w:footnoteRef/>
      </w:r>
      <w:r>
        <w:t xml:space="preserve"> Creating a special immunity from violence, and separating from the secular world. </w:t>
      </w:r>
      <w:r>
        <w:rPr>
          <w:lang w:val="en-US"/>
        </w:rPr>
        <w:t xml:space="preserve">R Helmolz </w:t>
      </w:r>
      <w:r>
        <w:rPr>
          <w:i/>
          <w:lang w:val="en-US"/>
        </w:rPr>
        <w:t>The Spirit of Classical Canon Law</w:t>
      </w:r>
      <w:r>
        <w:rPr>
          <w:lang w:val="en-US"/>
        </w:rPr>
        <w:t xml:space="preserve"> (Athens: </w:t>
      </w:r>
      <w:r w:rsidRPr="00AA7438">
        <w:rPr>
          <w:lang w:val="en-US"/>
        </w:rPr>
        <w:t>University of Georgia Press, 2010)</w:t>
      </w:r>
      <w:r>
        <w:rPr>
          <w:lang w:val="en-US"/>
        </w:rPr>
        <w:t>, p 385.</w:t>
      </w:r>
    </w:p>
  </w:footnote>
  <w:footnote w:id="77">
    <w:p w14:paraId="270502ED" w14:textId="657902B0" w:rsidR="005D3F2C" w:rsidRPr="009B5D41" w:rsidRDefault="005D3F2C" w:rsidP="00183AC0">
      <w:pPr>
        <w:pStyle w:val="FootnoteText"/>
      </w:pPr>
      <w:r w:rsidRPr="009B5D41">
        <w:rPr>
          <w:rStyle w:val="FootnoteReference"/>
        </w:rPr>
        <w:footnoteRef/>
      </w:r>
      <w:r w:rsidRPr="009B5D41">
        <w:t xml:space="preserve"> </w:t>
      </w:r>
      <w:r w:rsidRPr="00B24A58">
        <w:rPr>
          <w:lang w:val="en-US"/>
        </w:rPr>
        <w:t>Helmholz</w:t>
      </w:r>
      <w:r w:rsidRPr="00E21204">
        <w:t>,</w:t>
      </w:r>
      <w:r>
        <w:t xml:space="preserve"> p </w:t>
      </w:r>
      <w:r w:rsidRPr="009B5D41">
        <w:t>619</w:t>
      </w:r>
      <w:r w:rsidRPr="00E21204">
        <w:rPr>
          <w:lang w:val="en-US"/>
        </w:rPr>
        <w:t xml:space="preserve">, above </w:t>
      </w:r>
      <w:r>
        <w:rPr>
          <w:lang w:val="en-US"/>
        </w:rPr>
        <w:t>n 13</w:t>
      </w:r>
      <w:r w:rsidRPr="009B5D41">
        <w:t>.</w:t>
      </w:r>
    </w:p>
  </w:footnote>
  <w:footnote w:id="78">
    <w:p w14:paraId="064E14A5" w14:textId="41E8EDA9" w:rsidR="005D3F2C" w:rsidRPr="001B02AE" w:rsidRDefault="005D3F2C" w:rsidP="00183AC0">
      <w:pPr>
        <w:pStyle w:val="FootnoteText"/>
        <w:rPr>
          <w:b/>
          <w:i/>
          <w:u w:val="single"/>
        </w:rPr>
      </w:pPr>
      <w:r w:rsidRPr="001B02AE">
        <w:rPr>
          <w:rStyle w:val="FootnoteReference"/>
        </w:rPr>
        <w:footnoteRef/>
      </w:r>
      <w:r w:rsidRPr="001B02AE">
        <w:t xml:space="preserve"> </w:t>
      </w:r>
      <w:r>
        <w:rPr>
          <w:rFonts w:eastAsiaTheme="minorHAnsi" w:cs="Arial"/>
          <w:szCs w:val="26"/>
          <w:lang w:val="en-US" w:eastAsia="en-US"/>
        </w:rPr>
        <w:t xml:space="preserve">Dunstan (ed) </w:t>
      </w:r>
      <w:r w:rsidRPr="001B02AE">
        <w:rPr>
          <w:i/>
        </w:rPr>
        <w:t>T</w:t>
      </w:r>
      <w:r w:rsidRPr="001B02AE">
        <w:rPr>
          <w:rFonts w:eastAsiaTheme="minorHAnsi" w:cs="Arial"/>
          <w:i/>
          <w:iCs/>
          <w:szCs w:val="26"/>
          <w:lang w:val="en-US" w:eastAsia="en-US"/>
        </w:rPr>
        <w:t xml:space="preserve">he register of Edmund Lacy, Bishop of Exeter, 1420-1455: </w:t>
      </w:r>
      <w:r>
        <w:rPr>
          <w:rFonts w:eastAsiaTheme="minorHAnsi" w:cs="Arial"/>
          <w:i/>
          <w:iCs/>
          <w:szCs w:val="26"/>
          <w:lang w:val="en-US" w:eastAsia="en-US"/>
        </w:rPr>
        <w:t>‘</w:t>
      </w:r>
      <w:r w:rsidRPr="001B02AE">
        <w:rPr>
          <w:rFonts w:eastAsiaTheme="minorHAnsi" w:cs="Arial"/>
          <w:i/>
          <w:iCs/>
          <w:szCs w:val="26"/>
          <w:lang w:val="en-US" w:eastAsia="en-US"/>
        </w:rPr>
        <w:t>Registrum commune</w:t>
      </w:r>
      <w:r>
        <w:rPr>
          <w:rFonts w:eastAsiaTheme="minorHAnsi" w:cs="Arial"/>
          <w:i/>
          <w:iCs/>
          <w:szCs w:val="26"/>
          <w:lang w:val="en-US" w:eastAsia="en-US"/>
        </w:rPr>
        <w:t>’</w:t>
      </w:r>
      <w:r w:rsidRPr="001B02AE">
        <w:rPr>
          <w:rFonts w:eastAsiaTheme="minorHAnsi" w:cs="Arial"/>
          <w:i/>
          <w:iCs/>
          <w:szCs w:val="26"/>
          <w:lang w:val="en-US" w:eastAsia="en-US"/>
        </w:rPr>
        <w:t xml:space="preserve"> </w:t>
      </w:r>
      <w:r>
        <w:rPr>
          <w:rFonts w:eastAsiaTheme="minorHAnsi" w:cs="Arial"/>
          <w:i/>
          <w:iCs/>
          <w:szCs w:val="26"/>
          <w:lang w:val="en-US" w:eastAsia="en-US"/>
        </w:rPr>
        <w:t>V</w:t>
      </w:r>
      <w:r w:rsidRPr="001B02AE">
        <w:rPr>
          <w:rFonts w:eastAsiaTheme="minorHAnsi" w:cs="Arial"/>
          <w:i/>
          <w:iCs/>
          <w:szCs w:val="26"/>
          <w:lang w:val="en-US" w:eastAsia="en-US"/>
        </w:rPr>
        <w:t>ol. 2</w:t>
      </w:r>
      <w:r>
        <w:rPr>
          <w:rFonts w:eastAsiaTheme="minorHAnsi" w:cs="Arial"/>
          <w:szCs w:val="26"/>
          <w:lang w:val="en-US" w:eastAsia="en-US"/>
        </w:rPr>
        <w:t xml:space="preserve"> </w:t>
      </w:r>
      <w:r w:rsidRPr="001F460D">
        <w:t>(</w:t>
      </w:r>
      <w:r>
        <w:t xml:space="preserve">London: </w:t>
      </w:r>
      <w:r w:rsidRPr="001F460D">
        <w:t>The</w:t>
      </w:r>
      <w:r w:rsidRPr="000E3324">
        <w:t xml:space="preserve"> Canterbury &amp; York Society Series</w:t>
      </w:r>
      <w:r>
        <w:t xml:space="preserve">, </w:t>
      </w:r>
      <w:r w:rsidRPr="000E3324">
        <w:t>v</w:t>
      </w:r>
      <w:r>
        <w:t>ol. 61, 1966) p 361</w:t>
      </w:r>
      <w:r w:rsidRPr="001B02AE">
        <w:t>.</w:t>
      </w:r>
    </w:p>
  </w:footnote>
  <w:footnote w:id="79">
    <w:p w14:paraId="7C7AA98C" w14:textId="54FB1EEE" w:rsidR="005D3F2C" w:rsidRDefault="005D3F2C" w:rsidP="00183AC0">
      <w:pPr>
        <w:pStyle w:val="FootnoteText"/>
      </w:pPr>
      <w:r w:rsidRPr="001B02AE">
        <w:rPr>
          <w:rStyle w:val="FootnoteReference"/>
        </w:rPr>
        <w:footnoteRef/>
      </w:r>
      <w:r w:rsidRPr="001B02AE">
        <w:t xml:space="preserve"> </w:t>
      </w:r>
      <w:r w:rsidRPr="00B12316">
        <w:rPr>
          <w:i/>
        </w:rPr>
        <w:t>William Baker</w:t>
      </w:r>
      <w:r w:rsidRPr="001B02AE">
        <w:t xml:space="preserve"> Case</w:t>
      </w:r>
      <w:r w:rsidRPr="00E0405E">
        <w:t>,</w:t>
      </w:r>
      <w:r w:rsidRPr="00E0405E">
        <w:rPr>
          <w:b/>
        </w:rPr>
        <w:t xml:space="preserve"> </w:t>
      </w:r>
      <w:r w:rsidRPr="00E0405E">
        <w:rPr>
          <w:rFonts w:eastAsiaTheme="minorHAnsi" w:cs="Arial"/>
          <w:iCs/>
          <w:szCs w:val="26"/>
          <w:lang w:val="en-US" w:eastAsia="en-US"/>
        </w:rPr>
        <w:t>Bannister</w:t>
      </w:r>
      <w:r w:rsidRPr="00E0405E">
        <w:t>,</w:t>
      </w:r>
      <w:r>
        <w:t xml:space="preserve"> p</w:t>
      </w:r>
      <w:r w:rsidRPr="001B02AE">
        <w:t xml:space="preserve"> 105</w:t>
      </w:r>
      <w:r w:rsidRPr="00E0405E">
        <w:rPr>
          <w:rFonts w:eastAsiaTheme="minorHAnsi" w:cs="Arial"/>
          <w:iCs/>
          <w:szCs w:val="26"/>
          <w:lang w:val="en-US" w:eastAsia="en-US"/>
        </w:rPr>
        <w:t>, above n 2</w:t>
      </w:r>
      <w:r>
        <w:rPr>
          <w:rFonts w:eastAsiaTheme="minorHAnsi" w:cs="Arial"/>
          <w:iCs/>
          <w:szCs w:val="26"/>
          <w:lang w:val="en-US" w:eastAsia="en-US"/>
        </w:rPr>
        <w:t>9</w:t>
      </w:r>
      <w:r w:rsidRPr="001B02AE">
        <w:t>.</w:t>
      </w:r>
    </w:p>
  </w:footnote>
  <w:footnote w:id="80">
    <w:p w14:paraId="08C75520" w14:textId="7AAF9EFA" w:rsidR="005D3F2C" w:rsidRDefault="005D3F2C" w:rsidP="00183AC0">
      <w:pPr>
        <w:pStyle w:val="FootnoteText"/>
      </w:pPr>
      <w:r>
        <w:rPr>
          <w:rStyle w:val="FootnoteReference"/>
        </w:rPr>
        <w:footnoteRef/>
      </w:r>
      <w:r>
        <w:t xml:space="preserve"> </w:t>
      </w:r>
      <w:r w:rsidRPr="00E0405E">
        <w:rPr>
          <w:rFonts w:eastAsiaTheme="minorHAnsi" w:cs="Arial"/>
          <w:iCs/>
          <w:szCs w:val="26"/>
          <w:lang w:val="en-US" w:eastAsia="en-US"/>
        </w:rPr>
        <w:t>Johnson</w:t>
      </w:r>
      <w:r w:rsidRPr="00E0405E">
        <w:t>,</w:t>
      </w:r>
      <w:r>
        <w:t xml:space="preserve"> p 242</w:t>
      </w:r>
      <w:r w:rsidRPr="00E0405E">
        <w:rPr>
          <w:rFonts w:eastAsiaTheme="minorHAnsi" w:cs="Arial"/>
          <w:iCs/>
          <w:szCs w:val="26"/>
          <w:lang w:val="en-US" w:eastAsia="en-US"/>
        </w:rPr>
        <w:t>, abov</w:t>
      </w:r>
      <w:r>
        <w:rPr>
          <w:rFonts w:eastAsiaTheme="minorHAnsi" w:cs="Arial"/>
          <w:iCs/>
          <w:szCs w:val="26"/>
          <w:lang w:val="en-US" w:eastAsia="en-US"/>
        </w:rPr>
        <w:t>e n 56</w:t>
      </w:r>
      <w:r>
        <w:t>.</w:t>
      </w:r>
    </w:p>
  </w:footnote>
  <w:footnote w:id="81">
    <w:p w14:paraId="62196A70" w14:textId="1FF253DF" w:rsidR="005D3F2C" w:rsidRDefault="005D3F2C" w:rsidP="00183AC0">
      <w:pPr>
        <w:pStyle w:val="FootnoteText"/>
      </w:pPr>
      <w:r>
        <w:rPr>
          <w:rStyle w:val="FootnoteReference"/>
        </w:rPr>
        <w:footnoteRef/>
      </w:r>
      <w:r>
        <w:t xml:space="preserve"> E Vodola </w:t>
      </w:r>
      <w:r w:rsidRPr="00786E8F">
        <w:rPr>
          <w:i/>
        </w:rPr>
        <w:t>Excommunication in the Middle Ages</w:t>
      </w:r>
      <w:r>
        <w:t xml:space="preserve"> (Berkeley: University of California Press, 1986) p 36.</w:t>
      </w:r>
    </w:p>
  </w:footnote>
  <w:footnote w:id="82">
    <w:p w14:paraId="04154546" w14:textId="3027F791" w:rsidR="005D3F2C" w:rsidRDefault="005D3F2C" w:rsidP="00183AC0">
      <w:pPr>
        <w:pStyle w:val="FootnoteText"/>
      </w:pPr>
      <w:r>
        <w:rPr>
          <w:rStyle w:val="FootnoteReference"/>
        </w:rPr>
        <w:footnoteRef/>
      </w:r>
      <w:r>
        <w:t xml:space="preserve"> </w:t>
      </w:r>
      <w:r w:rsidRPr="00E0405E">
        <w:rPr>
          <w:rFonts w:eastAsiaTheme="minorHAnsi" w:cs="Arial"/>
          <w:iCs/>
          <w:szCs w:val="26"/>
          <w:lang w:val="en-US" w:eastAsia="en-US"/>
        </w:rPr>
        <w:t>Johnson</w:t>
      </w:r>
      <w:r w:rsidRPr="00E0405E">
        <w:t xml:space="preserve">, </w:t>
      </w:r>
      <w:r>
        <w:t>p 249</w:t>
      </w:r>
      <w:r w:rsidRPr="00E0405E">
        <w:rPr>
          <w:rFonts w:eastAsiaTheme="minorHAnsi" w:cs="Arial"/>
          <w:iCs/>
          <w:szCs w:val="26"/>
          <w:lang w:val="en-US" w:eastAsia="en-US"/>
        </w:rPr>
        <w:t xml:space="preserve">, above n </w:t>
      </w:r>
      <w:r>
        <w:rPr>
          <w:rFonts w:eastAsiaTheme="minorHAnsi" w:cs="Arial"/>
          <w:iCs/>
          <w:szCs w:val="26"/>
          <w:lang w:val="en-US" w:eastAsia="en-US"/>
        </w:rPr>
        <w:t>5</w:t>
      </w:r>
      <w:r w:rsidRPr="00E0405E">
        <w:rPr>
          <w:rFonts w:eastAsiaTheme="minorHAnsi" w:cs="Arial"/>
          <w:iCs/>
          <w:szCs w:val="26"/>
          <w:lang w:val="en-US" w:eastAsia="en-US"/>
        </w:rPr>
        <w:t>6</w:t>
      </w:r>
      <w:r>
        <w:t>.</w:t>
      </w:r>
    </w:p>
  </w:footnote>
  <w:footnote w:id="83">
    <w:p w14:paraId="3F0F4833" w14:textId="11484555" w:rsidR="005D3F2C" w:rsidRDefault="005D3F2C" w:rsidP="00183AC0">
      <w:pPr>
        <w:pStyle w:val="FootnoteText"/>
      </w:pPr>
      <w:r>
        <w:rPr>
          <w:rStyle w:val="FootnoteReference"/>
        </w:rPr>
        <w:footnoteRef/>
      </w:r>
      <w:r>
        <w:t xml:space="preserve"> </w:t>
      </w:r>
      <w:r>
        <w:rPr>
          <w:rFonts w:eastAsiaTheme="minorHAnsi" w:cs="Arial"/>
          <w:iCs/>
          <w:szCs w:val="26"/>
          <w:lang w:val="en-US" w:eastAsia="en-US"/>
        </w:rPr>
        <w:t>Ibid</w:t>
      </w:r>
      <w:r w:rsidRPr="00E0405E">
        <w:t xml:space="preserve">, </w:t>
      </w:r>
      <w:r>
        <w:t>p 441.</w:t>
      </w:r>
    </w:p>
  </w:footnote>
  <w:footnote w:id="84">
    <w:p w14:paraId="4851A817" w14:textId="126047FB" w:rsidR="005D3F2C" w:rsidRDefault="005D3F2C" w:rsidP="00183AC0">
      <w:pPr>
        <w:pStyle w:val="FootnoteText"/>
      </w:pPr>
      <w:r>
        <w:rPr>
          <w:rStyle w:val="FootnoteReference"/>
        </w:rPr>
        <w:footnoteRef/>
      </w:r>
      <w:r>
        <w:t xml:space="preserve"> </w:t>
      </w:r>
      <w:r w:rsidRPr="00B24A58">
        <w:rPr>
          <w:lang w:val="en-US"/>
        </w:rPr>
        <w:t>Helmholz</w:t>
      </w:r>
      <w:r w:rsidRPr="00E21204">
        <w:t>,</w:t>
      </w:r>
      <w:r>
        <w:t xml:space="preserve"> ch. 6</w:t>
      </w:r>
      <w:r>
        <w:rPr>
          <w:lang w:val="en-US"/>
        </w:rPr>
        <w:t>, above n 60</w:t>
      </w:r>
      <w:r>
        <w:t xml:space="preserve">. </w:t>
      </w:r>
    </w:p>
  </w:footnote>
  <w:footnote w:id="85">
    <w:p w14:paraId="7FAA52D8" w14:textId="24A10F76" w:rsidR="005D3F2C" w:rsidRDefault="005D3F2C" w:rsidP="00183AC0">
      <w:pPr>
        <w:pStyle w:val="FootnoteText"/>
      </w:pPr>
      <w:r>
        <w:rPr>
          <w:rStyle w:val="FootnoteReference"/>
        </w:rPr>
        <w:footnoteRef/>
      </w:r>
      <w:r>
        <w:t xml:space="preserve"> </w:t>
      </w:r>
      <w:r>
        <w:rPr>
          <w:lang w:val="en-US"/>
        </w:rPr>
        <w:t>Ibid</w:t>
      </w:r>
      <w:r w:rsidRPr="00E21204">
        <w:t>,</w:t>
      </w:r>
      <w:r>
        <w:t xml:space="preserve"> p 113.</w:t>
      </w:r>
    </w:p>
  </w:footnote>
  <w:footnote w:id="86">
    <w:p w14:paraId="4439162A" w14:textId="677D085F" w:rsidR="005D3F2C" w:rsidRDefault="005D3F2C" w:rsidP="00183AC0">
      <w:pPr>
        <w:pStyle w:val="FootnoteText"/>
      </w:pPr>
      <w:r>
        <w:rPr>
          <w:rStyle w:val="FootnoteReference"/>
        </w:rPr>
        <w:footnoteRef/>
      </w:r>
      <w:r>
        <w:t xml:space="preserve"> </w:t>
      </w:r>
      <w:r w:rsidRPr="00B24A58">
        <w:rPr>
          <w:lang w:val="en-US"/>
        </w:rPr>
        <w:t>Helmholz</w:t>
      </w:r>
      <w:r>
        <w:t xml:space="preserve">, </w:t>
      </w:r>
      <w:r>
        <w:rPr>
          <w:rFonts w:cs="Code"/>
          <w:szCs w:val="22"/>
        </w:rPr>
        <w:t>p 2</w:t>
      </w:r>
      <w:r>
        <w:rPr>
          <w:lang w:val="en-US"/>
        </w:rPr>
        <w:t>, above n 22</w:t>
      </w:r>
      <w:r w:rsidRPr="00B13751">
        <w:rPr>
          <w:rFonts w:cs="Code"/>
          <w:szCs w:val="22"/>
        </w:rPr>
        <w:t>.</w:t>
      </w:r>
      <w:r>
        <w:rPr>
          <w:rFonts w:cs="Code"/>
          <w:szCs w:val="22"/>
        </w:rPr>
        <w:t xml:space="preserve"> </w:t>
      </w:r>
      <w:r w:rsidRPr="00BD7537">
        <w:rPr>
          <w:lang w:val="en-US"/>
        </w:rPr>
        <w:t>The worst crimes could merit ‘relaxation’ to the secular arm; whereby the civil authorities could inflict various forms</w:t>
      </w:r>
      <w:r>
        <w:rPr>
          <w:lang w:val="en-US"/>
        </w:rPr>
        <w:t xml:space="preserve"> of physical punishment (</w:t>
      </w:r>
      <w:r>
        <w:t>Brundage, p 153, above n 58).</w:t>
      </w:r>
    </w:p>
  </w:footnote>
  <w:footnote w:id="87">
    <w:p w14:paraId="5D142019" w14:textId="2E8865EF" w:rsidR="005D3F2C" w:rsidRPr="000F5EA9" w:rsidRDefault="005D3F2C" w:rsidP="00640F6D">
      <w:pPr>
        <w:pStyle w:val="FootnoteText"/>
        <w:rPr>
          <w:bCs/>
          <w:lang w:val="en-US"/>
        </w:rPr>
      </w:pPr>
      <w:r>
        <w:rPr>
          <w:rStyle w:val="FootnoteReference"/>
        </w:rPr>
        <w:footnoteRef/>
      </w:r>
      <w:r>
        <w:t xml:space="preserve"> </w:t>
      </w:r>
      <w:r>
        <w:rPr>
          <w:bCs/>
          <w:lang w:val="en-US"/>
        </w:rPr>
        <w:t>S Coyle and K Morrow</w:t>
      </w:r>
      <w:r w:rsidRPr="00F83DB5">
        <w:rPr>
          <w:bCs/>
          <w:lang w:val="en-US"/>
        </w:rPr>
        <w:t xml:space="preserve"> </w:t>
      </w:r>
      <w:r w:rsidRPr="00F83DB5">
        <w:rPr>
          <w:bCs/>
          <w:i/>
          <w:iCs/>
          <w:lang w:val="en-US"/>
        </w:rPr>
        <w:t>The Philosophical Foundations of Environmental Law</w:t>
      </w:r>
      <w:r>
        <w:rPr>
          <w:bCs/>
          <w:i/>
          <w:iCs/>
          <w:lang w:val="en-US"/>
        </w:rPr>
        <w:t xml:space="preserve"> </w:t>
      </w:r>
      <w:r>
        <w:rPr>
          <w:bCs/>
          <w:iCs/>
          <w:lang w:val="en-US"/>
        </w:rPr>
        <w:t xml:space="preserve">(Oxford: Hart, 2004) </w:t>
      </w:r>
      <w:r>
        <w:t>note the earlier focus on the intrinsic moral dimension of property rights, rather than the modern dominance of instrumentalist thinking.</w:t>
      </w:r>
    </w:p>
  </w:footnote>
  <w:footnote w:id="88">
    <w:p w14:paraId="4C730070" w14:textId="273A0284" w:rsidR="005D3F2C" w:rsidRPr="00180962" w:rsidRDefault="005D3F2C">
      <w:pPr>
        <w:pStyle w:val="FootnoteText"/>
        <w:rPr>
          <w:lang w:val="en-US"/>
        </w:rPr>
      </w:pPr>
      <w:r w:rsidRPr="00180962">
        <w:rPr>
          <w:rStyle w:val="FootnoteReference"/>
        </w:rPr>
        <w:footnoteRef/>
      </w:r>
      <w:r w:rsidRPr="00180962">
        <w:t xml:space="preserve"> </w:t>
      </w:r>
      <w:r w:rsidRPr="00180962">
        <w:rPr>
          <w:lang w:val="en-US"/>
        </w:rPr>
        <w:t>Murray, p 428</w:t>
      </w:r>
      <w:r w:rsidRPr="00180962">
        <w:rPr>
          <w:rFonts w:cs="Arial"/>
          <w:szCs w:val="22"/>
          <w:lang w:val="en-US"/>
        </w:rPr>
        <w:t>, above n 11</w:t>
      </w:r>
      <w:r w:rsidRPr="00180962">
        <w:rPr>
          <w:lang w:val="en-US"/>
        </w:rPr>
        <w:t>.</w:t>
      </w:r>
    </w:p>
  </w:footnote>
  <w:footnote w:id="89">
    <w:p w14:paraId="5162D9A2" w14:textId="3B6EA570" w:rsidR="005D3F2C" w:rsidRPr="00180962" w:rsidRDefault="005D3F2C">
      <w:pPr>
        <w:pStyle w:val="FootnoteText"/>
        <w:rPr>
          <w:lang w:val="en-US"/>
        </w:rPr>
      </w:pPr>
      <w:r w:rsidRPr="00180962">
        <w:rPr>
          <w:rStyle w:val="FootnoteReference"/>
        </w:rPr>
        <w:footnoteRef/>
      </w:r>
      <w:r w:rsidRPr="00180962">
        <w:t xml:space="preserve"> </w:t>
      </w:r>
      <w:r w:rsidRPr="00180962">
        <w:rPr>
          <w:lang w:val="en-US"/>
        </w:rPr>
        <w:t>Murray</w:t>
      </w:r>
      <w:r w:rsidRPr="00180962">
        <w:rPr>
          <w:rFonts w:cs="Arial"/>
          <w:szCs w:val="22"/>
          <w:lang w:val="en-US"/>
        </w:rPr>
        <w:t xml:space="preserve">, </w:t>
      </w:r>
      <w:r w:rsidRPr="00180962">
        <w:rPr>
          <w:lang w:val="en-US"/>
        </w:rPr>
        <w:t>p 426</w:t>
      </w:r>
      <w:r w:rsidRPr="00180962">
        <w:rPr>
          <w:rFonts w:cs="Arial"/>
          <w:szCs w:val="22"/>
          <w:lang w:val="en-US"/>
        </w:rPr>
        <w:t>, above n 11</w:t>
      </w:r>
      <w:r w:rsidRPr="00180962">
        <w:rPr>
          <w:lang w:val="en-US"/>
        </w:rPr>
        <w:t>.</w:t>
      </w:r>
    </w:p>
  </w:footnote>
  <w:footnote w:id="90">
    <w:p w14:paraId="68204CED" w14:textId="41BB4616" w:rsidR="005D3F2C" w:rsidRPr="009B5D41" w:rsidRDefault="005D3F2C" w:rsidP="00640F6D">
      <w:pPr>
        <w:pStyle w:val="FootnoteText"/>
      </w:pPr>
      <w:r w:rsidRPr="009B5D41">
        <w:rPr>
          <w:rStyle w:val="FootnoteReference"/>
        </w:rPr>
        <w:footnoteRef/>
      </w:r>
      <w:r>
        <w:t xml:space="preserve"> M</w:t>
      </w:r>
      <w:r w:rsidRPr="009B5D41">
        <w:t xml:space="preserve"> Douglas</w:t>
      </w:r>
      <w:r>
        <w:t xml:space="preserve"> </w:t>
      </w:r>
      <w:r>
        <w:rPr>
          <w:i/>
        </w:rPr>
        <w:t xml:space="preserve">Purity and Danger </w:t>
      </w:r>
      <w:r>
        <w:t xml:space="preserve">(London:  Routledge Classics, 2002) p </w:t>
      </w:r>
      <w:r w:rsidRPr="009B5D41">
        <w:t>3.</w:t>
      </w:r>
      <w:r>
        <w:t xml:space="preserve"> </w:t>
      </w:r>
      <w:r w:rsidRPr="00BD7537">
        <w:rPr>
          <w:lang w:val="en-US"/>
        </w:rPr>
        <w:t>‘Pollution fears’ may represent a range of deep concerns, and differing priorities in values. For individuals, this might be seen in an elevation of the terror of eternal damnation over temporal health, whilst for powerful groups, loss of auth</w:t>
      </w:r>
      <w:r>
        <w:rPr>
          <w:lang w:val="en-US"/>
        </w:rPr>
        <w:t>ority may be the greatest fear.</w:t>
      </w:r>
    </w:p>
  </w:footnote>
  <w:footnote w:id="91">
    <w:p w14:paraId="3A3404E0" w14:textId="5636E01C" w:rsidR="005D3F2C" w:rsidRPr="009B5D41" w:rsidRDefault="005D3F2C" w:rsidP="00640F6D">
      <w:pPr>
        <w:pStyle w:val="FootnoteText"/>
      </w:pPr>
      <w:r w:rsidRPr="009B5D41">
        <w:rPr>
          <w:rStyle w:val="FootnoteReference"/>
        </w:rPr>
        <w:footnoteRef/>
      </w:r>
      <w:r w:rsidRPr="009B5D41">
        <w:t xml:space="preserve"> </w:t>
      </w:r>
      <w:r>
        <w:t xml:space="preserve">Ibid, p </w:t>
      </w:r>
      <w:r w:rsidRPr="009B5D41">
        <w:t>1.</w:t>
      </w:r>
    </w:p>
  </w:footnote>
  <w:footnote w:id="92">
    <w:p w14:paraId="78ABEAFA" w14:textId="55D9B400" w:rsidR="005D3F2C" w:rsidRPr="0087048A" w:rsidRDefault="005D3F2C" w:rsidP="00640F6D">
      <w:pPr>
        <w:pStyle w:val="FootnoteText"/>
      </w:pPr>
      <w:r w:rsidRPr="009B5D41">
        <w:rPr>
          <w:rStyle w:val="FootnoteReference"/>
        </w:rPr>
        <w:footnoteRef/>
      </w:r>
      <w:r>
        <w:t xml:space="preserve"> Ibid, p </w:t>
      </w:r>
      <w:r w:rsidRPr="009B5D41">
        <w:t xml:space="preserve">62. </w:t>
      </w:r>
    </w:p>
  </w:footnote>
  <w:footnote w:id="93">
    <w:p w14:paraId="76625E58" w14:textId="6B3AE6D6" w:rsidR="005D3F2C" w:rsidRPr="0087048A" w:rsidRDefault="005D3F2C" w:rsidP="00640F6D">
      <w:pPr>
        <w:rPr>
          <w:rFonts w:ascii="Times New Roman" w:hAnsi="Times New Roman"/>
          <w:sz w:val="22"/>
        </w:rPr>
      </w:pPr>
      <w:r w:rsidRPr="0087048A">
        <w:rPr>
          <w:rStyle w:val="FootnoteReference"/>
          <w:rFonts w:ascii="Times New Roman" w:hAnsi="Times New Roman"/>
          <w:sz w:val="22"/>
        </w:rPr>
        <w:footnoteRef/>
      </w:r>
      <w:r w:rsidRPr="0087048A">
        <w:rPr>
          <w:rFonts w:ascii="Times New Roman" w:hAnsi="Times New Roman"/>
          <w:sz w:val="22"/>
        </w:rPr>
        <w:t xml:space="preserve"> </w:t>
      </w:r>
      <w:r>
        <w:rPr>
          <w:rFonts w:ascii="Times New Roman" w:hAnsi="Times New Roman"/>
          <w:sz w:val="22"/>
          <w:lang w:val="en-US"/>
        </w:rPr>
        <w:t>S Akbari</w:t>
      </w:r>
      <w:r w:rsidRPr="0087048A">
        <w:rPr>
          <w:rFonts w:ascii="Times New Roman" w:hAnsi="Times New Roman"/>
          <w:sz w:val="22"/>
          <w:lang w:val="en-US"/>
        </w:rPr>
        <w:t xml:space="preserve"> </w:t>
      </w:r>
      <w:r w:rsidRPr="0087048A">
        <w:rPr>
          <w:rFonts w:ascii="Times New Roman" w:hAnsi="Times New Roman"/>
          <w:i/>
          <w:sz w:val="22"/>
          <w:lang w:val="en-US"/>
        </w:rPr>
        <w:t>Idols in the East: European representations of Islam and the Orient, 1100-1450</w:t>
      </w:r>
      <w:r w:rsidRPr="0087048A">
        <w:rPr>
          <w:rFonts w:ascii="Times New Roman" w:hAnsi="Times New Roman"/>
          <w:sz w:val="22"/>
          <w:lang w:val="en-US"/>
        </w:rPr>
        <w:t xml:space="preserve"> (</w:t>
      </w:r>
      <w:r>
        <w:rPr>
          <w:rFonts w:ascii="Times New Roman" w:hAnsi="Times New Roman"/>
          <w:sz w:val="22"/>
          <w:lang w:val="en-US"/>
        </w:rPr>
        <w:t xml:space="preserve">Ithaca: </w:t>
      </w:r>
      <w:r w:rsidRPr="0087048A">
        <w:rPr>
          <w:rFonts w:ascii="Times New Roman" w:hAnsi="Times New Roman"/>
          <w:sz w:val="22"/>
          <w:lang w:val="en-US"/>
        </w:rPr>
        <w:t>Cornell University Press</w:t>
      </w:r>
      <w:r>
        <w:rPr>
          <w:rFonts w:ascii="Times New Roman" w:hAnsi="Times New Roman"/>
          <w:sz w:val="22"/>
          <w:lang w:val="en-US"/>
        </w:rPr>
        <w:t>,</w:t>
      </w:r>
      <w:r w:rsidRPr="0087048A">
        <w:rPr>
          <w:rFonts w:ascii="Times New Roman" w:hAnsi="Times New Roman"/>
          <w:sz w:val="22"/>
          <w:lang w:val="en-US"/>
        </w:rPr>
        <w:t xml:space="preserve"> 2009)</w:t>
      </w:r>
      <w:r>
        <w:rPr>
          <w:rFonts w:ascii="Times New Roman" w:hAnsi="Times New Roman"/>
          <w:sz w:val="22"/>
        </w:rPr>
        <w:t xml:space="preserve"> p </w:t>
      </w:r>
      <w:r w:rsidRPr="0087048A">
        <w:rPr>
          <w:rFonts w:ascii="Times New Roman" w:hAnsi="Times New Roman"/>
          <w:sz w:val="22"/>
        </w:rPr>
        <w:t>236.</w:t>
      </w:r>
    </w:p>
  </w:footnote>
  <w:footnote w:id="94">
    <w:p w14:paraId="36CA5AF8" w14:textId="7192EF83" w:rsidR="005D3F2C" w:rsidRPr="0087048A" w:rsidRDefault="005D3F2C" w:rsidP="00640F6D">
      <w:pPr>
        <w:pStyle w:val="FootnoteText"/>
      </w:pPr>
      <w:r w:rsidRPr="0087048A">
        <w:rPr>
          <w:rStyle w:val="FootnoteReference"/>
        </w:rPr>
        <w:footnoteRef/>
      </w:r>
      <w:r w:rsidRPr="0087048A">
        <w:t xml:space="preserve"> </w:t>
      </w:r>
      <w:r>
        <w:t xml:space="preserve">K Hanson </w:t>
      </w:r>
      <w:r w:rsidRPr="0087048A">
        <w:t xml:space="preserve">‘Blood and Purity in </w:t>
      </w:r>
      <w:r>
        <w:t>Leviticus and Revelation’</w:t>
      </w:r>
      <w:r w:rsidRPr="0087048A">
        <w:t xml:space="preserve"> </w:t>
      </w:r>
      <w:r w:rsidRPr="0087048A">
        <w:rPr>
          <w:rFonts w:eastAsiaTheme="minorHAnsi" w:cs="Times"/>
          <w:szCs w:val="26"/>
          <w:lang w:val="en-US" w:eastAsia="en-US"/>
        </w:rPr>
        <w:t>(1993)</w:t>
      </w:r>
      <w:r>
        <w:rPr>
          <w:rFonts w:eastAsiaTheme="minorHAnsi" w:cs="Times"/>
          <w:szCs w:val="26"/>
          <w:lang w:val="en-US" w:eastAsia="en-US"/>
        </w:rPr>
        <w:t xml:space="preserve"> </w:t>
      </w:r>
      <w:r w:rsidRPr="0087048A">
        <w:rPr>
          <w:rFonts w:eastAsiaTheme="minorHAnsi" w:cs="Times"/>
          <w:szCs w:val="26"/>
          <w:lang w:val="en-US" w:eastAsia="en-US"/>
        </w:rPr>
        <w:t xml:space="preserve">28 </w:t>
      </w:r>
      <w:r w:rsidRPr="0087048A">
        <w:rPr>
          <w:rFonts w:eastAsiaTheme="minorHAnsi" w:cs="Times"/>
          <w:iCs/>
          <w:szCs w:val="26"/>
          <w:lang w:val="en-US" w:eastAsia="en-US"/>
        </w:rPr>
        <w:t>Listening: Journal of Religion and Culture</w:t>
      </w:r>
      <w:r w:rsidRPr="0087048A">
        <w:rPr>
          <w:rFonts w:eastAsiaTheme="minorHAnsi" w:cs="Times"/>
          <w:szCs w:val="26"/>
          <w:lang w:val="en-US" w:eastAsia="en-US"/>
        </w:rPr>
        <w:t xml:space="preserve"> 215</w:t>
      </w:r>
      <w:r>
        <w:rPr>
          <w:rFonts w:eastAsiaTheme="minorHAnsi" w:cs="Times"/>
          <w:szCs w:val="26"/>
          <w:lang w:val="en-US" w:eastAsia="en-US"/>
        </w:rPr>
        <w:t xml:space="preserve">, p </w:t>
      </w:r>
      <w:r w:rsidRPr="0087048A">
        <w:t>215.</w:t>
      </w:r>
    </w:p>
  </w:footnote>
  <w:footnote w:id="95">
    <w:p w14:paraId="0C109F75" w14:textId="03763B48" w:rsidR="005D3F2C" w:rsidRPr="0087048A" w:rsidRDefault="005D3F2C" w:rsidP="00640F6D">
      <w:pPr>
        <w:pStyle w:val="FootnoteText"/>
      </w:pPr>
      <w:r w:rsidRPr="0087048A">
        <w:rPr>
          <w:rStyle w:val="FootnoteReference"/>
        </w:rPr>
        <w:footnoteRef/>
      </w:r>
      <w:r w:rsidRPr="0087048A">
        <w:t xml:space="preserve"> Douglas</w:t>
      </w:r>
      <w:r>
        <w:t>, above n 90.</w:t>
      </w:r>
    </w:p>
  </w:footnote>
  <w:footnote w:id="96">
    <w:p w14:paraId="74C20A4A" w14:textId="76794AB1" w:rsidR="005D3F2C" w:rsidRPr="0087048A" w:rsidRDefault="005D3F2C" w:rsidP="00640F6D">
      <w:pPr>
        <w:rPr>
          <w:rFonts w:ascii="Times New Roman" w:hAnsi="Times New Roman"/>
          <w:sz w:val="22"/>
        </w:rPr>
      </w:pPr>
      <w:r w:rsidRPr="0087048A">
        <w:rPr>
          <w:rStyle w:val="FootnoteReference"/>
          <w:rFonts w:ascii="Times New Roman" w:hAnsi="Times New Roman"/>
          <w:sz w:val="22"/>
        </w:rPr>
        <w:footnoteRef/>
      </w:r>
      <w:r w:rsidRPr="0087048A">
        <w:rPr>
          <w:rFonts w:ascii="Times New Roman" w:hAnsi="Times New Roman"/>
          <w:sz w:val="22"/>
        </w:rPr>
        <w:t xml:space="preserve"> Hanson</w:t>
      </w:r>
      <w:r>
        <w:rPr>
          <w:rFonts w:ascii="Times New Roman" w:hAnsi="Times New Roman"/>
          <w:sz w:val="22"/>
        </w:rPr>
        <w:t xml:space="preserve">, p </w:t>
      </w:r>
      <w:r w:rsidRPr="0087048A">
        <w:rPr>
          <w:rFonts w:ascii="Times New Roman" w:hAnsi="Times New Roman"/>
          <w:sz w:val="22"/>
        </w:rPr>
        <w:t>216</w:t>
      </w:r>
      <w:r>
        <w:rPr>
          <w:rFonts w:ascii="Times New Roman" w:hAnsi="Times New Roman"/>
          <w:sz w:val="22"/>
        </w:rPr>
        <w:t>, above n 94</w:t>
      </w:r>
      <w:r w:rsidRPr="0087048A">
        <w:rPr>
          <w:rFonts w:ascii="Times New Roman" w:hAnsi="Times New Roman"/>
          <w:sz w:val="22"/>
        </w:rPr>
        <w:t>.</w:t>
      </w:r>
    </w:p>
  </w:footnote>
  <w:footnote w:id="97">
    <w:p w14:paraId="5DE48860" w14:textId="02BAC3E1" w:rsidR="005D3F2C" w:rsidRPr="00155185" w:rsidRDefault="005D3F2C">
      <w:pPr>
        <w:pStyle w:val="FootnoteText"/>
        <w:rPr>
          <w:lang w:val="en-US"/>
        </w:rPr>
      </w:pPr>
      <w:r>
        <w:rPr>
          <w:rStyle w:val="FootnoteReference"/>
        </w:rPr>
        <w:footnoteRef/>
      </w:r>
      <w:r>
        <w:t xml:space="preserve"> </w:t>
      </w:r>
      <w:r w:rsidRPr="00180962">
        <w:rPr>
          <w:lang w:val="en-US"/>
        </w:rPr>
        <w:t>Murray, p</w:t>
      </w:r>
      <w:r>
        <w:rPr>
          <w:lang w:val="en-US"/>
        </w:rPr>
        <w:t>p</w:t>
      </w:r>
      <w:r w:rsidRPr="00180962">
        <w:rPr>
          <w:lang w:val="en-US"/>
        </w:rPr>
        <w:t xml:space="preserve"> </w:t>
      </w:r>
      <w:r>
        <w:rPr>
          <w:lang w:val="en-US"/>
        </w:rPr>
        <w:t>426-427</w:t>
      </w:r>
      <w:r w:rsidRPr="00180962">
        <w:rPr>
          <w:rFonts w:cs="Arial"/>
          <w:szCs w:val="22"/>
          <w:lang w:val="en-US"/>
        </w:rPr>
        <w:t>, above n 11</w:t>
      </w:r>
      <w:r>
        <w:rPr>
          <w:lang w:val="en-US"/>
        </w:rPr>
        <w:t xml:space="preserve">. Murray suggests that, in the context of suicide at least, intention (and so the morality of acts) was less important in medieval perceptions (p 450), the preoccupation being with the material aftermath. </w:t>
      </w:r>
    </w:p>
  </w:footnote>
  <w:footnote w:id="98">
    <w:p w14:paraId="696E57D3" w14:textId="0DDEE3AC" w:rsidR="005D3F2C" w:rsidRPr="00590311" w:rsidRDefault="005D3F2C">
      <w:pPr>
        <w:pStyle w:val="FootnoteText"/>
        <w:rPr>
          <w:lang w:val="en-US"/>
        </w:rPr>
      </w:pPr>
      <w:r>
        <w:rPr>
          <w:rStyle w:val="FootnoteReference"/>
        </w:rPr>
        <w:footnoteRef/>
      </w:r>
      <w:r>
        <w:t xml:space="preserve"> </w:t>
      </w:r>
      <w:r w:rsidRPr="00180962">
        <w:rPr>
          <w:lang w:val="en-US"/>
        </w:rPr>
        <w:t xml:space="preserve">Murray, p </w:t>
      </w:r>
      <w:r>
        <w:rPr>
          <w:lang w:val="en-US"/>
        </w:rPr>
        <w:t>450</w:t>
      </w:r>
      <w:r w:rsidRPr="00180962">
        <w:rPr>
          <w:rFonts w:cs="Arial"/>
          <w:szCs w:val="22"/>
          <w:lang w:val="en-US"/>
        </w:rPr>
        <w:t>, above n 11</w:t>
      </w:r>
      <w:r>
        <w:rPr>
          <w:lang w:val="en-US"/>
        </w:rPr>
        <w:t>.</w:t>
      </w:r>
    </w:p>
  </w:footnote>
  <w:footnote w:id="99">
    <w:p w14:paraId="3F5BE59F" w14:textId="68CD0890" w:rsidR="005D3F2C" w:rsidRPr="001A24B4" w:rsidRDefault="005D3F2C">
      <w:pPr>
        <w:pStyle w:val="FootnoteText"/>
        <w:rPr>
          <w:lang w:val="en-US"/>
        </w:rPr>
      </w:pPr>
      <w:r>
        <w:rPr>
          <w:rStyle w:val="FootnoteReference"/>
        </w:rPr>
        <w:footnoteRef/>
      </w:r>
      <w:r>
        <w:t xml:space="preserve"> </w:t>
      </w:r>
      <w:r>
        <w:rPr>
          <w:lang w:val="en-US"/>
        </w:rPr>
        <w:t xml:space="preserve">Or ‘pollution’ through forbidden acts or events clearly lacking moral culpability, such as menstruating women entering sacred spaces. </w:t>
      </w:r>
    </w:p>
  </w:footnote>
  <w:footnote w:id="100">
    <w:p w14:paraId="4D9F670A" w14:textId="26A88A18" w:rsidR="005D3F2C" w:rsidRDefault="005D3F2C" w:rsidP="00640F6D">
      <w:pPr>
        <w:pStyle w:val="FootnoteText"/>
      </w:pPr>
      <w:r>
        <w:rPr>
          <w:rStyle w:val="FootnoteReference"/>
        </w:rPr>
        <w:footnoteRef/>
      </w:r>
      <w:r>
        <w:t xml:space="preserve"> That remained virtually unchanged until 1965 (Thiery, p 42, above n 19).</w:t>
      </w:r>
    </w:p>
  </w:footnote>
  <w:footnote w:id="101">
    <w:p w14:paraId="6B328483" w14:textId="4A57521F" w:rsidR="005D3F2C" w:rsidRPr="00091530" w:rsidRDefault="005D3F2C" w:rsidP="00640F6D">
      <w:pPr>
        <w:pStyle w:val="FootnoteText"/>
      </w:pPr>
      <w:r w:rsidRPr="00091530">
        <w:rPr>
          <w:rStyle w:val="FootnoteReference"/>
        </w:rPr>
        <w:footnoteRef/>
      </w:r>
      <w:r w:rsidRPr="00091530">
        <w:t xml:space="preserve"> Elliott</w:t>
      </w:r>
      <w:r w:rsidRPr="00091530">
        <w:rPr>
          <w:bCs/>
          <w:lang w:val="en-US"/>
        </w:rPr>
        <w:t>,</w:t>
      </w:r>
      <w:r>
        <w:t xml:space="preserve"> p </w:t>
      </w:r>
      <w:r w:rsidRPr="00091530">
        <w:t xml:space="preserve">21, </w:t>
      </w:r>
      <w:r w:rsidRPr="00091530">
        <w:rPr>
          <w:bCs/>
          <w:lang w:val="en-US"/>
        </w:rPr>
        <w:t>above n 53</w:t>
      </w:r>
      <w:r w:rsidRPr="00091530">
        <w:t xml:space="preserve">. </w:t>
      </w:r>
    </w:p>
  </w:footnote>
  <w:footnote w:id="102">
    <w:p w14:paraId="0C127CFF" w14:textId="1C3A3A40" w:rsidR="005D3F2C" w:rsidRPr="009B5D41" w:rsidRDefault="005D3F2C" w:rsidP="00640F6D">
      <w:pPr>
        <w:pStyle w:val="FootnoteText"/>
      </w:pPr>
      <w:r w:rsidRPr="009B5D41">
        <w:rPr>
          <w:rStyle w:val="FootnoteReference"/>
        </w:rPr>
        <w:footnoteRef/>
      </w:r>
      <w:r w:rsidRPr="009B5D41">
        <w:t xml:space="preserve"> </w:t>
      </w:r>
      <w:r>
        <w:t xml:space="preserve">Clarke, p </w:t>
      </w:r>
      <w:r w:rsidRPr="009B5D41">
        <w:t>246</w:t>
      </w:r>
      <w:r>
        <w:t>, above n 23</w:t>
      </w:r>
      <w:r w:rsidRPr="009B5D41">
        <w:t>.</w:t>
      </w:r>
    </w:p>
  </w:footnote>
  <w:footnote w:id="103">
    <w:p w14:paraId="3C51E93A" w14:textId="425B287F" w:rsidR="005D3F2C" w:rsidRPr="009B5D41" w:rsidRDefault="005D3F2C" w:rsidP="00640F6D">
      <w:pPr>
        <w:pStyle w:val="FootnoteText"/>
      </w:pPr>
      <w:r w:rsidRPr="009B5D41">
        <w:rPr>
          <w:rStyle w:val="FootnoteReference"/>
        </w:rPr>
        <w:footnoteRef/>
      </w:r>
      <w:r w:rsidRPr="009B5D41">
        <w:t xml:space="preserve"> </w:t>
      </w:r>
      <w:r>
        <w:t>P Hair</w:t>
      </w:r>
      <w:r w:rsidRPr="009B5D41">
        <w:t xml:space="preserve"> </w:t>
      </w:r>
      <w:r w:rsidRPr="00CD57AD">
        <w:rPr>
          <w:i/>
        </w:rPr>
        <w:t>Before the Bawdy Court</w:t>
      </w:r>
      <w:r>
        <w:rPr>
          <w:i/>
        </w:rPr>
        <w:t xml:space="preserve"> </w:t>
      </w:r>
      <w:r w:rsidRPr="00CD57AD">
        <w:t>(</w:t>
      </w:r>
      <w:r>
        <w:t xml:space="preserve">London: </w:t>
      </w:r>
      <w:r w:rsidRPr="00CD57AD">
        <w:t>Elek</w:t>
      </w:r>
      <w:r>
        <w:t>,</w:t>
      </w:r>
      <w:r w:rsidRPr="00CD57AD">
        <w:t xml:space="preserve"> 1972)</w:t>
      </w:r>
      <w:r>
        <w:t xml:space="preserve">, p </w:t>
      </w:r>
      <w:r w:rsidRPr="009B5D41">
        <w:t>20.</w:t>
      </w:r>
    </w:p>
  </w:footnote>
  <w:footnote w:id="104">
    <w:p w14:paraId="2D6D1E74" w14:textId="1B7DEED2" w:rsidR="005D3F2C" w:rsidRDefault="005D3F2C" w:rsidP="00640F6D">
      <w:pPr>
        <w:pStyle w:val="FootnoteText"/>
      </w:pPr>
      <w:r>
        <w:rPr>
          <w:rStyle w:val="FootnoteReference"/>
        </w:rPr>
        <w:footnoteRef/>
      </w:r>
      <w:r>
        <w:t xml:space="preserve"> Thiery, p 131, above n 19</w:t>
      </w:r>
      <w:r w:rsidRPr="009B5D41">
        <w:t>.</w:t>
      </w:r>
    </w:p>
  </w:footnote>
  <w:footnote w:id="105">
    <w:p w14:paraId="4E360D73" w14:textId="3617DF7E" w:rsidR="005D3F2C" w:rsidRDefault="005D3F2C" w:rsidP="00640F6D">
      <w:pPr>
        <w:pStyle w:val="FootnoteText"/>
      </w:pPr>
      <w:r>
        <w:rPr>
          <w:rStyle w:val="FootnoteReference"/>
        </w:rPr>
        <w:footnoteRef/>
      </w:r>
      <w:r>
        <w:t xml:space="preserve"> Ibid, p 131.</w:t>
      </w:r>
    </w:p>
  </w:footnote>
  <w:footnote w:id="106">
    <w:p w14:paraId="0AAECF4B" w14:textId="6D78A250" w:rsidR="005D3F2C" w:rsidRDefault="005D3F2C" w:rsidP="00640F6D">
      <w:pPr>
        <w:pStyle w:val="FootnoteText"/>
      </w:pPr>
      <w:r>
        <w:rPr>
          <w:rStyle w:val="FootnoteReference"/>
        </w:rPr>
        <w:footnoteRef/>
      </w:r>
      <w:r>
        <w:t xml:space="preserve"> W Rodgers, Jr. ‘The Seven Statutory Wonders of US Environmental Law: Origins &amp; Morphology’, in </w:t>
      </w:r>
      <w:r>
        <w:rPr>
          <w:lang w:val="en-US"/>
        </w:rPr>
        <w:t>R</w:t>
      </w:r>
      <w:r w:rsidRPr="00CD57AD">
        <w:rPr>
          <w:lang w:val="en-US"/>
        </w:rPr>
        <w:t xml:space="preserve"> </w:t>
      </w:r>
      <w:r w:rsidRPr="00CD57AD">
        <w:rPr>
          <w:bCs/>
          <w:lang w:val="en-US"/>
        </w:rPr>
        <w:t>Percival</w:t>
      </w:r>
      <w:r>
        <w:rPr>
          <w:bCs/>
          <w:lang w:val="en-US"/>
        </w:rPr>
        <w:t xml:space="preserve"> &amp;</w:t>
      </w:r>
      <w:r>
        <w:rPr>
          <w:lang w:val="en-US"/>
        </w:rPr>
        <w:t xml:space="preserve"> D</w:t>
      </w:r>
      <w:r w:rsidRPr="00CD57AD">
        <w:rPr>
          <w:lang w:val="en-US"/>
        </w:rPr>
        <w:t xml:space="preserve"> </w:t>
      </w:r>
      <w:r w:rsidRPr="00CD57AD">
        <w:rPr>
          <w:bCs/>
          <w:lang w:val="en-US"/>
        </w:rPr>
        <w:t>Alevizatos</w:t>
      </w:r>
      <w:r>
        <w:t xml:space="preserve"> (eds) </w:t>
      </w:r>
      <w:r w:rsidRPr="00CD57AD">
        <w:rPr>
          <w:i/>
        </w:rPr>
        <w:t>Law &amp; the Environment: A Multidisciplinary Reader</w:t>
      </w:r>
      <w:r>
        <w:t xml:space="preserve"> (Philadelphia: Temple University Press, 1997). </w:t>
      </w:r>
    </w:p>
  </w:footnote>
  <w:footnote w:id="107">
    <w:p w14:paraId="6F5333E7" w14:textId="05EB2CD7" w:rsidR="005D3F2C" w:rsidRDefault="005D3F2C" w:rsidP="00640F6D">
      <w:pPr>
        <w:pStyle w:val="FootnoteText"/>
      </w:pPr>
      <w:r>
        <w:rPr>
          <w:rStyle w:val="FootnoteReference"/>
        </w:rPr>
        <w:footnoteRef/>
      </w:r>
      <w:r>
        <w:t xml:space="preserve"> J Alder and D Wilkinson </w:t>
      </w:r>
      <w:r>
        <w:rPr>
          <w:i/>
        </w:rPr>
        <w:t>Environmental Law and Ethics</w:t>
      </w:r>
      <w:r>
        <w:t xml:space="preserve"> (London: Macmillan, 1999) p 9.</w:t>
      </w:r>
    </w:p>
  </w:footnote>
  <w:footnote w:id="108">
    <w:p w14:paraId="65FB25F1" w14:textId="26133B8F" w:rsidR="005D3F2C" w:rsidRDefault="005D3F2C" w:rsidP="00640F6D">
      <w:pPr>
        <w:pStyle w:val="FootnoteText"/>
      </w:pPr>
      <w:r>
        <w:rPr>
          <w:rStyle w:val="FootnoteReference"/>
        </w:rPr>
        <w:footnoteRef/>
      </w:r>
      <w:r>
        <w:t xml:space="preserve"> Ibid, p 180.</w:t>
      </w:r>
    </w:p>
  </w:footnote>
  <w:footnote w:id="109">
    <w:p w14:paraId="6EEB86A9" w14:textId="6852FEF5" w:rsidR="005D3F2C" w:rsidRDefault="005D3F2C" w:rsidP="00640F6D">
      <w:pPr>
        <w:pStyle w:val="FootnoteText"/>
      </w:pPr>
      <w:r>
        <w:rPr>
          <w:rStyle w:val="FootnoteReference"/>
        </w:rPr>
        <w:footnoteRef/>
      </w:r>
      <w:r>
        <w:t xml:space="preserve"> Ibid, p 9.</w:t>
      </w:r>
    </w:p>
  </w:footnote>
  <w:footnote w:id="110">
    <w:p w14:paraId="4868BE26" w14:textId="3EA4C27E" w:rsidR="005D3F2C" w:rsidRPr="000B114C" w:rsidRDefault="005D3F2C">
      <w:pPr>
        <w:pStyle w:val="FootnoteText"/>
        <w:rPr>
          <w:lang w:val="en-US"/>
        </w:rPr>
      </w:pPr>
      <w:r>
        <w:rPr>
          <w:rStyle w:val="FootnoteReference"/>
        </w:rPr>
        <w:footnoteRef/>
      </w:r>
      <w:r>
        <w:t xml:space="preserve"> </w:t>
      </w:r>
      <w:r w:rsidRPr="000B114C">
        <w:t xml:space="preserve">A </w:t>
      </w:r>
      <w:r w:rsidRPr="000B114C">
        <w:rPr>
          <w:lang w:val="en-US"/>
        </w:rPr>
        <w:t>Flournoy ‘In Search of an Environmental Ethic’ [2003] 28 Colum. J. Envtl. L. 63, at p 114.</w:t>
      </w:r>
    </w:p>
  </w:footnote>
  <w:footnote w:id="111">
    <w:p w14:paraId="703FD49F" w14:textId="1FC57BDA" w:rsidR="005D3F2C" w:rsidRPr="00B42EB8" w:rsidRDefault="005D3F2C">
      <w:pPr>
        <w:pStyle w:val="FootnoteText"/>
        <w:rPr>
          <w:lang w:val="en-US"/>
        </w:rPr>
      </w:pPr>
      <w:r>
        <w:rPr>
          <w:rStyle w:val="FootnoteReference"/>
        </w:rPr>
        <w:footnoteRef/>
      </w:r>
      <w:r>
        <w:t xml:space="preserve"> Ibid, p </w:t>
      </w:r>
      <w:r>
        <w:rPr>
          <w:lang w:val="en-US"/>
        </w:rPr>
        <w:t>70.</w:t>
      </w:r>
    </w:p>
  </w:footnote>
  <w:footnote w:id="112">
    <w:p w14:paraId="1271F1B4" w14:textId="77777777" w:rsidR="005D3F2C" w:rsidRPr="00545970" w:rsidRDefault="005D3F2C" w:rsidP="00DE075F">
      <w:pPr>
        <w:pStyle w:val="FootnoteText"/>
        <w:rPr>
          <w:szCs w:val="22"/>
        </w:rPr>
      </w:pPr>
      <w:r w:rsidRPr="00545970">
        <w:rPr>
          <w:rStyle w:val="FootnoteReference"/>
          <w:szCs w:val="22"/>
        </w:rPr>
        <w:footnoteRef/>
      </w:r>
      <w:r w:rsidRPr="00545970">
        <w:rPr>
          <w:szCs w:val="22"/>
        </w:rPr>
        <w:t xml:space="preserve"> Viscount Dilhorne in </w:t>
      </w:r>
      <w:r w:rsidRPr="00545970">
        <w:rPr>
          <w:bCs/>
          <w:i/>
          <w:szCs w:val="22"/>
        </w:rPr>
        <w:t xml:space="preserve">Alphacell </w:t>
      </w:r>
      <w:r w:rsidRPr="00545970">
        <w:rPr>
          <w:bCs/>
          <w:szCs w:val="22"/>
        </w:rPr>
        <w:t>v</w:t>
      </w:r>
      <w:r w:rsidRPr="00545970">
        <w:rPr>
          <w:bCs/>
          <w:i/>
          <w:szCs w:val="22"/>
        </w:rPr>
        <w:t xml:space="preserve"> Woodward</w:t>
      </w:r>
      <w:r w:rsidRPr="00545970">
        <w:rPr>
          <w:bCs/>
          <w:szCs w:val="22"/>
        </w:rPr>
        <w:t xml:space="preserve"> (HL) </w:t>
      </w:r>
      <w:r w:rsidRPr="00545970">
        <w:rPr>
          <w:szCs w:val="22"/>
        </w:rPr>
        <w:t>[1972] AC 824.</w:t>
      </w:r>
    </w:p>
  </w:footnote>
  <w:footnote w:id="113">
    <w:p w14:paraId="3029CACB" w14:textId="6B905A52" w:rsidR="005D3F2C" w:rsidRPr="00545970" w:rsidRDefault="005D3F2C">
      <w:pPr>
        <w:pStyle w:val="FootnoteText"/>
        <w:rPr>
          <w:szCs w:val="22"/>
          <w:lang w:val="en-US"/>
        </w:rPr>
      </w:pPr>
      <w:r w:rsidRPr="00545970">
        <w:rPr>
          <w:rStyle w:val="FootnoteReference"/>
          <w:szCs w:val="22"/>
        </w:rPr>
        <w:footnoteRef/>
      </w:r>
      <w:r w:rsidRPr="00545970">
        <w:rPr>
          <w:szCs w:val="22"/>
        </w:rPr>
        <w:t xml:space="preserve"> </w:t>
      </w:r>
      <w:r w:rsidRPr="00545970">
        <w:rPr>
          <w:szCs w:val="22"/>
          <w:lang w:val="en-US"/>
        </w:rPr>
        <w:t>A Ashworth Conceptions of Overcriminalisation (2008) Ohio State Journal of Criminal Law 407, at p 420.</w:t>
      </w:r>
    </w:p>
  </w:footnote>
  <w:footnote w:id="114">
    <w:p w14:paraId="318D4CB5" w14:textId="1DBA4307" w:rsidR="005D3F2C" w:rsidRPr="00FB7CBE" w:rsidRDefault="005D3F2C">
      <w:pPr>
        <w:pStyle w:val="FootnoteText"/>
        <w:rPr>
          <w:lang w:val="en-US"/>
        </w:rPr>
      </w:pPr>
      <w:r w:rsidRPr="00545970">
        <w:rPr>
          <w:rStyle w:val="FootnoteReference"/>
          <w:szCs w:val="22"/>
        </w:rPr>
        <w:footnoteRef/>
      </w:r>
      <w:r w:rsidRPr="00545970">
        <w:rPr>
          <w:szCs w:val="22"/>
        </w:rPr>
        <w:t xml:space="preserve"> L </w:t>
      </w:r>
      <w:r w:rsidRPr="00545970">
        <w:rPr>
          <w:szCs w:val="22"/>
          <w:lang w:val="en-US"/>
        </w:rPr>
        <w:t xml:space="preserve">Heinzerling ‘The Environment’ in M Tushnet and P Cane (eds) </w:t>
      </w:r>
      <w:r w:rsidRPr="00545970">
        <w:rPr>
          <w:i/>
          <w:szCs w:val="22"/>
          <w:lang w:val="en-US"/>
        </w:rPr>
        <w:t>The Oxford</w:t>
      </w:r>
      <w:r w:rsidRPr="000B114C">
        <w:rPr>
          <w:i/>
          <w:lang w:val="en-US"/>
        </w:rPr>
        <w:t xml:space="preserve"> Handbook of Legal Studies</w:t>
      </w:r>
      <w:r>
        <w:rPr>
          <w:lang w:val="en-US"/>
        </w:rPr>
        <w:t xml:space="preserve"> (Oxford: OUP, 2003)</w:t>
      </w:r>
      <w:r w:rsidRPr="000B114C">
        <w:rPr>
          <w:lang w:val="en-US"/>
        </w:rPr>
        <w:t xml:space="preserve"> p 703.</w:t>
      </w:r>
    </w:p>
  </w:footnote>
  <w:footnote w:id="115">
    <w:p w14:paraId="5C99E1C0" w14:textId="77777777" w:rsidR="005D3F2C" w:rsidRPr="009B5D41" w:rsidRDefault="005D3F2C" w:rsidP="00183AC0">
      <w:pPr>
        <w:pStyle w:val="FootnoteText"/>
      </w:pPr>
      <w:r w:rsidRPr="009B5D41">
        <w:rPr>
          <w:rStyle w:val="FootnoteReference"/>
        </w:rPr>
        <w:footnoteRef/>
      </w:r>
      <w:r w:rsidRPr="009B5D41">
        <w:t xml:space="preserve"> </w:t>
      </w:r>
      <w:r w:rsidRPr="00BD7537">
        <w:rPr>
          <w:lang w:val="en-US"/>
        </w:rPr>
        <w:t>Examples include protection of designated geographical habitats under European</w:t>
      </w:r>
      <w:r>
        <w:rPr>
          <w:lang w:val="en-US"/>
        </w:rPr>
        <w:t xml:space="preserve"> </w:t>
      </w:r>
      <w:r w:rsidRPr="00BD7537">
        <w:rPr>
          <w:lang w:val="en-US"/>
        </w:rPr>
        <w:t>and International</w:t>
      </w:r>
      <w:r>
        <w:rPr>
          <w:lang w:val="en-US"/>
        </w:rPr>
        <w:t xml:space="preserve"> </w:t>
      </w:r>
      <w:r w:rsidRPr="00BD7537">
        <w:rPr>
          <w:lang w:val="en-US"/>
        </w:rPr>
        <w:t xml:space="preserve">Environmental Law </w:t>
      </w:r>
      <w:r>
        <w:rPr>
          <w:lang w:val="en-US"/>
        </w:rPr>
        <w:t>(</w:t>
      </w:r>
      <w:r w:rsidRPr="009B5D41">
        <w:t xml:space="preserve">See, for example, </w:t>
      </w:r>
      <w:r>
        <w:t xml:space="preserve">the </w:t>
      </w:r>
      <w:r w:rsidRPr="009B5D41">
        <w:t>Habitats Directive</w:t>
      </w:r>
      <w:r>
        <w:t xml:space="preserve"> (92/43/EEC), and Ramsar Convention).</w:t>
      </w:r>
    </w:p>
  </w:footnote>
  <w:footnote w:id="116">
    <w:p w14:paraId="1676735F" w14:textId="77777777" w:rsidR="005D3F2C" w:rsidRPr="009B5D41" w:rsidRDefault="005D3F2C" w:rsidP="00183AC0">
      <w:pPr>
        <w:pStyle w:val="FootnoteText"/>
      </w:pPr>
      <w:r w:rsidRPr="009B5D41">
        <w:rPr>
          <w:rStyle w:val="FootnoteReference"/>
        </w:rPr>
        <w:footnoteRef/>
      </w:r>
      <w:r w:rsidRPr="009B5D41">
        <w:t xml:space="preserve"> See, for example, Defra Guidance on Ecosystem Services (</w:t>
      </w:r>
      <w:hyperlink r:id="rId4" w:history="1">
        <w:r w:rsidRPr="009B5D41">
          <w:rPr>
            <w:rStyle w:val="Hyperlink"/>
          </w:rPr>
          <w:t>https://www.gov.uk/ecosystems-services</w:t>
        </w:r>
      </w:hyperlink>
      <w:r w:rsidRPr="009B5D41">
        <w:t xml:space="preserve">) </w:t>
      </w:r>
      <w:r>
        <w:t>[</w:t>
      </w:r>
      <w:r w:rsidRPr="009B5D41">
        <w:t>Accessed 2</w:t>
      </w:r>
      <w:r>
        <w:t>7</w:t>
      </w:r>
      <w:r w:rsidRPr="009B5D41">
        <w:t xml:space="preserve"> March 201</w:t>
      </w:r>
      <w:r>
        <w:t>5]</w:t>
      </w:r>
      <w:r w:rsidRPr="009B5D41">
        <w:t>.</w:t>
      </w:r>
    </w:p>
  </w:footnote>
  <w:footnote w:id="117">
    <w:p w14:paraId="5934B736" w14:textId="40D69583" w:rsidR="005D3F2C" w:rsidRPr="00C2277C" w:rsidRDefault="005D3F2C" w:rsidP="00224DE7">
      <w:pPr>
        <w:pStyle w:val="FootnoteText"/>
      </w:pPr>
      <w:r>
        <w:rPr>
          <w:rStyle w:val="FootnoteReference"/>
        </w:rPr>
        <w:footnoteRef/>
      </w:r>
      <w:r>
        <w:t xml:space="preserve"> See, for example, D Youngs </w:t>
      </w:r>
      <w:r>
        <w:rPr>
          <w:i/>
        </w:rPr>
        <w:t>The Life Cycle in Western Europe, c.1300-c.1500</w:t>
      </w:r>
      <w:r>
        <w:t xml:space="preserve"> (Manchester: Manchester University Press, 2006).</w:t>
      </w:r>
    </w:p>
  </w:footnote>
  <w:footnote w:id="118">
    <w:p w14:paraId="64B68206" w14:textId="79B2023D" w:rsidR="005D3F2C" w:rsidRPr="009B5D41" w:rsidRDefault="005D3F2C" w:rsidP="0036491B">
      <w:pPr>
        <w:pStyle w:val="FootnoteText"/>
      </w:pPr>
      <w:r w:rsidRPr="009B5D41">
        <w:rPr>
          <w:rStyle w:val="FootnoteReference"/>
        </w:rPr>
        <w:footnoteRef/>
      </w:r>
      <w:r w:rsidRPr="009B5D41">
        <w:t xml:space="preserve"> </w:t>
      </w:r>
      <w:r>
        <w:t>N</w:t>
      </w:r>
      <w:r w:rsidRPr="009B5D41">
        <w:t xml:space="preserve"> de Sadeleer</w:t>
      </w:r>
      <w:r w:rsidRPr="00786E8F">
        <w:t xml:space="preserve"> </w:t>
      </w:r>
      <w:r w:rsidRPr="00786E8F">
        <w:rPr>
          <w:rFonts w:eastAsiaTheme="minorHAnsi" w:cs="Arial"/>
          <w:bCs/>
          <w:i/>
          <w:szCs w:val="26"/>
          <w:lang w:val="en-US" w:eastAsia="en-US"/>
        </w:rPr>
        <w:t>Environmental</w:t>
      </w:r>
      <w:r w:rsidRPr="00786E8F">
        <w:rPr>
          <w:rFonts w:eastAsiaTheme="minorHAnsi" w:cs="Arial"/>
          <w:i/>
          <w:szCs w:val="26"/>
          <w:lang w:val="en-US" w:eastAsia="en-US"/>
        </w:rPr>
        <w:t xml:space="preserve"> Principles – From Political Slogans to Legal Rules</w:t>
      </w:r>
      <w:r>
        <w:rPr>
          <w:rFonts w:eastAsiaTheme="minorHAnsi" w:cs="Arial"/>
          <w:szCs w:val="26"/>
          <w:lang w:val="en-US" w:eastAsia="en-US"/>
        </w:rPr>
        <w:t xml:space="preserve"> (Oxford: OUP, 2002).</w:t>
      </w:r>
    </w:p>
  </w:footnote>
  <w:footnote w:id="119">
    <w:p w14:paraId="6060695C" w14:textId="2B19BF61" w:rsidR="005D3F2C" w:rsidRPr="004E5B4E" w:rsidRDefault="005D3F2C">
      <w:pPr>
        <w:pStyle w:val="FootnoteText"/>
        <w:rPr>
          <w:lang w:val="en-US"/>
        </w:rPr>
      </w:pPr>
      <w:r>
        <w:rPr>
          <w:rStyle w:val="FootnoteReference"/>
        </w:rPr>
        <w:footnoteRef/>
      </w:r>
      <w:r>
        <w:t xml:space="preserve"> </w:t>
      </w:r>
      <w:r w:rsidRPr="004E5B4E">
        <w:t xml:space="preserve">C Augustine </w:t>
      </w:r>
      <w:r w:rsidRPr="004E5B4E">
        <w:rPr>
          <w:i/>
        </w:rPr>
        <w:t>A Commentary on the New Code of Canon Law: Vol. 6 Administrative Law</w:t>
      </w:r>
      <w:r w:rsidRPr="004E5B4E">
        <w:t xml:space="preserve"> (St. Louis: B. Herder Book Co. 1918), p 42.</w:t>
      </w:r>
    </w:p>
  </w:footnote>
  <w:footnote w:id="120">
    <w:p w14:paraId="1C1DEDF9" w14:textId="77777777" w:rsidR="005D3F2C" w:rsidRPr="001E507F" w:rsidRDefault="005D3F2C" w:rsidP="00FF77B3">
      <w:pPr>
        <w:pStyle w:val="FootnoteText"/>
        <w:rPr>
          <w:lang w:val="en-US"/>
        </w:rPr>
      </w:pPr>
      <w:r>
        <w:rPr>
          <w:rStyle w:val="FootnoteReference"/>
        </w:rPr>
        <w:footnoteRef/>
      </w:r>
      <w:r>
        <w:t xml:space="preserve"> </w:t>
      </w:r>
      <w:r w:rsidRPr="001E507F">
        <w:rPr>
          <w:lang w:val="en-US"/>
        </w:rPr>
        <w:t xml:space="preserve">See House of Commons Environment Committee: First Report on </w:t>
      </w:r>
      <w:r w:rsidRPr="001E507F">
        <w:rPr>
          <w:i/>
          <w:iCs/>
          <w:lang w:val="en-US"/>
        </w:rPr>
        <w:t>Contaminated Land</w:t>
      </w:r>
      <w:r w:rsidRPr="001E507F">
        <w:rPr>
          <w:lang w:val="en-US"/>
        </w:rPr>
        <w:t>: Session 1989–90, HC Paper 170–I.</w:t>
      </w:r>
    </w:p>
  </w:footnote>
  <w:footnote w:id="121">
    <w:p w14:paraId="433F2720" w14:textId="77777777" w:rsidR="005D3F2C" w:rsidRPr="00BF40DF" w:rsidRDefault="005D3F2C" w:rsidP="00FF77B3">
      <w:pPr>
        <w:pStyle w:val="FootnoteText"/>
        <w:rPr>
          <w:lang w:val="en-US"/>
        </w:rPr>
      </w:pPr>
      <w:r>
        <w:rPr>
          <w:rStyle w:val="FootnoteReference"/>
        </w:rPr>
        <w:footnoteRef/>
      </w:r>
      <w:r>
        <w:t xml:space="preserve"> </w:t>
      </w:r>
      <w:r>
        <w:rPr>
          <w:lang w:val="en-US"/>
        </w:rPr>
        <w:t>Generally referred to as ‘Part 2A’ more recently.</w:t>
      </w:r>
    </w:p>
  </w:footnote>
  <w:footnote w:id="122">
    <w:p w14:paraId="68CCBCE8" w14:textId="622E7B99" w:rsidR="005D3F2C" w:rsidRPr="007520B0" w:rsidRDefault="005D3F2C" w:rsidP="00FF77B3">
      <w:pPr>
        <w:pStyle w:val="FootnoteText"/>
        <w:rPr>
          <w:lang w:val="en-US"/>
        </w:rPr>
      </w:pPr>
      <w:r>
        <w:rPr>
          <w:rStyle w:val="FootnoteReference"/>
        </w:rPr>
        <w:footnoteRef/>
      </w:r>
      <w:r>
        <w:t xml:space="preserve"> </w:t>
      </w:r>
      <w:r>
        <w:rPr>
          <w:lang w:val="en-US"/>
        </w:rPr>
        <w:t>See, for example</w:t>
      </w:r>
      <w:r w:rsidRPr="0079788B">
        <w:rPr>
          <w:lang w:val="en-US"/>
        </w:rPr>
        <w:t xml:space="preserve">, L Etherington ‘‘Mandatory Guidance’ for dealing with Contaminated Land: Paradox or Pragmatism?’ [2002] 23 </w:t>
      </w:r>
      <w:r w:rsidRPr="0079788B">
        <w:rPr>
          <w:iCs/>
          <w:lang w:val="en-US"/>
        </w:rPr>
        <w:t>Stat. L. Rev.</w:t>
      </w:r>
      <w:r w:rsidRPr="0079788B">
        <w:rPr>
          <w:lang w:val="en-US"/>
        </w:rPr>
        <w:t xml:space="preserve"> 203.</w:t>
      </w:r>
    </w:p>
  </w:footnote>
  <w:footnote w:id="123">
    <w:p w14:paraId="1177F8A9" w14:textId="779FA91B" w:rsidR="005D3F2C" w:rsidRPr="001125E2" w:rsidRDefault="005D3F2C" w:rsidP="00FF77B3">
      <w:pPr>
        <w:pStyle w:val="FootnoteText"/>
        <w:rPr>
          <w:lang w:val="en-US"/>
        </w:rPr>
      </w:pPr>
      <w:r>
        <w:rPr>
          <w:rStyle w:val="FootnoteReference"/>
        </w:rPr>
        <w:footnoteRef/>
      </w:r>
      <w:r>
        <w:t xml:space="preserve"> </w:t>
      </w:r>
      <w:r w:rsidRPr="000844BB">
        <w:rPr>
          <w:lang w:val="en-US"/>
        </w:rPr>
        <w:t>Section 78B</w:t>
      </w:r>
      <w:r>
        <w:rPr>
          <w:lang w:val="en-US"/>
        </w:rPr>
        <w:t>.</w:t>
      </w:r>
    </w:p>
  </w:footnote>
  <w:footnote w:id="124">
    <w:p w14:paraId="428B1FD8" w14:textId="77777777" w:rsidR="005D3F2C" w:rsidRPr="00D60B0C" w:rsidRDefault="005D3F2C" w:rsidP="00FF77B3">
      <w:pPr>
        <w:pStyle w:val="FootnoteText"/>
        <w:rPr>
          <w:lang w:val="en-US"/>
        </w:rPr>
      </w:pPr>
      <w:r>
        <w:rPr>
          <w:rStyle w:val="FootnoteReference"/>
        </w:rPr>
        <w:footnoteRef/>
      </w:r>
      <w:r>
        <w:t xml:space="preserve"> </w:t>
      </w:r>
      <w:r w:rsidRPr="00B65522">
        <w:rPr>
          <w:lang w:val="en-US"/>
        </w:rPr>
        <w:t>Under section 78A(4) ‘</w:t>
      </w:r>
      <w:r w:rsidRPr="00B65522">
        <w:rPr>
          <w:i/>
          <w:iCs/>
          <w:lang w:val="en-US"/>
        </w:rPr>
        <w:t>“Harm”</w:t>
      </w:r>
      <w:r w:rsidRPr="00B65522">
        <w:rPr>
          <w:lang w:val="en-US"/>
        </w:rPr>
        <w:t xml:space="preserve"> means harm to the health of living organisms or other interference with the ecological systems of which they form part and, in the case of man, includes harm to his property.’</w:t>
      </w:r>
    </w:p>
  </w:footnote>
  <w:footnote w:id="125">
    <w:p w14:paraId="6E518100" w14:textId="4F01614C" w:rsidR="005D3F2C" w:rsidRPr="00BB706C" w:rsidRDefault="005D3F2C" w:rsidP="00FF77B3">
      <w:pPr>
        <w:pStyle w:val="FootnoteText"/>
        <w:rPr>
          <w:lang w:val="en-US"/>
        </w:rPr>
      </w:pPr>
      <w:r w:rsidRPr="00BB706C">
        <w:rPr>
          <w:rStyle w:val="FootnoteReference"/>
        </w:rPr>
        <w:footnoteRef/>
      </w:r>
      <w:r w:rsidRPr="00BB706C">
        <w:t xml:space="preserve"> </w:t>
      </w:r>
      <w:r w:rsidRPr="0079788B">
        <w:t xml:space="preserve">E </w:t>
      </w:r>
      <w:r w:rsidRPr="0079788B">
        <w:rPr>
          <w:lang w:val="en-US"/>
        </w:rPr>
        <w:t xml:space="preserve">Fisher, B Lange and E Scotford </w:t>
      </w:r>
      <w:r w:rsidRPr="0079788B">
        <w:rPr>
          <w:i/>
          <w:lang w:val="en-US"/>
        </w:rPr>
        <w:t>Environmental Law: Text, Cases &amp; Materials</w:t>
      </w:r>
      <w:r w:rsidRPr="0079788B">
        <w:rPr>
          <w:lang w:val="en-US"/>
        </w:rPr>
        <w:t xml:space="preserve"> (Oxford: OUP, 2013), p 989.</w:t>
      </w:r>
    </w:p>
  </w:footnote>
  <w:footnote w:id="126">
    <w:p w14:paraId="47CECD8B" w14:textId="2253C4CA" w:rsidR="005D3F2C" w:rsidRPr="00255AF8" w:rsidRDefault="005D3F2C" w:rsidP="00FF77B3">
      <w:pPr>
        <w:pStyle w:val="FootnoteText"/>
        <w:rPr>
          <w:lang w:val="en-US"/>
        </w:rPr>
      </w:pPr>
      <w:r w:rsidRPr="00255AF8">
        <w:rPr>
          <w:rStyle w:val="FootnoteReference"/>
        </w:rPr>
        <w:footnoteRef/>
      </w:r>
      <w:r w:rsidRPr="00255AF8">
        <w:t xml:space="preserve"> </w:t>
      </w:r>
      <w:r w:rsidRPr="00255AF8">
        <w:rPr>
          <w:lang w:val="en-US"/>
        </w:rPr>
        <w:t xml:space="preserve">See para. 3.8 of </w:t>
      </w:r>
      <w:r w:rsidRPr="00255AF8">
        <w:rPr>
          <w:bCs/>
        </w:rPr>
        <w:t>Department for Environment Food &amp; Rural Affairs</w:t>
      </w:r>
      <w:r w:rsidRPr="00255AF8">
        <w:rPr>
          <w:bCs/>
          <w:i/>
        </w:rPr>
        <w:t xml:space="preserve"> Environmental Protection Act 1990: Part 2A Contaminated Land Statutory Guidance (</w:t>
      </w:r>
      <w:r w:rsidRPr="00255AF8">
        <w:t xml:space="preserve">April 2012) </w:t>
      </w:r>
      <w:r>
        <w:t>(</w:t>
      </w:r>
      <w:hyperlink r:id="rId5" w:history="1">
        <w:r w:rsidRPr="00255AF8">
          <w:rPr>
            <w:rStyle w:val="Hyperlink"/>
            <w:color w:val="3366FF"/>
          </w:rPr>
          <w:t>https://www.gov.uk/government/uploads/system/uploads/attachment_data/file/223705/pb13735cont-land-guidance.pdf</w:t>
        </w:r>
      </w:hyperlink>
      <w:r w:rsidRPr="00255AF8">
        <w:t>) [Accessed 30</w:t>
      </w:r>
      <w:r>
        <w:t xml:space="preserve"> December 2015] (‘Statutory Guidance’)</w:t>
      </w:r>
      <w:r w:rsidRPr="00255AF8">
        <w:rPr>
          <w:lang w:val="en-US"/>
        </w:rPr>
        <w:t>.</w:t>
      </w:r>
    </w:p>
  </w:footnote>
  <w:footnote w:id="127">
    <w:p w14:paraId="63B020BD" w14:textId="77777777" w:rsidR="005D3F2C" w:rsidRPr="00270679" w:rsidRDefault="005D3F2C" w:rsidP="00FF77B3">
      <w:pPr>
        <w:pStyle w:val="FootnoteText"/>
        <w:rPr>
          <w:lang w:val="en-US"/>
        </w:rPr>
      </w:pPr>
      <w:r>
        <w:rPr>
          <w:rStyle w:val="FootnoteReference"/>
        </w:rPr>
        <w:footnoteRef/>
      </w:r>
      <w:r>
        <w:t xml:space="preserve"> </w:t>
      </w:r>
      <w:r>
        <w:rPr>
          <w:lang w:val="en-US"/>
        </w:rPr>
        <w:t>See section 78A(7) of the Environmental Protection Act 1990 and Sec</w:t>
      </w:r>
      <w:r w:rsidRPr="00255AF8">
        <w:rPr>
          <w:lang w:val="en-US"/>
        </w:rPr>
        <w:t>tion 6 of the Statutory Guidance.</w:t>
      </w:r>
    </w:p>
  </w:footnote>
  <w:footnote w:id="128">
    <w:p w14:paraId="76E4EB4B" w14:textId="77777777" w:rsidR="005D3F2C" w:rsidRPr="002E332A" w:rsidRDefault="005D3F2C" w:rsidP="00FF77B3">
      <w:pPr>
        <w:pStyle w:val="FootnoteText"/>
      </w:pPr>
      <w:r>
        <w:rPr>
          <w:rStyle w:val="FootnoteReference"/>
        </w:rPr>
        <w:footnoteRef/>
      </w:r>
      <w:r>
        <w:t xml:space="preserve"> </w:t>
      </w:r>
      <w:r>
        <w:rPr>
          <w:lang w:val="en-US"/>
        </w:rPr>
        <w:t>See Regulation 7 of the</w:t>
      </w:r>
      <w:r w:rsidRPr="002E332A">
        <w:t xml:space="preserve"> Contaminated Land (England) Regulations 2006 (S</w:t>
      </w:r>
      <w:r>
        <w:t>.</w:t>
      </w:r>
      <w:r w:rsidRPr="002E332A">
        <w:t>I</w:t>
      </w:r>
      <w:r>
        <w:t>.</w:t>
      </w:r>
      <w:r w:rsidRPr="002E332A">
        <w:t xml:space="preserve"> 2006/1380)</w:t>
      </w:r>
      <w:r>
        <w:t>.</w:t>
      </w:r>
      <w:r w:rsidRPr="002E332A">
        <w:t xml:space="preserve"> </w:t>
      </w:r>
    </w:p>
  </w:footnote>
  <w:footnote w:id="129">
    <w:p w14:paraId="261FB97C" w14:textId="0FB49262" w:rsidR="005D3F2C" w:rsidRPr="00DF5B76" w:rsidRDefault="005D3F2C">
      <w:pPr>
        <w:pStyle w:val="FootnoteText"/>
        <w:rPr>
          <w:lang w:val="en-US"/>
        </w:rPr>
      </w:pPr>
      <w:r>
        <w:rPr>
          <w:rStyle w:val="FootnoteReference"/>
        </w:rPr>
        <w:footnoteRef/>
      </w:r>
      <w:r>
        <w:t xml:space="preserve"> </w:t>
      </w:r>
      <w:r>
        <w:rPr>
          <w:lang w:val="en-US"/>
        </w:rPr>
        <w:t xml:space="preserve">Para. 6.7(c) </w:t>
      </w:r>
      <w:r w:rsidRPr="00255AF8">
        <w:rPr>
          <w:lang w:val="en-US"/>
        </w:rPr>
        <w:t>of the Statutory Guidance.</w:t>
      </w:r>
    </w:p>
  </w:footnote>
  <w:footnote w:id="130">
    <w:p w14:paraId="47238705" w14:textId="638874C8" w:rsidR="005D3F2C" w:rsidRPr="005E23F2" w:rsidRDefault="005D3F2C" w:rsidP="00FF77B3">
      <w:pPr>
        <w:pStyle w:val="FootnoteText"/>
        <w:rPr>
          <w:lang w:val="en-US"/>
        </w:rPr>
      </w:pPr>
      <w:r>
        <w:rPr>
          <w:rStyle w:val="FootnoteReference"/>
        </w:rPr>
        <w:footnoteRef/>
      </w:r>
      <w:r>
        <w:t xml:space="preserve"> </w:t>
      </w:r>
      <w:r>
        <w:rPr>
          <w:lang w:val="en-US"/>
        </w:rPr>
        <w:t>The assumption being that other regulatory controls will play this role.</w:t>
      </w:r>
    </w:p>
  </w:footnote>
  <w:footnote w:id="131">
    <w:p w14:paraId="38FF9E83" w14:textId="543B02F2" w:rsidR="005D3F2C" w:rsidRPr="00255AF8" w:rsidRDefault="005D3F2C" w:rsidP="00FF77B3">
      <w:pPr>
        <w:pStyle w:val="FootnoteText"/>
        <w:rPr>
          <w:lang w:val="en-US"/>
        </w:rPr>
      </w:pPr>
      <w:r w:rsidRPr="00255AF8">
        <w:rPr>
          <w:rStyle w:val="FootnoteReference"/>
        </w:rPr>
        <w:footnoteRef/>
      </w:r>
      <w:r w:rsidRPr="00255AF8">
        <w:t xml:space="preserve"> Section 78F(2).</w:t>
      </w:r>
    </w:p>
  </w:footnote>
  <w:footnote w:id="132">
    <w:p w14:paraId="4170DD4F" w14:textId="0B9C88DB" w:rsidR="005D3F2C" w:rsidRPr="004848E9" w:rsidRDefault="005D3F2C" w:rsidP="00FF77B3">
      <w:pPr>
        <w:pStyle w:val="FootnoteText"/>
        <w:rPr>
          <w:lang w:val="en-US"/>
        </w:rPr>
      </w:pPr>
      <w:r w:rsidRPr="00255AF8">
        <w:rPr>
          <w:rStyle w:val="FootnoteReference"/>
        </w:rPr>
        <w:footnoteRef/>
      </w:r>
      <w:r w:rsidRPr="00255AF8">
        <w:t xml:space="preserve"> </w:t>
      </w:r>
      <w:r w:rsidRPr="00255AF8">
        <w:rPr>
          <w:lang w:val="en-US"/>
        </w:rPr>
        <w:t>Section 78F(4) &amp; (5).</w:t>
      </w:r>
      <w:r w:rsidRPr="004848E9">
        <w:rPr>
          <w:b/>
          <w:color w:val="FF0000"/>
          <w:lang w:val="en-US"/>
        </w:rPr>
        <w:t xml:space="preserve"> </w:t>
      </w:r>
    </w:p>
  </w:footnote>
  <w:footnote w:id="133">
    <w:p w14:paraId="21E6F1BF" w14:textId="22E765DF" w:rsidR="005D3F2C" w:rsidRPr="00B67F01" w:rsidRDefault="005D3F2C" w:rsidP="00FF77B3">
      <w:pPr>
        <w:pStyle w:val="FootnoteText"/>
        <w:rPr>
          <w:lang w:val="en-US"/>
        </w:rPr>
      </w:pPr>
      <w:r>
        <w:rPr>
          <w:rStyle w:val="FootnoteReference"/>
        </w:rPr>
        <w:footnoteRef/>
      </w:r>
      <w:r>
        <w:t xml:space="preserve"> </w:t>
      </w:r>
      <w:r w:rsidRPr="00255AF8">
        <w:rPr>
          <w:lang w:val="en-US"/>
        </w:rPr>
        <w:t xml:space="preserve">See the </w:t>
      </w:r>
      <w:r w:rsidRPr="00255AF8">
        <w:rPr>
          <w:i/>
          <w:lang w:val="en-US"/>
        </w:rPr>
        <w:t xml:space="preserve">Encyclopedia of Environmental Law </w:t>
      </w:r>
      <w:r w:rsidRPr="00255AF8">
        <w:rPr>
          <w:lang w:val="en-US"/>
        </w:rPr>
        <w:t>(London: Sweet &amp; Maxwell) at D602/38</w:t>
      </w:r>
      <w:r>
        <w:rPr>
          <w:lang w:val="en-US"/>
        </w:rPr>
        <w:t xml:space="preserve"> </w:t>
      </w:r>
      <w:r w:rsidRPr="00255AF8">
        <w:rPr>
          <w:lang w:val="en-US"/>
        </w:rPr>
        <w:t>&amp;</w:t>
      </w:r>
      <w:r>
        <w:rPr>
          <w:lang w:val="en-US"/>
        </w:rPr>
        <w:t xml:space="preserve"> </w:t>
      </w:r>
      <w:r w:rsidRPr="00255AF8">
        <w:rPr>
          <w:lang w:val="en-US"/>
        </w:rPr>
        <w:t>39.</w:t>
      </w:r>
      <w:r>
        <w:rPr>
          <w:color w:val="FF0000"/>
          <w:lang w:val="en-US"/>
        </w:rPr>
        <w:t xml:space="preserve"> </w:t>
      </w:r>
    </w:p>
  </w:footnote>
  <w:footnote w:id="134">
    <w:p w14:paraId="33D50241" w14:textId="77777777" w:rsidR="005D3F2C" w:rsidRPr="00163D4F" w:rsidRDefault="005D3F2C" w:rsidP="00FF77B3">
      <w:pPr>
        <w:pStyle w:val="FootnoteText"/>
        <w:rPr>
          <w:lang w:val="en-US"/>
        </w:rPr>
      </w:pPr>
      <w:r>
        <w:rPr>
          <w:rStyle w:val="FootnoteReference"/>
        </w:rPr>
        <w:footnoteRef/>
      </w:r>
      <w:r>
        <w:t xml:space="preserve"> </w:t>
      </w:r>
      <w:r w:rsidRPr="00255AF8">
        <w:rPr>
          <w:lang w:val="en-US"/>
        </w:rPr>
        <w:t>See para. 8.5 of the Statutory Guidance.</w:t>
      </w:r>
    </w:p>
  </w:footnote>
  <w:footnote w:id="135">
    <w:p w14:paraId="0DC4579A" w14:textId="6809E95C" w:rsidR="005D3F2C" w:rsidRPr="00786E8F" w:rsidRDefault="005D3F2C" w:rsidP="00FF77B3">
      <w:pPr>
        <w:pStyle w:val="FootnoteText"/>
      </w:pPr>
      <w:r w:rsidRPr="009B5D41">
        <w:rPr>
          <w:rStyle w:val="FootnoteReference"/>
        </w:rPr>
        <w:footnoteRef/>
      </w:r>
      <w:r w:rsidRPr="009B5D41">
        <w:t xml:space="preserve"> de Sadeleer</w:t>
      </w:r>
      <w:r>
        <w:t>, above n 118</w:t>
      </w:r>
      <w:r>
        <w:rPr>
          <w:rFonts w:eastAsiaTheme="minorHAnsi" w:cs="Arial"/>
          <w:szCs w:val="26"/>
          <w:lang w:val="en-US" w:eastAsia="en-US"/>
        </w:rPr>
        <w:t>.</w:t>
      </w:r>
    </w:p>
  </w:footnote>
  <w:footnote w:id="136">
    <w:p w14:paraId="40615635" w14:textId="414C1FA7" w:rsidR="005D3F2C" w:rsidRPr="001125E2" w:rsidRDefault="005D3F2C" w:rsidP="00FF77B3">
      <w:pPr>
        <w:pStyle w:val="FootnoteText"/>
        <w:rPr>
          <w:lang w:val="en-US"/>
        </w:rPr>
      </w:pPr>
      <w:r>
        <w:rPr>
          <w:rStyle w:val="FootnoteReference"/>
        </w:rPr>
        <w:footnoteRef/>
      </w:r>
      <w:r>
        <w:t xml:space="preserve"> </w:t>
      </w:r>
      <w:r w:rsidRPr="000844BB">
        <w:rPr>
          <w:lang w:val="en-US"/>
        </w:rPr>
        <w:t>Section 78E.</w:t>
      </w:r>
    </w:p>
  </w:footnote>
  <w:footnote w:id="137">
    <w:p w14:paraId="1507BFD3" w14:textId="15C50347" w:rsidR="005D3F2C" w:rsidRPr="00BA00E0" w:rsidRDefault="005D3F2C" w:rsidP="00E773D5">
      <w:pPr>
        <w:pStyle w:val="FootnoteText"/>
        <w:rPr>
          <w:lang w:val="en-US"/>
        </w:rPr>
      </w:pPr>
      <w:r>
        <w:rPr>
          <w:rStyle w:val="FootnoteReference"/>
        </w:rPr>
        <w:footnoteRef/>
      </w:r>
      <w:r>
        <w:t xml:space="preserve"> </w:t>
      </w:r>
      <w:r w:rsidRPr="000844BB">
        <w:rPr>
          <w:lang w:val="en-US"/>
        </w:rPr>
        <w:t>Section</w:t>
      </w:r>
      <w:r>
        <w:rPr>
          <w:lang w:val="en-US"/>
        </w:rPr>
        <w:t xml:space="preserve"> 79N.</w:t>
      </w:r>
    </w:p>
  </w:footnote>
  <w:footnote w:id="138">
    <w:p w14:paraId="6556BA4C" w14:textId="5F1C6825" w:rsidR="005D3F2C" w:rsidRPr="00BA00E0" w:rsidRDefault="005D3F2C" w:rsidP="00E773D5">
      <w:pPr>
        <w:pStyle w:val="FootnoteText"/>
        <w:rPr>
          <w:lang w:val="en-US"/>
        </w:rPr>
      </w:pPr>
      <w:r>
        <w:rPr>
          <w:rStyle w:val="FootnoteReference"/>
        </w:rPr>
        <w:footnoteRef/>
      </w:r>
      <w:r>
        <w:t xml:space="preserve"> </w:t>
      </w:r>
      <w:r w:rsidRPr="000844BB">
        <w:rPr>
          <w:lang w:val="en-US"/>
        </w:rPr>
        <w:t>Section</w:t>
      </w:r>
      <w:r>
        <w:rPr>
          <w:lang w:val="en-US"/>
        </w:rPr>
        <w:t xml:space="preserve"> 78P.</w:t>
      </w:r>
    </w:p>
  </w:footnote>
  <w:footnote w:id="139">
    <w:p w14:paraId="4C6AC0DF" w14:textId="7333D3D4" w:rsidR="005D3F2C" w:rsidRPr="005477DB" w:rsidRDefault="005D3F2C">
      <w:pPr>
        <w:pStyle w:val="FootnoteText"/>
        <w:rPr>
          <w:lang w:val="en-US"/>
        </w:rPr>
      </w:pPr>
      <w:r w:rsidRPr="005477DB">
        <w:rPr>
          <w:rStyle w:val="FootnoteReference"/>
        </w:rPr>
        <w:footnoteRef/>
      </w:r>
      <w:r w:rsidRPr="005477DB">
        <w:t xml:space="preserve"> </w:t>
      </w:r>
      <w:r w:rsidRPr="000844BB">
        <w:rPr>
          <w:lang w:val="en-US"/>
        </w:rPr>
        <w:t>Section</w:t>
      </w:r>
      <w:r w:rsidRPr="005477DB">
        <w:rPr>
          <w:lang w:val="en-US"/>
        </w:rPr>
        <w:t xml:space="preserve"> 78H.</w:t>
      </w:r>
    </w:p>
  </w:footnote>
  <w:footnote w:id="140">
    <w:p w14:paraId="031C5834" w14:textId="7AEDAEC5" w:rsidR="005D3F2C" w:rsidRPr="005477DB" w:rsidRDefault="005D3F2C">
      <w:pPr>
        <w:pStyle w:val="FootnoteText"/>
        <w:rPr>
          <w:lang w:val="en-US"/>
        </w:rPr>
      </w:pPr>
      <w:r w:rsidRPr="005477DB">
        <w:rPr>
          <w:rStyle w:val="FootnoteReference"/>
        </w:rPr>
        <w:footnoteRef/>
      </w:r>
      <w:r w:rsidRPr="005477DB">
        <w:t xml:space="preserve"> </w:t>
      </w:r>
      <w:r w:rsidRPr="000844BB">
        <w:rPr>
          <w:lang w:val="en-US"/>
        </w:rPr>
        <w:t>Section</w:t>
      </w:r>
      <w:r w:rsidRPr="005477DB">
        <w:rPr>
          <w:lang w:val="en-US"/>
        </w:rPr>
        <w:t xml:space="preserve"> 78E(4).</w:t>
      </w:r>
    </w:p>
  </w:footnote>
  <w:footnote w:id="141">
    <w:p w14:paraId="33744D1F" w14:textId="2716F0B3" w:rsidR="005D3F2C" w:rsidRPr="00BA00E0" w:rsidRDefault="005D3F2C" w:rsidP="00A85244">
      <w:pPr>
        <w:pStyle w:val="FootnoteText"/>
        <w:rPr>
          <w:lang w:val="en-US"/>
        </w:rPr>
      </w:pPr>
      <w:r>
        <w:rPr>
          <w:rStyle w:val="FootnoteReference"/>
        </w:rPr>
        <w:footnoteRef/>
      </w:r>
      <w:r>
        <w:t xml:space="preserve"> </w:t>
      </w:r>
      <w:r w:rsidRPr="000844BB">
        <w:rPr>
          <w:lang w:val="en-US"/>
        </w:rPr>
        <w:t>Section</w:t>
      </w:r>
      <w:r>
        <w:rPr>
          <w:lang w:val="en-US"/>
        </w:rPr>
        <w:t xml:space="preserve"> 78M.</w:t>
      </w:r>
    </w:p>
  </w:footnote>
  <w:footnote w:id="142">
    <w:p w14:paraId="7DF49326" w14:textId="08EB8642" w:rsidR="005D3F2C" w:rsidRPr="00255AF8" w:rsidRDefault="005D3F2C">
      <w:pPr>
        <w:pStyle w:val="FootnoteText"/>
        <w:rPr>
          <w:lang w:val="en-US"/>
        </w:rPr>
      </w:pPr>
      <w:r>
        <w:rPr>
          <w:rStyle w:val="FootnoteReference"/>
        </w:rPr>
        <w:footnoteRef/>
      </w:r>
      <w:r>
        <w:t xml:space="preserve"> </w:t>
      </w:r>
      <w:r>
        <w:rPr>
          <w:lang w:val="en-US"/>
        </w:rPr>
        <w:t>Above, n 82.</w:t>
      </w:r>
    </w:p>
  </w:footnote>
  <w:footnote w:id="143">
    <w:p w14:paraId="2FE93663" w14:textId="0AF6028A" w:rsidR="005D3F2C" w:rsidRPr="00BA00E0" w:rsidRDefault="005D3F2C" w:rsidP="00C80344">
      <w:pPr>
        <w:pStyle w:val="FootnoteText"/>
        <w:rPr>
          <w:lang w:val="en-US"/>
        </w:rPr>
      </w:pPr>
      <w:r>
        <w:rPr>
          <w:rStyle w:val="FootnoteReference"/>
        </w:rPr>
        <w:footnoteRef/>
      </w:r>
      <w:r>
        <w:t xml:space="preserve"> </w:t>
      </w:r>
      <w:r w:rsidRPr="000844BB">
        <w:rPr>
          <w:lang w:val="en-US"/>
        </w:rPr>
        <w:t>Section</w:t>
      </w:r>
      <w:r>
        <w:rPr>
          <w:lang w:val="en-US"/>
        </w:rPr>
        <w:t xml:space="preserve"> 78M(5).</w:t>
      </w:r>
    </w:p>
  </w:footnote>
  <w:footnote w:id="144">
    <w:p w14:paraId="7D31E62C" w14:textId="19952B25" w:rsidR="005D3F2C" w:rsidRPr="00021F02" w:rsidRDefault="005D3F2C">
      <w:pPr>
        <w:pStyle w:val="FootnoteText"/>
        <w:rPr>
          <w:lang w:val="en-US"/>
        </w:rPr>
      </w:pPr>
      <w:r>
        <w:rPr>
          <w:rStyle w:val="FootnoteReference"/>
        </w:rPr>
        <w:footnoteRef/>
      </w:r>
      <w:r>
        <w:t xml:space="preserve"> </w:t>
      </w:r>
      <w:r w:rsidRPr="000844BB">
        <w:rPr>
          <w:lang w:val="en-US"/>
        </w:rPr>
        <w:t>Section</w:t>
      </w:r>
      <w:r>
        <w:rPr>
          <w:lang w:val="en-US"/>
        </w:rPr>
        <w:t xml:space="preserve"> 78R.</w:t>
      </w:r>
    </w:p>
  </w:footnote>
  <w:footnote w:id="145">
    <w:p w14:paraId="5D02288A" w14:textId="28721201" w:rsidR="005D3F2C" w:rsidRPr="00066368" w:rsidRDefault="005D3F2C">
      <w:pPr>
        <w:pStyle w:val="FootnoteText"/>
        <w:rPr>
          <w:lang w:val="en-US"/>
        </w:rPr>
      </w:pPr>
      <w:r>
        <w:rPr>
          <w:rStyle w:val="FootnoteReference"/>
        </w:rPr>
        <w:footnoteRef/>
      </w:r>
      <w:r>
        <w:t xml:space="preserve"> See above, n 86.</w:t>
      </w:r>
    </w:p>
  </w:footnote>
  <w:footnote w:id="146">
    <w:p w14:paraId="01EAFC7F" w14:textId="34B8098E" w:rsidR="005D3F2C" w:rsidRPr="00066368" w:rsidRDefault="005D3F2C">
      <w:pPr>
        <w:pStyle w:val="FootnoteText"/>
        <w:rPr>
          <w:lang w:val="en-US"/>
        </w:rPr>
      </w:pPr>
      <w:r>
        <w:rPr>
          <w:rStyle w:val="FootnoteReference"/>
        </w:rPr>
        <w:footnoteRef/>
      </w:r>
      <w:r>
        <w:t xml:space="preserve"> </w:t>
      </w:r>
      <w:r>
        <w:rPr>
          <w:lang w:val="en-US"/>
        </w:rPr>
        <w:t>This includes providing incentives through the Town and Country Planning system, where appropriate.</w:t>
      </w:r>
    </w:p>
  </w:footnote>
  <w:footnote w:id="147">
    <w:p w14:paraId="18EE0B11" w14:textId="2DD65B15" w:rsidR="005D3F2C" w:rsidRPr="00021F02" w:rsidRDefault="005D3F2C">
      <w:pPr>
        <w:pStyle w:val="FootnoteText"/>
        <w:rPr>
          <w:lang w:val="en-US"/>
        </w:rPr>
      </w:pPr>
      <w:r>
        <w:rPr>
          <w:rStyle w:val="FootnoteReference"/>
        </w:rPr>
        <w:footnoteRef/>
      </w:r>
      <w:r>
        <w:t xml:space="preserve"> </w:t>
      </w:r>
      <w:r w:rsidRPr="000844BB">
        <w:rPr>
          <w:lang w:val="en-US"/>
        </w:rPr>
        <w:t>Section</w:t>
      </w:r>
      <w:r>
        <w:rPr>
          <w:lang w:val="en-US"/>
        </w:rPr>
        <w:t xml:space="preserve"> 78L and the </w:t>
      </w:r>
      <w:r w:rsidRPr="006E7FA1">
        <w:rPr>
          <w:lang w:val="en-US"/>
        </w:rPr>
        <w:t>Contaminated Land (England) Regulations 2006 (S.I. 2006/1380)</w:t>
      </w:r>
      <w:r>
        <w:rPr>
          <w:lang w:val="en-US"/>
        </w:rPr>
        <w:t>.</w:t>
      </w:r>
    </w:p>
  </w:footnote>
  <w:footnote w:id="148">
    <w:p w14:paraId="0D116E51" w14:textId="77777777" w:rsidR="005D3F2C" w:rsidRPr="00066368" w:rsidRDefault="005D3F2C" w:rsidP="006E7FA1">
      <w:pPr>
        <w:pStyle w:val="FootnoteText"/>
        <w:rPr>
          <w:b/>
          <w:i/>
          <w:szCs w:val="22"/>
          <w:u w:val="single"/>
        </w:rPr>
      </w:pPr>
      <w:r w:rsidRPr="001B02AE">
        <w:rPr>
          <w:rStyle w:val="FootnoteReference"/>
        </w:rPr>
        <w:footnoteRef/>
      </w:r>
      <w:r w:rsidRPr="001B02AE">
        <w:t xml:space="preserve"> </w:t>
      </w:r>
      <w:r w:rsidRPr="00066368">
        <w:rPr>
          <w:rFonts w:eastAsiaTheme="minorHAnsi" w:cs="Arial"/>
          <w:szCs w:val="22"/>
          <w:lang w:val="en-US" w:eastAsia="en-US"/>
        </w:rPr>
        <w:t xml:space="preserve">Parry (ed) </w:t>
      </w:r>
      <w:r w:rsidRPr="00066368">
        <w:rPr>
          <w:rFonts w:eastAsiaTheme="minorHAnsi" w:cs="Arial"/>
          <w:i/>
          <w:iCs/>
          <w:szCs w:val="22"/>
          <w:lang w:val="en-US" w:eastAsia="en-US"/>
        </w:rPr>
        <w:t>Registrum Johannes de Trillek, episcopi Herefordensis, 1344-1361</w:t>
      </w:r>
      <w:r w:rsidRPr="00066368">
        <w:rPr>
          <w:rFonts w:eastAsiaTheme="minorHAnsi" w:cs="Arial"/>
          <w:szCs w:val="22"/>
          <w:lang w:val="en-US" w:eastAsia="en-US"/>
        </w:rPr>
        <w:t xml:space="preserve"> (London: </w:t>
      </w:r>
      <w:r w:rsidRPr="00066368">
        <w:rPr>
          <w:szCs w:val="22"/>
        </w:rPr>
        <w:t>The Canterbury &amp; York Society Series, vol. 8, 1912), p 124.</w:t>
      </w:r>
    </w:p>
  </w:footnote>
  <w:footnote w:id="149">
    <w:p w14:paraId="58E5966F" w14:textId="55C753C9" w:rsidR="005D3F2C" w:rsidRPr="003657B3" w:rsidRDefault="005D3F2C" w:rsidP="00D31047">
      <w:pPr>
        <w:pStyle w:val="FootnoteText"/>
        <w:rPr>
          <w:color w:val="FF0000"/>
          <w:szCs w:val="22"/>
        </w:rPr>
      </w:pPr>
      <w:r w:rsidRPr="00066368">
        <w:rPr>
          <w:rStyle w:val="FootnoteReference"/>
          <w:szCs w:val="22"/>
        </w:rPr>
        <w:footnoteRef/>
      </w:r>
      <w:r w:rsidRPr="00066368">
        <w:rPr>
          <w:szCs w:val="22"/>
        </w:rPr>
        <w:t xml:space="preserve"> </w:t>
      </w:r>
      <w:r w:rsidRPr="00066368">
        <w:rPr>
          <w:rFonts w:cs="Helvetica"/>
          <w:szCs w:val="22"/>
        </w:rPr>
        <w:t xml:space="preserve">See, for </w:t>
      </w:r>
      <w:r w:rsidRPr="003657B3">
        <w:rPr>
          <w:rFonts w:cs="Helvetica"/>
          <w:szCs w:val="22"/>
        </w:rPr>
        <w:t xml:space="preserve">example, </w:t>
      </w:r>
      <w:r w:rsidRPr="003657B3">
        <w:rPr>
          <w:lang w:val="en-US"/>
        </w:rPr>
        <w:t>J</w:t>
      </w:r>
      <w:r>
        <w:rPr>
          <w:lang w:val="en-US"/>
        </w:rPr>
        <w:t xml:space="preserve"> Pointing and R Malcolm</w:t>
      </w:r>
      <w:r w:rsidRPr="00F5676E">
        <w:rPr>
          <w:lang w:val="en-US"/>
        </w:rPr>
        <w:t xml:space="preserve"> ‘Statutory nuisance: the sanitary </w:t>
      </w:r>
      <w:r w:rsidRPr="003657B3">
        <w:rPr>
          <w:lang w:val="en-US"/>
        </w:rPr>
        <w:t>paradigm and judicial conservatism’ (2006) 18 JEL 37 (‘Sanitary Paradigm’)</w:t>
      </w:r>
      <w:r w:rsidRPr="003657B3">
        <w:rPr>
          <w:szCs w:val="22"/>
        </w:rPr>
        <w:t xml:space="preserve">, and R Malcolm &amp; J Pointing, </w:t>
      </w:r>
      <w:r w:rsidRPr="003657B3">
        <w:rPr>
          <w:i/>
          <w:iCs/>
          <w:szCs w:val="22"/>
          <w:lang w:val="en-US"/>
        </w:rPr>
        <w:t>Statutory Nuisance: Law and Practice</w:t>
      </w:r>
      <w:r w:rsidRPr="003657B3">
        <w:rPr>
          <w:szCs w:val="22"/>
          <w:lang w:val="en-US"/>
        </w:rPr>
        <w:t xml:space="preserve"> (2nd edn.) (Oxford: OUP, 2011).</w:t>
      </w:r>
      <w:r w:rsidRPr="003657B3">
        <w:rPr>
          <w:color w:val="FF0000"/>
          <w:szCs w:val="22"/>
          <w:lang w:val="en-US"/>
        </w:rPr>
        <w:t xml:space="preserve"> </w:t>
      </w:r>
    </w:p>
  </w:footnote>
  <w:footnote w:id="150">
    <w:p w14:paraId="133BA357" w14:textId="2582D534" w:rsidR="005D3F2C" w:rsidRDefault="005D3F2C" w:rsidP="00D6405F">
      <w:pPr>
        <w:pStyle w:val="FootnoteText"/>
      </w:pPr>
      <w:r>
        <w:rPr>
          <w:rStyle w:val="FootnoteReference"/>
        </w:rPr>
        <w:footnoteRef/>
      </w:r>
      <w:r>
        <w:t xml:space="preserve"> S Bell, D McGillivray and O Pedersen </w:t>
      </w:r>
      <w:r>
        <w:rPr>
          <w:i/>
        </w:rPr>
        <w:t>Environmental Law</w:t>
      </w:r>
      <w:r>
        <w:t xml:space="preserve"> (Oxford: OUP, 8</w:t>
      </w:r>
      <w:r w:rsidRPr="00EA29F0">
        <w:rPr>
          <w:vertAlign w:val="superscript"/>
        </w:rPr>
        <w:t>th</w:t>
      </w:r>
      <w:r>
        <w:t xml:space="preserve"> edn, 2013) p 7. In the medieval world, physical and spiritual/religious concerns would not have been distinguished.</w:t>
      </w:r>
    </w:p>
  </w:footnote>
  <w:footnote w:id="151">
    <w:p w14:paraId="71F5FA5F" w14:textId="44662E9A" w:rsidR="005D3F2C" w:rsidRPr="009B5D41" w:rsidRDefault="005D3F2C" w:rsidP="00D6405F">
      <w:pPr>
        <w:pStyle w:val="FootnoteText"/>
      </w:pPr>
      <w:r w:rsidRPr="009B5D41">
        <w:rPr>
          <w:rStyle w:val="FootnoteReference"/>
        </w:rPr>
        <w:footnoteRef/>
      </w:r>
      <w:r w:rsidRPr="009B5D41">
        <w:t xml:space="preserve"> </w:t>
      </w:r>
      <w:r>
        <w:rPr>
          <w:bCs/>
          <w:lang w:val="en-US"/>
        </w:rPr>
        <w:t xml:space="preserve">Coyle and </w:t>
      </w:r>
      <w:r w:rsidRPr="00F83DB5">
        <w:rPr>
          <w:bCs/>
          <w:lang w:val="en-US"/>
        </w:rPr>
        <w:t>Morrow</w:t>
      </w:r>
      <w:r>
        <w:rPr>
          <w:bCs/>
          <w:lang w:val="en-US"/>
        </w:rPr>
        <w:t>,</w:t>
      </w:r>
      <w:r>
        <w:t xml:space="preserve"> p </w:t>
      </w:r>
      <w:r w:rsidRPr="009B5D41">
        <w:t>203</w:t>
      </w:r>
      <w:r w:rsidRPr="00F83DB5">
        <w:rPr>
          <w:bCs/>
          <w:lang w:val="en-US"/>
        </w:rPr>
        <w:t xml:space="preserve">, </w:t>
      </w:r>
      <w:r>
        <w:rPr>
          <w:bCs/>
          <w:lang w:val="en-US"/>
        </w:rPr>
        <w:t>above n 87</w:t>
      </w:r>
      <w:r w:rsidRPr="009B5D41">
        <w:t>.</w:t>
      </w:r>
    </w:p>
  </w:footnote>
  <w:footnote w:id="152">
    <w:p w14:paraId="04931071" w14:textId="655195F0" w:rsidR="005D3F2C" w:rsidRDefault="005D3F2C" w:rsidP="00D6405F">
      <w:pPr>
        <w:pStyle w:val="FootnoteText"/>
      </w:pPr>
      <w:r>
        <w:rPr>
          <w:rStyle w:val="FootnoteReference"/>
        </w:rPr>
        <w:footnoteRef/>
      </w:r>
      <w:r>
        <w:t xml:space="preserve"> Alder and Wilkinson, p 8, above n 107.</w:t>
      </w:r>
    </w:p>
  </w:footnote>
  <w:footnote w:id="153">
    <w:p w14:paraId="18EA7155" w14:textId="2E7FCC70" w:rsidR="005D3F2C" w:rsidRPr="009B5D41" w:rsidRDefault="005D3F2C" w:rsidP="00C57D69">
      <w:pPr>
        <w:pStyle w:val="FootnoteText"/>
      </w:pPr>
      <w:r w:rsidRPr="00F5676E">
        <w:rPr>
          <w:rStyle w:val="FootnoteReference"/>
        </w:rPr>
        <w:footnoteRef/>
      </w:r>
      <w:r w:rsidRPr="00F5676E">
        <w:t xml:space="preserve"> See, for example, </w:t>
      </w:r>
      <w:r>
        <w:rPr>
          <w:lang w:val="en-US"/>
        </w:rPr>
        <w:t>Pointing and Malcolm</w:t>
      </w:r>
      <w:r w:rsidRPr="00F5676E">
        <w:rPr>
          <w:lang w:val="en-US"/>
        </w:rPr>
        <w:t xml:space="preserve"> ‘</w:t>
      </w:r>
      <w:r>
        <w:rPr>
          <w:lang w:val="en-US"/>
        </w:rPr>
        <w:t>S</w:t>
      </w:r>
      <w:r w:rsidRPr="00F5676E">
        <w:rPr>
          <w:lang w:val="en-US"/>
        </w:rPr>
        <w:t xml:space="preserve">anitary </w:t>
      </w:r>
      <w:r>
        <w:rPr>
          <w:lang w:val="en-US"/>
        </w:rPr>
        <w:t>P</w:t>
      </w:r>
      <w:r w:rsidRPr="00F5676E">
        <w:rPr>
          <w:lang w:val="en-US"/>
        </w:rPr>
        <w:t>aradigm</w:t>
      </w:r>
      <w:r>
        <w:rPr>
          <w:lang w:val="en-US"/>
        </w:rPr>
        <w:t>’, above n 149, and B</w:t>
      </w:r>
      <w:r w:rsidRPr="00F5676E">
        <w:rPr>
          <w:lang w:val="en-US"/>
        </w:rPr>
        <w:t xml:space="preserve"> Pon</w:t>
      </w:r>
      <w:r>
        <w:rPr>
          <w:lang w:val="en-US"/>
        </w:rPr>
        <w:t>tin</w:t>
      </w:r>
      <w:r w:rsidRPr="00F5676E">
        <w:rPr>
          <w:lang w:val="en-US"/>
        </w:rPr>
        <w:t xml:space="preserve"> ‘</w:t>
      </w:r>
      <w:r w:rsidRPr="00F5676E">
        <w:rPr>
          <w:rFonts w:eastAsiaTheme="minorHAnsi" w:cs="Verdana"/>
          <w:bCs/>
          <w:color w:val="262628"/>
          <w:szCs w:val="40"/>
          <w:lang w:val="en-US" w:eastAsia="en-US"/>
        </w:rPr>
        <w:t>Environmental Law-Making Public Opinion in Victorian Britain: The Cross-Currents of Bentham's and Coleridge's Ideas</w:t>
      </w:r>
      <w:r>
        <w:rPr>
          <w:rFonts w:eastAsiaTheme="minorHAnsi" w:cs="Verdana"/>
          <w:bCs/>
          <w:color w:val="262628"/>
          <w:szCs w:val="40"/>
          <w:lang w:val="en-US" w:eastAsia="en-US"/>
        </w:rPr>
        <w:t>’ (2014) 34 OJLS 759</w:t>
      </w:r>
      <w:r w:rsidRPr="00F5676E">
        <w:t>. Even the</w:t>
      </w:r>
      <w:r>
        <w:t xml:space="preserve"> ‘longer view’ taken by Coyle and Morrow, above n 87, deliberates ‘on the evolution of thinking’ over ‘the last 400 years or so’ (preface).</w:t>
      </w:r>
    </w:p>
  </w:footnote>
  <w:footnote w:id="154">
    <w:p w14:paraId="750A78C8" w14:textId="13074F52" w:rsidR="005D3F2C" w:rsidRPr="008949D8" w:rsidRDefault="005D3F2C" w:rsidP="00C57D69">
      <w:pPr>
        <w:pStyle w:val="FootnoteText"/>
      </w:pPr>
      <w:r>
        <w:rPr>
          <w:rStyle w:val="FootnoteReference"/>
        </w:rPr>
        <w:footnoteRef/>
      </w:r>
      <w:r>
        <w:t xml:space="preserve"> See D Ibbetson </w:t>
      </w:r>
      <w:r w:rsidRPr="008949D8">
        <w:rPr>
          <w:i/>
        </w:rPr>
        <w:t>A Historical Introduction to the Law of Obligations</w:t>
      </w:r>
      <w:r w:rsidRPr="008949D8">
        <w:t xml:space="preserve"> (</w:t>
      </w:r>
      <w:r>
        <w:t>Oxford: OUP, 1999)</w:t>
      </w:r>
      <w:r w:rsidRPr="008949D8">
        <w:t xml:space="preserve"> and </w:t>
      </w:r>
      <w:r>
        <w:t>J Loengard</w:t>
      </w:r>
      <w:r w:rsidRPr="008949D8">
        <w:t xml:space="preserve"> ‘The Assize of Nuisance: Origins of an Action at Common Law’ </w:t>
      </w:r>
      <w:r>
        <w:rPr>
          <w:rFonts w:eastAsiaTheme="minorHAnsi" w:cs="Arial"/>
          <w:szCs w:val="26"/>
          <w:lang w:val="en-US" w:eastAsia="en-US"/>
        </w:rPr>
        <w:t>(1978)</w:t>
      </w:r>
      <w:r w:rsidRPr="008949D8">
        <w:rPr>
          <w:rFonts w:eastAsiaTheme="minorHAnsi" w:cs="Arial"/>
          <w:szCs w:val="26"/>
          <w:lang w:val="en-US" w:eastAsia="en-US"/>
        </w:rPr>
        <w:t xml:space="preserve"> CLJ 144</w:t>
      </w:r>
      <w:r w:rsidRPr="008949D8">
        <w:t>, for example.</w:t>
      </w:r>
    </w:p>
  </w:footnote>
  <w:footnote w:id="155">
    <w:p w14:paraId="2DC8859F" w14:textId="2F0E18D8" w:rsidR="005D3F2C" w:rsidRDefault="005D3F2C" w:rsidP="00C57D69">
      <w:pPr>
        <w:pStyle w:val="FootnoteText"/>
      </w:pPr>
      <w:r>
        <w:rPr>
          <w:rStyle w:val="FootnoteReference"/>
        </w:rPr>
        <w:footnoteRef/>
      </w:r>
      <w:r>
        <w:t xml:space="preserve"> See </w:t>
      </w:r>
      <w:r>
        <w:rPr>
          <w:lang w:val="en-US"/>
        </w:rPr>
        <w:t>E</w:t>
      </w:r>
      <w:r w:rsidRPr="00D72762">
        <w:rPr>
          <w:lang w:val="en-US"/>
        </w:rPr>
        <w:t xml:space="preserve"> Fisher,</w:t>
      </w:r>
      <w:r>
        <w:rPr>
          <w:lang w:val="en-US"/>
        </w:rPr>
        <w:t xml:space="preserve"> B Lange, E Scotford and C</w:t>
      </w:r>
      <w:r w:rsidRPr="00D72762">
        <w:rPr>
          <w:lang w:val="en-US"/>
        </w:rPr>
        <w:t xml:space="preserve"> Carlarne</w:t>
      </w:r>
      <w:r>
        <w:rPr>
          <w:lang w:val="en-US"/>
        </w:rPr>
        <w:t xml:space="preserve"> ‘</w:t>
      </w:r>
      <w:r w:rsidRPr="00D72762">
        <w:rPr>
          <w:bCs/>
          <w:lang w:val="en-US"/>
        </w:rPr>
        <w:t>Maturity and Methodology: Starting a Debate about Environmental Law Scholarship</w:t>
      </w:r>
      <w:r>
        <w:rPr>
          <w:bCs/>
          <w:lang w:val="en-US"/>
        </w:rPr>
        <w:t>’ (2009) 21 JEL 213.</w:t>
      </w:r>
    </w:p>
  </w:footnote>
  <w:footnote w:id="156">
    <w:p w14:paraId="1497605D" w14:textId="46AACA28" w:rsidR="005D3F2C" w:rsidRPr="00E56A10" w:rsidRDefault="005D3F2C">
      <w:pPr>
        <w:pStyle w:val="FootnoteText"/>
        <w:rPr>
          <w:lang w:val="en-US"/>
        </w:rPr>
      </w:pPr>
      <w:r>
        <w:rPr>
          <w:rStyle w:val="FootnoteReference"/>
        </w:rPr>
        <w:footnoteRef/>
      </w:r>
      <w:r>
        <w:t xml:space="preserve"> </w:t>
      </w:r>
      <w:r>
        <w:rPr>
          <w:lang w:val="en-US"/>
        </w:rPr>
        <w:t>See ‘The Moral Foundations of Pollution’ section, above.</w:t>
      </w:r>
    </w:p>
  </w:footnote>
  <w:footnote w:id="157">
    <w:p w14:paraId="3A6C2ACD" w14:textId="604B6A08" w:rsidR="005D3F2C" w:rsidRPr="00BD4EDC" w:rsidRDefault="005D3F2C">
      <w:pPr>
        <w:pStyle w:val="FootnoteText"/>
        <w:rPr>
          <w:color w:val="FF0000"/>
          <w:lang w:val="en-US"/>
        </w:rPr>
      </w:pPr>
      <w:r>
        <w:rPr>
          <w:rStyle w:val="FootnoteReference"/>
        </w:rPr>
        <w:footnoteRef/>
      </w:r>
      <w:r>
        <w:t xml:space="preserve"> </w:t>
      </w:r>
      <w:r w:rsidRPr="00180962">
        <w:rPr>
          <w:lang w:val="en-US"/>
        </w:rPr>
        <w:t xml:space="preserve">Murray, </w:t>
      </w:r>
      <w:r w:rsidRPr="009E172B">
        <w:rPr>
          <w:lang w:val="en-US"/>
        </w:rPr>
        <w:t>p 427</w:t>
      </w:r>
      <w:r w:rsidRPr="00180962">
        <w:rPr>
          <w:rFonts w:cs="Arial"/>
          <w:szCs w:val="22"/>
          <w:lang w:val="en-US"/>
        </w:rPr>
        <w:t>, above n 11</w:t>
      </w:r>
      <w:r w:rsidRPr="009E172B">
        <w:rPr>
          <w:lang w:val="en-US"/>
        </w:rPr>
        <w:t>.</w:t>
      </w:r>
    </w:p>
  </w:footnote>
  <w:footnote w:id="158">
    <w:p w14:paraId="1E2589E2" w14:textId="72E3D544" w:rsidR="005D3F2C" w:rsidRPr="001D04D1" w:rsidRDefault="005D3F2C" w:rsidP="00C57D69">
      <w:pPr>
        <w:pStyle w:val="FootnoteText"/>
      </w:pPr>
      <w:r w:rsidRPr="001D04D1">
        <w:rPr>
          <w:rStyle w:val="FootnoteReference"/>
        </w:rPr>
        <w:footnoteRef/>
      </w:r>
      <w:r>
        <w:t xml:space="preserve"> See, for example, J Baker</w:t>
      </w:r>
      <w:r w:rsidRPr="001D04D1">
        <w:t xml:space="preserve"> ‘</w:t>
      </w:r>
      <w:r w:rsidRPr="001D04D1">
        <w:rPr>
          <w:lang w:val="en-US"/>
        </w:rPr>
        <w:t>Why the History of English Law has not been finished’ [</w:t>
      </w:r>
      <w:r w:rsidRPr="001D04D1">
        <w:t xml:space="preserve">2000] </w:t>
      </w:r>
      <w:r>
        <w:t>CLJ</w:t>
      </w:r>
      <w:r w:rsidRPr="001D04D1">
        <w:t xml:space="preserve"> 62. </w:t>
      </w:r>
    </w:p>
  </w:footnote>
  <w:footnote w:id="159">
    <w:p w14:paraId="21275B60" w14:textId="4C0221C9" w:rsidR="005D3F2C" w:rsidRDefault="005D3F2C" w:rsidP="00C57D69">
      <w:pPr>
        <w:pStyle w:val="FootnoteText"/>
      </w:pPr>
      <w:r>
        <w:rPr>
          <w:rStyle w:val="FootnoteReference"/>
        </w:rPr>
        <w:footnoteRef/>
      </w:r>
      <w:r>
        <w:t xml:space="preserve"> TT Arvind ‘Historical Approaches’ in S Halliday </w:t>
      </w:r>
      <w:r w:rsidRPr="00FD2C96">
        <w:rPr>
          <w:i/>
          <w:lang w:val="en-US"/>
        </w:rPr>
        <w:t>An Introduction to the Study of Law</w:t>
      </w:r>
      <w:r>
        <w:t xml:space="preserve"> (London: Sweet &amp; Maxwell, 2012). See also S Wilson </w:t>
      </w:r>
      <w:r w:rsidRPr="001D04D1">
        <w:rPr>
          <w:bCs/>
          <w:i/>
          <w:lang w:val="en-US"/>
        </w:rPr>
        <w:t>The Origins of Modern Financial Crime</w:t>
      </w:r>
      <w:r>
        <w:t xml:space="preserve"> (London: Routledge, 2013), for example.</w:t>
      </w:r>
    </w:p>
  </w:footnote>
  <w:footnote w:id="160">
    <w:p w14:paraId="7DE940A9" w14:textId="3BBF3248" w:rsidR="005D3F2C" w:rsidRDefault="005D3F2C" w:rsidP="00183AC0">
      <w:pPr>
        <w:pStyle w:val="FootnoteText"/>
      </w:pPr>
      <w:r>
        <w:rPr>
          <w:rStyle w:val="FootnoteReference"/>
        </w:rPr>
        <w:footnoteRef/>
      </w:r>
      <w:r>
        <w:t xml:space="preserve"> S Milsom </w:t>
      </w:r>
      <w:r w:rsidRPr="0057731F">
        <w:rPr>
          <w:i/>
        </w:rPr>
        <w:t>Historical Foundations of the Common Law</w:t>
      </w:r>
      <w:r>
        <w:t xml:space="preserve"> (London: Butterworths, 1969) p 13.</w:t>
      </w:r>
    </w:p>
  </w:footnote>
  <w:footnote w:id="161">
    <w:p w14:paraId="7862803A" w14:textId="77777777" w:rsidR="005D3F2C" w:rsidRDefault="005D3F2C" w:rsidP="00183AC0">
      <w:pPr>
        <w:pStyle w:val="FootnoteText"/>
      </w:pPr>
      <w:r>
        <w:rPr>
          <w:rStyle w:val="FootnoteReference"/>
        </w:rPr>
        <w:footnoteRef/>
      </w:r>
      <w:r>
        <w:t xml:space="preserve"> The Reformation comprising one of the events commonly considered to mark the end of the period.</w:t>
      </w:r>
    </w:p>
  </w:footnote>
  <w:footnote w:id="162">
    <w:p w14:paraId="75DE17CB" w14:textId="042A581D" w:rsidR="005D3F2C" w:rsidRDefault="005D3F2C" w:rsidP="00183AC0">
      <w:pPr>
        <w:pStyle w:val="FootnoteText"/>
      </w:pPr>
      <w:r>
        <w:rPr>
          <w:rStyle w:val="FootnoteReference"/>
        </w:rPr>
        <w:footnoteRef/>
      </w:r>
      <w:r>
        <w:t xml:space="preserve"> Brundage, p ix, above n 58.</w:t>
      </w:r>
    </w:p>
  </w:footnote>
  <w:footnote w:id="163">
    <w:p w14:paraId="282CA1AB" w14:textId="50423294" w:rsidR="005D3F2C" w:rsidRDefault="005D3F2C" w:rsidP="00183AC0">
      <w:pPr>
        <w:pStyle w:val="FootnoteText"/>
      </w:pPr>
      <w:r>
        <w:rPr>
          <w:rStyle w:val="FootnoteReference"/>
        </w:rPr>
        <w:footnoteRef/>
      </w:r>
      <w:r>
        <w:t xml:space="preserve"> </w:t>
      </w:r>
      <w:r w:rsidRPr="00B24A58">
        <w:rPr>
          <w:lang w:val="en-US"/>
        </w:rPr>
        <w:t>Helmholz</w:t>
      </w:r>
      <w:r w:rsidRPr="00E21204">
        <w:t>,</w:t>
      </w:r>
      <w:r>
        <w:t xml:space="preserve"> p 495</w:t>
      </w:r>
      <w:r>
        <w:rPr>
          <w:lang w:val="en-US"/>
        </w:rPr>
        <w:t>, above n 13.</w:t>
      </w:r>
    </w:p>
  </w:footnote>
  <w:footnote w:id="164">
    <w:p w14:paraId="176227F5" w14:textId="286A36AC" w:rsidR="005D3F2C" w:rsidRDefault="005D3F2C" w:rsidP="00183AC0">
      <w:pPr>
        <w:pStyle w:val="FootnoteText"/>
      </w:pPr>
      <w:r>
        <w:rPr>
          <w:rStyle w:val="FootnoteReference"/>
        </w:rPr>
        <w:footnoteRef/>
      </w:r>
      <w:r>
        <w:t xml:space="preserve"> Thiery, p 39, above n 19.</w:t>
      </w:r>
    </w:p>
  </w:footnote>
  <w:footnote w:id="165">
    <w:p w14:paraId="2BA3A6CA" w14:textId="11AE9193" w:rsidR="005D3F2C" w:rsidRDefault="005D3F2C" w:rsidP="00183AC0">
      <w:pPr>
        <w:pStyle w:val="FootnoteText"/>
      </w:pPr>
      <w:r>
        <w:rPr>
          <w:rStyle w:val="FootnoteReference"/>
        </w:rPr>
        <w:footnoteRef/>
      </w:r>
      <w:r>
        <w:t xml:space="preserve"> Brundage, p vii, above n 58.</w:t>
      </w:r>
    </w:p>
  </w:footnote>
  <w:footnote w:id="166">
    <w:p w14:paraId="49F3B27B" w14:textId="131A16AB" w:rsidR="005D3F2C" w:rsidRPr="000B114C" w:rsidRDefault="005D3F2C">
      <w:pPr>
        <w:pStyle w:val="FootnoteText"/>
        <w:rPr>
          <w:lang w:val="en-US"/>
        </w:rPr>
      </w:pPr>
      <w:r>
        <w:rPr>
          <w:rStyle w:val="FootnoteReference"/>
        </w:rPr>
        <w:footnoteRef/>
      </w:r>
      <w:r>
        <w:t xml:space="preserve"> </w:t>
      </w:r>
      <w:r>
        <w:rPr>
          <w:lang w:val="en-US"/>
        </w:rPr>
        <w:t xml:space="preserve">In a unitary Christian society this amounted, at least in theory, to as near complete </w:t>
      </w:r>
      <w:r w:rsidRPr="000B114C">
        <w:rPr>
          <w:lang w:val="en-US"/>
        </w:rPr>
        <w:t>os</w:t>
      </w:r>
      <w:r>
        <w:rPr>
          <w:lang w:val="en-US"/>
        </w:rPr>
        <w:t>tracism (Logan, p 13, above n 74</w:t>
      </w:r>
      <w:r w:rsidRPr="000B114C">
        <w:rPr>
          <w:lang w:val="en-US"/>
        </w:rPr>
        <w:t>).</w:t>
      </w:r>
    </w:p>
  </w:footnote>
  <w:footnote w:id="167">
    <w:p w14:paraId="4042637B" w14:textId="52D2CF04" w:rsidR="005D3F2C" w:rsidRPr="009B5D41" w:rsidRDefault="005D3F2C" w:rsidP="00183AC0">
      <w:pPr>
        <w:pStyle w:val="FootnoteText"/>
      </w:pPr>
      <w:r w:rsidRPr="009B5D41">
        <w:rPr>
          <w:rStyle w:val="FootnoteReference"/>
        </w:rPr>
        <w:footnoteRef/>
      </w:r>
      <w:r w:rsidRPr="009B5D41">
        <w:t xml:space="preserve"> </w:t>
      </w:r>
      <w:r>
        <w:t xml:space="preserve">R Marchant </w:t>
      </w:r>
      <w:r w:rsidRPr="00A458C0">
        <w:rPr>
          <w:i/>
          <w:lang w:val="en-US"/>
        </w:rPr>
        <w:t>The Church Under the Law: Justice, Administration and Discipline in the Diocese of York, 1560-1640</w:t>
      </w:r>
      <w:r>
        <w:t xml:space="preserve"> (Cambridge: CUP, 1969) p 221.</w:t>
      </w:r>
    </w:p>
  </w:footnote>
  <w:footnote w:id="168">
    <w:p w14:paraId="4DEF4631" w14:textId="0B8C4417" w:rsidR="005D3F2C" w:rsidRDefault="005D3F2C" w:rsidP="00183AC0">
      <w:pPr>
        <w:pStyle w:val="FootnoteText"/>
      </w:pPr>
      <w:r>
        <w:rPr>
          <w:rStyle w:val="FootnoteReference"/>
        </w:rPr>
        <w:footnoteRef/>
      </w:r>
      <w:r>
        <w:t xml:space="preserve"> C Ritchie </w:t>
      </w:r>
      <w:r w:rsidRPr="00A458C0">
        <w:rPr>
          <w:i/>
        </w:rPr>
        <w:t>The Ecclesiastical Courts of York</w:t>
      </w:r>
      <w:r>
        <w:t xml:space="preserve"> (Arbroath: Herald Press, 1956) p 76.</w:t>
      </w:r>
    </w:p>
  </w:footnote>
  <w:footnote w:id="169">
    <w:p w14:paraId="6F649DD7" w14:textId="1F1336A4" w:rsidR="005D3F2C" w:rsidRDefault="005D3F2C" w:rsidP="00183AC0">
      <w:pPr>
        <w:pStyle w:val="FootnoteText"/>
      </w:pPr>
      <w:r>
        <w:rPr>
          <w:rStyle w:val="FootnoteReference"/>
        </w:rPr>
        <w:footnoteRef/>
      </w:r>
      <w:r>
        <w:t xml:space="preserve"> Thiery, p 36, above n 19.</w:t>
      </w:r>
    </w:p>
  </w:footnote>
  <w:footnote w:id="170">
    <w:p w14:paraId="02082B5C" w14:textId="32F9F9BD" w:rsidR="005D3F2C" w:rsidRDefault="005D3F2C" w:rsidP="00183AC0">
      <w:pPr>
        <w:pStyle w:val="FootnoteText"/>
      </w:pPr>
      <w:r>
        <w:rPr>
          <w:rStyle w:val="FootnoteReference"/>
        </w:rPr>
        <w:footnoteRef/>
      </w:r>
      <w:r>
        <w:t xml:space="preserve"> Bracton, quoted in Sir William Holdsworth </w:t>
      </w:r>
      <w:r w:rsidRPr="00396BEB">
        <w:rPr>
          <w:i/>
        </w:rPr>
        <w:t>A History of English Law vol. I</w:t>
      </w:r>
      <w:r>
        <w:t xml:space="preserve"> (London: Meuthen 1936-1972) p 631.</w:t>
      </w:r>
    </w:p>
  </w:footnote>
  <w:footnote w:id="171">
    <w:p w14:paraId="0E740B6B" w14:textId="55B919A1" w:rsidR="005D3F2C" w:rsidRDefault="005D3F2C" w:rsidP="00183AC0">
      <w:pPr>
        <w:pStyle w:val="FootnoteText"/>
      </w:pPr>
      <w:r>
        <w:rPr>
          <w:rStyle w:val="FootnoteReference"/>
        </w:rPr>
        <w:footnoteRef/>
      </w:r>
      <w:r>
        <w:t xml:space="preserve"> </w:t>
      </w:r>
      <w:r w:rsidRPr="00846AB6">
        <w:t>Hill</w:t>
      </w:r>
      <w:r>
        <w:t>, p 1, above n 73</w:t>
      </w:r>
      <w:r w:rsidRPr="00846AB6">
        <w:t>.</w:t>
      </w:r>
    </w:p>
  </w:footnote>
  <w:footnote w:id="172">
    <w:p w14:paraId="4DA62FE6" w14:textId="641EE1D1" w:rsidR="005D3F2C" w:rsidRPr="009B5D41" w:rsidRDefault="005D3F2C" w:rsidP="00183AC0">
      <w:pPr>
        <w:pStyle w:val="FootnoteText"/>
      </w:pPr>
      <w:r w:rsidRPr="009B5D41">
        <w:rPr>
          <w:rStyle w:val="FootnoteReference"/>
        </w:rPr>
        <w:footnoteRef/>
      </w:r>
      <w:r w:rsidRPr="009B5D41">
        <w:t xml:space="preserve"> </w:t>
      </w:r>
      <w:r>
        <w:t>Thiery, above n 19.</w:t>
      </w:r>
    </w:p>
  </w:footnote>
  <w:footnote w:id="173">
    <w:p w14:paraId="7B8862AB" w14:textId="2AF6E0B3" w:rsidR="005D3F2C" w:rsidRDefault="005D3F2C">
      <w:pPr>
        <w:pStyle w:val="FootnoteText"/>
      </w:pPr>
      <w:r>
        <w:rPr>
          <w:rStyle w:val="FootnoteReference"/>
        </w:rPr>
        <w:footnoteRef/>
      </w:r>
      <w:r>
        <w:t xml:space="preserve"> </w:t>
      </w:r>
      <w:r w:rsidRPr="00BD7537">
        <w:rPr>
          <w:lang w:val="en-US"/>
        </w:rPr>
        <w:t>It was not uncommon for large sums to be left in wills to pay for Masses to this effect</w:t>
      </w:r>
      <w:r>
        <w:rPr>
          <w:lang w:val="en-US"/>
        </w:rPr>
        <w:t xml:space="preserve">, </w:t>
      </w:r>
      <w:r>
        <w:t>Youngs, p 206, above n 117.</w:t>
      </w:r>
    </w:p>
  </w:footnote>
  <w:footnote w:id="174">
    <w:p w14:paraId="3A3E2B57" w14:textId="77777777" w:rsidR="005D3F2C" w:rsidRPr="009B5D41" w:rsidRDefault="005D3F2C" w:rsidP="00183AC0">
      <w:pPr>
        <w:pStyle w:val="FootnoteText"/>
      </w:pPr>
      <w:r w:rsidRPr="009B5D41">
        <w:rPr>
          <w:rStyle w:val="FootnoteReference"/>
        </w:rPr>
        <w:footnoteRef/>
      </w:r>
      <w:r w:rsidRPr="009B5D41">
        <w:t xml:space="preserve"> There may, of course, be a range of other factors and motivations for regulating the church as a ‘special’ space in this way, such as reinforcing the role of the church in society.</w:t>
      </w:r>
    </w:p>
  </w:footnote>
  <w:footnote w:id="175">
    <w:p w14:paraId="7E116DC3" w14:textId="54E9FFB6" w:rsidR="005D3F2C" w:rsidRDefault="005D3F2C" w:rsidP="00873C8D">
      <w:pPr>
        <w:pStyle w:val="FootnoteText"/>
      </w:pPr>
      <w:r>
        <w:rPr>
          <w:rStyle w:val="FootnoteReference"/>
        </w:rPr>
        <w:footnoteRef/>
      </w:r>
      <w:r>
        <w:t xml:space="preserve"> Thiery, p 108, above n 19</w:t>
      </w:r>
      <w:r w:rsidRPr="009B5D41">
        <w:t>.</w:t>
      </w:r>
    </w:p>
  </w:footnote>
  <w:footnote w:id="176">
    <w:p w14:paraId="7DACC4C7" w14:textId="5BB0CEA2" w:rsidR="005D3F2C" w:rsidRDefault="005D3F2C" w:rsidP="00873C8D">
      <w:pPr>
        <w:pStyle w:val="FootnoteText"/>
      </w:pPr>
      <w:r>
        <w:rPr>
          <w:rStyle w:val="FootnoteReference"/>
        </w:rPr>
        <w:footnoteRef/>
      </w:r>
      <w:r>
        <w:t xml:space="preserve"> </w:t>
      </w:r>
      <w:r w:rsidRPr="00B24A58">
        <w:rPr>
          <w:lang w:val="en-US"/>
        </w:rPr>
        <w:t>Helmholz</w:t>
      </w:r>
      <w:r w:rsidRPr="00E21204">
        <w:t>,</w:t>
      </w:r>
      <w:r>
        <w:t xml:space="preserve"> p 495</w:t>
      </w:r>
      <w:r>
        <w:rPr>
          <w:lang w:val="en-US"/>
        </w:rPr>
        <w:t>, above n 13</w:t>
      </w:r>
      <w:r>
        <w:t xml:space="preserve">. </w:t>
      </w:r>
    </w:p>
  </w:footnote>
  <w:footnote w:id="177">
    <w:p w14:paraId="6805F8B5" w14:textId="1E46610E" w:rsidR="005D3F2C" w:rsidRDefault="005D3F2C" w:rsidP="00873C8D">
      <w:pPr>
        <w:pStyle w:val="FootnoteText"/>
      </w:pPr>
      <w:r>
        <w:rPr>
          <w:rStyle w:val="FootnoteReference"/>
        </w:rPr>
        <w:footnoteRef/>
      </w:r>
      <w:r>
        <w:t xml:space="preserve"> Thiery, p 129, above n 19</w:t>
      </w:r>
      <w:r w:rsidRPr="009B5D41">
        <w:t>.</w:t>
      </w:r>
    </w:p>
  </w:footnote>
  <w:footnote w:id="178">
    <w:p w14:paraId="48231FAE" w14:textId="2E23117C" w:rsidR="005D3F2C" w:rsidRPr="009B5D41" w:rsidRDefault="005D3F2C" w:rsidP="00183AC0">
      <w:pPr>
        <w:pStyle w:val="FootnoteText"/>
      </w:pPr>
      <w:r w:rsidRPr="009B5D41">
        <w:rPr>
          <w:rStyle w:val="FootnoteReference"/>
        </w:rPr>
        <w:footnoteRef/>
      </w:r>
      <w:r w:rsidRPr="009B5D41">
        <w:t xml:space="preserve"> </w:t>
      </w:r>
      <w:r>
        <w:t>Ibid, p 130, for example</w:t>
      </w:r>
      <w:r w:rsidRPr="009B5D41">
        <w:t>.</w:t>
      </w:r>
    </w:p>
  </w:footnote>
  <w:footnote w:id="179">
    <w:p w14:paraId="06832D95" w14:textId="6E85CAE1" w:rsidR="005D3F2C" w:rsidRDefault="005D3F2C" w:rsidP="00183AC0">
      <w:pPr>
        <w:pStyle w:val="FootnoteText"/>
      </w:pPr>
      <w:r>
        <w:rPr>
          <w:rStyle w:val="FootnoteReference"/>
        </w:rPr>
        <w:footnoteRef/>
      </w:r>
      <w:r>
        <w:t xml:space="preserve"> H Thomas ‘Shame, Masculinity and the Death of Thomas Becket’ (2012) 87 Speculum 1050, p 1055.</w:t>
      </w:r>
    </w:p>
  </w:footnote>
  <w:footnote w:id="180">
    <w:p w14:paraId="60785141" w14:textId="51ED7148" w:rsidR="005D3F2C" w:rsidRDefault="005D3F2C" w:rsidP="006703A0">
      <w:pPr>
        <w:pStyle w:val="FootnoteText"/>
      </w:pPr>
      <w:r>
        <w:rPr>
          <w:rStyle w:val="FootnoteReference"/>
        </w:rPr>
        <w:footnoteRef/>
      </w:r>
      <w:r>
        <w:t xml:space="preserve"> Thiery, p 56, above n 19</w:t>
      </w:r>
      <w:r w:rsidRPr="009B5D41">
        <w:t>.</w:t>
      </w:r>
    </w:p>
  </w:footnote>
  <w:footnote w:id="181">
    <w:p w14:paraId="1F280123" w14:textId="7825983E" w:rsidR="005D3F2C" w:rsidRPr="009B5D41" w:rsidRDefault="005D3F2C" w:rsidP="00183AC0">
      <w:pPr>
        <w:pStyle w:val="FootnoteText"/>
      </w:pPr>
      <w:r w:rsidRPr="009B5D41">
        <w:rPr>
          <w:rStyle w:val="FootnoteReference"/>
        </w:rPr>
        <w:footnoteRef/>
      </w:r>
      <w:r w:rsidRPr="009B5D41">
        <w:t xml:space="preserve"> </w:t>
      </w:r>
      <w:r>
        <w:rPr>
          <w:lang w:val="en-US"/>
        </w:rPr>
        <w:t>T</w:t>
      </w:r>
      <w:r w:rsidRPr="00BD7537">
        <w:rPr>
          <w:lang w:val="en-US"/>
        </w:rPr>
        <w:t>he Consistory Court having very close contact with the laity with jurisdiction over areas such as Wills &amp; Probate, testamentary matters and defamation</w:t>
      </w:r>
      <w:r>
        <w:t xml:space="preserve"> (A Willis </w:t>
      </w:r>
      <w:r w:rsidRPr="00CD57AD">
        <w:rPr>
          <w:i/>
        </w:rPr>
        <w:t>Winchest</w:t>
      </w:r>
      <w:r>
        <w:rPr>
          <w:i/>
        </w:rPr>
        <w:t>er Consistory Court Depositions</w:t>
      </w:r>
      <w:r w:rsidRPr="00CD57AD">
        <w:rPr>
          <w:i/>
        </w:rPr>
        <w:t xml:space="preserve"> 1561-1602</w:t>
      </w:r>
      <w:r>
        <w:t xml:space="preserve"> (Hambledon: AJ Willis, 1960) p 1, and </w:t>
      </w:r>
      <w:r w:rsidRPr="009B5D41">
        <w:t>Marchant</w:t>
      </w:r>
      <w:r>
        <w:t xml:space="preserve">, p </w:t>
      </w:r>
      <w:r w:rsidRPr="009B5D41">
        <w:t>64</w:t>
      </w:r>
      <w:r w:rsidR="001F62D2">
        <w:t>, above n 167</w:t>
      </w:r>
      <w:r>
        <w:t>)</w:t>
      </w:r>
      <w:r w:rsidRPr="009B5D41">
        <w:t>.</w:t>
      </w:r>
    </w:p>
  </w:footnote>
  <w:footnote w:id="182">
    <w:p w14:paraId="5CC05D20" w14:textId="576BB655" w:rsidR="005D3F2C" w:rsidRDefault="005D3F2C" w:rsidP="00183AC0">
      <w:pPr>
        <w:pStyle w:val="FootnoteText"/>
      </w:pPr>
      <w:r>
        <w:rPr>
          <w:rStyle w:val="FootnoteReference"/>
        </w:rPr>
        <w:footnoteRef/>
      </w:r>
      <w:r w:rsidR="001F62D2">
        <w:t xml:space="preserve"> Holdsworth, p 588, above n 170</w:t>
      </w:r>
      <w:r>
        <w:t>.</w:t>
      </w:r>
    </w:p>
  </w:footnote>
  <w:footnote w:id="183">
    <w:p w14:paraId="5AC1846B" w14:textId="320C8F80" w:rsidR="005D3F2C" w:rsidRDefault="005D3F2C" w:rsidP="00183AC0">
      <w:pPr>
        <w:pStyle w:val="FootnoteText"/>
      </w:pPr>
      <w:r>
        <w:rPr>
          <w:rStyle w:val="FootnoteReference"/>
        </w:rPr>
        <w:footnoteRef/>
      </w:r>
      <w:r>
        <w:t xml:space="preserve"> </w:t>
      </w:r>
      <w:r w:rsidRPr="00BD7537">
        <w:rPr>
          <w:lang w:val="en-US"/>
        </w:rPr>
        <w:t>Canon Law giving way to the King’s Ecclesiastical Law of the Church of England</w:t>
      </w:r>
      <w:r w:rsidR="001F62D2">
        <w:t xml:space="preserve"> (Holdsworth, p 598, above n 170</w:t>
      </w:r>
      <w:r>
        <w:t>).</w:t>
      </w:r>
    </w:p>
  </w:footnote>
  <w:footnote w:id="184">
    <w:p w14:paraId="4D01D702" w14:textId="6C0A4AD1" w:rsidR="005D3F2C" w:rsidRDefault="005D3F2C" w:rsidP="00183AC0">
      <w:pPr>
        <w:pStyle w:val="FootnoteText"/>
      </w:pPr>
      <w:r>
        <w:rPr>
          <w:rStyle w:val="FootnoteReference"/>
        </w:rPr>
        <w:footnoteRef/>
      </w:r>
      <w:r>
        <w:t xml:space="preserve"> E Tomalin </w:t>
      </w:r>
      <w:r>
        <w:rPr>
          <w:i/>
        </w:rPr>
        <w:t>Biodiversity and</w:t>
      </w:r>
      <w:r w:rsidRPr="0072095E">
        <w:rPr>
          <w:i/>
        </w:rPr>
        <w:t xml:space="preserve"> Biodivinity</w:t>
      </w:r>
      <w:r>
        <w:t xml:space="preserve"> (Farnham: Ashgate, 2009) p 14. </w:t>
      </w:r>
    </w:p>
  </w:footnote>
  <w:footnote w:id="185">
    <w:p w14:paraId="20AE2756" w14:textId="3D9E467A" w:rsidR="005D3F2C" w:rsidRPr="009B5D41" w:rsidRDefault="005D3F2C" w:rsidP="00183AC0">
      <w:pPr>
        <w:pStyle w:val="FootnoteText"/>
      </w:pPr>
      <w:r w:rsidRPr="009B5D41">
        <w:rPr>
          <w:rStyle w:val="FootnoteReference"/>
        </w:rPr>
        <w:footnoteRef/>
      </w:r>
      <w:r w:rsidRPr="009B5D41">
        <w:t xml:space="preserve"> Marchant</w:t>
      </w:r>
      <w:r>
        <w:t xml:space="preserve">, p </w:t>
      </w:r>
      <w:r w:rsidRPr="009B5D41">
        <w:t>221</w:t>
      </w:r>
      <w:r w:rsidR="001F62D2">
        <w:t>, above n 167</w:t>
      </w:r>
      <w:r w:rsidRPr="009B5D41">
        <w:t>.</w:t>
      </w:r>
    </w:p>
  </w:footnote>
  <w:footnote w:id="186">
    <w:p w14:paraId="5427DDF7" w14:textId="327988FC" w:rsidR="005D3F2C" w:rsidRPr="009B5D41" w:rsidRDefault="005D3F2C" w:rsidP="00183AC0">
      <w:pPr>
        <w:pStyle w:val="FootnoteText"/>
      </w:pPr>
      <w:r w:rsidRPr="009B5D41">
        <w:rPr>
          <w:rStyle w:val="FootnoteReference"/>
        </w:rPr>
        <w:footnoteRef/>
      </w:r>
      <w:r w:rsidRPr="009B5D41">
        <w:t xml:space="preserve"> </w:t>
      </w:r>
      <w:r>
        <w:t xml:space="preserve">Ibid, p </w:t>
      </w:r>
      <w:r w:rsidRPr="009B5D41">
        <w:t>227.</w:t>
      </w:r>
    </w:p>
  </w:footnote>
  <w:footnote w:id="187">
    <w:p w14:paraId="7A15F413" w14:textId="07D1B88C" w:rsidR="005D3F2C" w:rsidRDefault="005D3F2C" w:rsidP="00183AC0">
      <w:pPr>
        <w:pStyle w:val="FootnoteText"/>
      </w:pPr>
      <w:r w:rsidRPr="00846AB6">
        <w:rPr>
          <w:rStyle w:val="FootnoteReference"/>
        </w:rPr>
        <w:footnoteRef/>
      </w:r>
      <w:r w:rsidRPr="00846AB6">
        <w:t xml:space="preserve"> Hill</w:t>
      </w:r>
      <w:r>
        <w:t>, p</w:t>
      </w:r>
      <w:r w:rsidRPr="00846AB6">
        <w:t xml:space="preserve"> 11</w:t>
      </w:r>
      <w:r w:rsidR="001F62D2">
        <w:t>, above n 73</w:t>
      </w:r>
      <w:r w:rsidRPr="00846AB6">
        <w:t>.</w:t>
      </w:r>
    </w:p>
  </w:footnote>
  <w:footnote w:id="188">
    <w:p w14:paraId="37416D72" w14:textId="0C21A105" w:rsidR="005D3F2C" w:rsidRDefault="005D3F2C" w:rsidP="001F6A33">
      <w:pPr>
        <w:pStyle w:val="FootnoteText"/>
      </w:pPr>
      <w:r>
        <w:rPr>
          <w:rStyle w:val="FootnoteReference"/>
        </w:rPr>
        <w:footnoteRef/>
      </w:r>
      <w:r>
        <w:t xml:space="preserve"> Coyle and Morrow, p 12, above n 87.</w:t>
      </w:r>
    </w:p>
  </w:footnote>
  <w:footnote w:id="189">
    <w:p w14:paraId="641081A8" w14:textId="7D06065C" w:rsidR="005D3F2C" w:rsidRDefault="005D3F2C" w:rsidP="00183AC0">
      <w:pPr>
        <w:pStyle w:val="FootnoteText"/>
      </w:pPr>
      <w:r>
        <w:rPr>
          <w:rStyle w:val="FootnoteReference"/>
        </w:rPr>
        <w:footnoteRef/>
      </w:r>
      <w:r>
        <w:t xml:space="preserve"> Outhwaite, </w:t>
      </w:r>
      <w:r w:rsidRPr="003131A3">
        <w:t>p</w:t>
      </w:r>
      <w:r>
        <w:t xml:space="preserve"> </w:t>
      </w:r>
      <w:r w:rsidRPr="003131A3">
        <w:t>84</w:t>
      </w:r>
      <w:r w:rsidR="00FD263D">
        <w:t>, above n 70</w:t>
      </w:r>
      <w:r w:rsidRPr="003131A3">
        <w:t>. Discipline of the laity being legally terminated through a series of Acts.</w:t>
      </w:r>
    </w:p>
  </w:footnote>
  <w:footnote w:id="190">
    <w:p w14:paraId="684B02AA" w14:textId="0531B79E" w:rsidR="005D3F2C" w:rsidRPr="006B6C6C" w:rsidRDefault="005D3F2C" w:rsidP="00183AC0">
      <w:pPr>
        <w:rPr>
          <w:rFonts w:ascii="Times New Roman" w:hAnsi="Times New Roman" w:cs="Times New Roman"/>
          <w:sz w:val="22"/>
          <w:szCs w:val="22"/>
        </w:rPr>
      </w:pPr>
      <w:r w:rsidRPr="005B5D77">
        <w:rPr>
          <w:rStyle w:val="FootnoteReference"/>
          <w:rFonts w:ascii="Times New Roman" w:hAnsi="Times New Roman"/>
          <w:sz w:val="22"/>
        </w:rPr>
        <w:footnoteRef/>
      </w:r>
      <w:r w:rsidRPr="005B5D77">
        <w:rPr>
          <w:rFonts w:ascii="Times New Roman" w:hAnsi="Times New Roman"/>
          <w:sz w:val="22"/>
        </w:rPr>
        <w:t xml:space="preserve"> See </w:t>
      </w:r>
      <w:r w:rsidRPr="00B97CEB">
        <w:rPr>
          <w:rFonts w:ascii="Times New Roman" w:hAnsi="Times New Roman"/>
          <w:sz w:val="22"/>
        </w:rPr>
        <w:t>Bell, McGill</w:t>
      </w:r>
      <w:r>
        <w:rPr>
          <w:rFonts w:ascii="Times New Roman" w:hAnsi="Times New Roman"/>
          <w:sz w:val="22"/>
        </w:rPr>
        <w:t>ivray and</w:t>
      </w:r>
      <w:r w:rsidRPr="00B97CEB">
        <w:rPr>
          <w:rFonts w:ascii="Times New Roman" w:hAnsi="Times New Roman"/>
          <w:sz w:val="22"/>
        </w:rPr>
        <w:t xml:space="preserve"> Pedersen</w:t>
      </w:r>
      <w:r w:rsidRPr="006B6C6C">
        <w:rPr>
          <w:rFonts w:ascii="Times New Roman" w:hAnsi="Times New Roman" w:cs="Times New Roman"/>
          <w:sz w:val="22"/>
          <w:szCs w:val="22"/>
        </w:rPr>
        <w:t>, pp 44-56</w:t>
      </w:r>
      <w:r>
        <w:rPr>
          <w:rFonts w:ascii="Times New Roman" w:hAnsi="Times New Roman"/>
          <w:sz w:val="22"/>
        </w:rPr>
        <w:t xml:space="preserve">, above n </w:t>
      </w:r>
      <w:r w:rsidR="00FD263D">
        <w:rPr>
          <w:rFonts w:ascii="Times New Roman" w:hAnsi="Times New Roman" w:cs="Times New Roman"/>
          <w:sz w:val="22"/>
          <w:szCs w:val="22"/>
        </w:rPr>
        <w:t>150</w:t>
      </w:r>
      <w:r w:rsidRPr="006B6C6C">
        <w:rPr>
          <w:rFonts w:ascii="Times New Roman" w:hAnsi="Times New Roman" w:cs="Times New Roman"/>
          <w:sz w:val="22"/>
          <w:szCs w:val="22"/>
        </w:rPr>
        <w:t>.</w:t>
      </w:r>
    </w:p>
  </w:footnote>
  <w:footnote w:id="191">
    <w:p w14:paraId="20B21E88" w14:textId="29E92DAF" w:rsidR="005D3F2C" w:rsidRPr="005B5D77" w:rsidRDefault="005D3F2C" w:rsidP="00183AC0">
      <w:pPr>
        <w:pStyle w:val="FootnoteText"/>
      </w:pPr>
      <w:r w:rsidRPr="005B5D77">
        <w:rPr>
          <w:rStyle w:val="FootnoteReference"/>
        </w:rPr>
        <w:footnoteRef/>
      </w:r>
      <w:r w:rsidRPr="005B5D77">
        <w:t xml:space="preserve"> </w:t>
      </w:r>
      <w:r>
        <w:t>O Pedersen</w:t>
      </w:r>
      <w:r w:rsidRPr="00EE539D">
        <w:t xml:space="preserve"> ‘Modest Pragmatic </w:t>
      </w:r>
      <w:r w:rsidRPr="00EE539D">
        <w:rPr>
          <w:bCs/>
          <w:lang w:val="en-US"/>
        </w:rPr>
        <w:t>Lessons for a Diverse and Incoherent Environmental Law</w:t>
      </w:r>
      <w:r>
        <w:rPr>
          <w:bCs/>
          <w:lang w:val="en-US"/>
        </w:rPr>
        <w:t xml:space="preserve">’ </w:t>
      </w:r>
      <w:r>
        <w:t xml:space="preserve">[2013] 33 OJLS 33 103, p </w:t>
      </w:r>
      <w:r w:rsidRPr="005B5D77">
        <w:t>106.</w:t>
      </w:r>
    </w:p>
  </w:footnote>
  <w:footnote w:id="192">
    <w:p w14:paraId="6C4A1B06" w14:textId="5D137781" w:rsidR="005D3F2C" w:rsidRPr="00DE1932" w:rsidRDefault="005D3F2C" w:rsidP="00183AC0">
      <w:pPr>
        <w:pStyle w:val="FootnoteText"/>
      </w:pPr>
      <w:r w:rsidRPr="00DE1932">
        <w:rPr>
          <w:rStyle w:val="FootnoteReference"/>
        </w:rPr>
        <w:footnoteRef/>
      </w:r>
      <w:r w:rsidRPr="00DE1932">
        <w:t xml:space="preserve"> </w:t>
      </w:r>
      <w:r>
        <w:t xml:space="preserve">Ibid, p </w:t>
      </w:r>
      <w:r w:rsidRPr="00DE1932">
        <w:t>110.</w:t>
      </w:r>
    </w:p>
  </w:footnote>
  <w:footnote w:id="193">
    <w:p w14:paraId="71FBAA4A" w14:textId="6A8814B8" w:rsidR="005D3F2C" w:rsidRPr="00DE1932" w:rsidRDefault="005D3F2C" w:rsidP="00183AC0">
      <w:pPr>
        <w:pStyle w:val="FootnoteText"/>
      </w:pPr>
      <w:r w:rsidRPr="00DE1932">
        <w:rPr>
          <w:rStyle w:val="FootnoteReference"/>
        </w:rPr>
        <w:footnoteRef/>
      </w:r>
      <w:r w:rsidRPr="00DE1932">
        <w:t xml:space="preserve"> </w:t>
      </w:r>
      <w:r>
        <w:t xml:space="preserve">Ibid, p </w:t>
      </w:r>
      <w:r w:rsidRPr="00DE1932">
        <w:t>125.</w:t>
      </w:r>
    </w:p>
  </w:footnote>
  <w:footnote w:id="194">
    <w:p w14:paraId="19DD908F" w14:textId="650D6C9F" w:rsidR="005D3F2C" w:rsidRPr="005B0854" w:rsidRDefault="005D3F2C">
      <w:pPr>
        <w:pStyle w:val="FootnoteText"/>
        <w:rPr>
          <w:lang w:val="en-US"/>
        </w:rPr>
      </w:pPr>
      <w:r>
        <w:rPr>
          <w:rStyle w:val="FootnoteReference"/>
        </w:rPr>
        <w:footnoteRef/>
      </w:r>
      <w:r>
        <w:t xml:space="preserve"> </w:t>
      </w:r>
      <w:r w:rsidRPr="003657B3">
        <w:t xml:space="preserve">J </w:t>
      </w:r>
      <w:r w:rsidRPr="003657B3">
        <w:rPr>
          <w:lang w:val="en-US"/>
        </w:rPr>
        <w:t xml:space="preserve">Holder and D McGillivray </w:t>
      </w:r>
      <w:r>
        <w:rPr>
          <w:lang w:val="en-US"/>
        </w:rPr>
        <w:t>(eds.)</w:t>
      </w:r>
      <w:r w:rsidRPr="003657B3">
        <w:rPr>
          <w:lang w:val="en-US"/>
        </w:rPr>
        <w:t xml:space="preserve"> </w:t>
      </w:r>
      <w:r w:rsidRPr="003657B3">
        <w:rPr>
          <w:i/>
          <w:lang w:val="en-US"/>
        </w:rPr>
        <w:t>Locality and Identity: Environmental Issues in Law and Society</w:t>
      </w:r>
      <w:r w:rsidRPr="003657B3">
        <w:rPr>
          <w:lang w:val="en-US"/>
        </w:rPr>
        <w:t xml:space="preserve"> (Ashgate: Dartmouth, 1999) at p 10.</w:t>
      </w:r>
    </w:p>
  </w:footnote>
  <w:footnote w:id="195">
    <w:p w14:paraId="478CDD0B" w14:textId="3B68B024" w:rsidR="005D3F2C" w:rsidRPr="00517BA6" w:rsidRDefault="005D3F2C" w:rsidP="00517BA6">
      <w:pPr>
        <w:pStyle w:val="FootnoteText"/>
        <w:rPr>
          <w:b/>
          <w:bCs/>
          <w:lang w:val="en-US"/>
        </w:rPr>
      </w:pPr>
      <w:r>
        <w:rPr>
          <w:rStyle w:val="FootnoteReference"/>
        </w:rPr>
        <w:footnoteRef/>
      </w:r>
      <w:r>
        <w:t xml:space="preserve"> B Karkkainen ‘NEPA and the curious evolution of environmental impact assessment in the </w:t>
      </w:r>
      <w:r w:rsidRPr="009E4923">
        <w:t xml:space="preserve">United States’ in J </w:t>
      </w:r>
      <w:r w:rsidRPr="009E4923">
        <w:rPr>
          <w:lang w:val="en-US"/>
        </w:rPr>
        <w:t xml:space="preserve">Holder and D McGillivray (eds.) </w:t>
      </w:r>
      <w:r w:rsidRPr="009E4923">
        <w:rPr>
          <w:bCs/>
          <w:i/>
          <w:lang w:val="en-US"/>
        </w:rPr>
        <w:t xml:space="preserve">Taking Stock of Environmental Assessment: Law, Policy and Practice </w:t>
      </w:r>
      <w:r w:rsidRPr="009E4923">
        <w:rPr>
          <w:bCs/>
          <w:lang w:val="en-US"/>
        </w:rPr>
        <w:t>(Abingdon: Routledge Cavendish, 2007)</w:t>
      </w:r>
      <w:r w:rsidRPr="009E4923">
        <w:rPr>
          <w:lang w:val="en-US"/>
        </w:rPr>
        <w:t> p 49.</w:t>
      </w:r>
      <w:r>
        <w:rPr>
          <w:lang w:val="en-US"/>
        </w:rPr>
        <w:t xml:space="preserve">  </w:t>
      </w:r>
    </w:p>
  </w:footnote>
  <w:footnote w:id="196">
    <w:p w14:paraId="1456074E" w14:textId="201CBEE7" w:rsidR="005D3F2C" w:rsidRPr="00517BA6" w:rsidRDefault="005D3F2C">
      <w:pPr>
        <w:pStyle w:val="FootnoteText"/>
        <w:rPr>
          <w:lang w:val="en-US"/>
        </w:rPr>
      </w:pPr>
      <w:r>
        <w:rPr>
          <w:rStyle w:val="FootnoteReference"/>
        </w:rPr>
        <w:footnoteRef/>
      </w:r>
      <w:r>
        <w:t xml:space="preserve"> </w:t>
      </w:r>
      <w:r>
        <w:rPr>
          <w:lang w:val="en-US"/>
        </w:rPr>
        <w:t>A</w:t>
      </w:r>
      <w:r w:rsidRPr="00517BA6">
        <w:rPr>
          <w:lang w:val="en-US"/>
        </w:rPr>
        <w:t xml:space="preserve">lso known as </w:t>
      </w:r>
      <w:r>
        <w:rPr>
          <w:lang w:val="en-US"/>
        </w:rPr>
        <w:t>‘</w:t>
      </w:r>
      <w:r w:rsidRPr="00517BA6">
        <w:rPr>
          <w:lang w:val="en-US"/>
        </w:rPr>
        <w:t>CERCLA</w:t>
      </w:r>
      <w:r>
        <w:rPr>
          <w:lang w:val="en-US"/>
        </w:rPr>
        <w:t>’</w:t>
      </w:r>
      <w:r w:rsidRPr="00517BA6">
        <w:rPr>
          <w:lang w:val="en-US"/>
        </w:rPr>
        <w:t xml:space="preserve"> or </w:t>
      </w:r>
      <w:r>
        <w:rPr>
          <w:lang w:val="en-US"/>
        </w:rPr>
        <w:t>‘</w:t>
      </w:r>
      <w:r w:rsidRPr="00517BA6">
        <w:rPr>
          <w:lang w:val="en-US"/>
        </w:rPr>
        <w:t>Superfund</w:t>
      </w:r>
      <w:r>
        <w:rPr>
          <w:lang w:val="en-US"/>
        </w:rPr>
        <w:t>’.</w:t>
      </w:r>
    </w:p>
  </w:footnote>
  <w:footnote w:id="197">
    <w:p w14:paraId="56661239" w14:textId="355EDA7E" w:rsidR="005D3F2C" w:rsidRPr="005F2BFE" w:rsidRDefault="005D3F2C">
      <w:pPr>
        <w:pStyle w:val="FootnoteText"/>
        <w:rPr>
          <w:lang w:val="en-US"/>
        </w:rPr>
      </w:pPr>
      <w:r>
        <w:rPr>
          <w:rStyle w:val="FootnoteReference"/>
        </w:rPr>
        <w:footnoteRef/>
      </w:r>
      <w:r>
        <w:t xml:space="preserve"> </w:t>
      </w:r>
      <w:r>
        <w:rPr>
          <w:lang w:val="en-US"/>
        </w:rPr>
        <w:t>See, for example</w:t>
      </w:r>
      <w:r w:rsidRPr="0092173B">
        <w:rPr>
          <w:lang w:val="en-US"/>
        </w:rPr>
        <w:t xml:space="preserve">, S Tromans and R Turrall-Clarke </w:t>
      </w:r>
      <w:r w:rsidRPr="0092173B">
        <w:rPr>
          <w:i/>
          <w:lang w:val="en-US"/>
        </w:rPr>
        <w:t xml:space="preserve">Contaminated Land: The New Regime </w:t>
      </w:r>
      <w:r w:rsidRPr="0092173B">
        <w:rPr>
          <w:lang w:val="en-US"/>
        </w:rPr>
        <w:t>(</w:t>
      </w:r>
      <w:r>
        <w:rPr>
          <w:lang w:val="en-US"/>
        </w:rPr>
        <w:t>2</w:t>
      </w:r>
      <w:r w:rsidRPr="0092173B">
        <w:rPr>
          <w:vertAlign w:val="superscript"/>
          <w:lang w:val="en-US"/>
        </w:rPr>
        <w:t>nd</w:t>
      </w:r>
      <w:r>
        <w:rPr>
          <w:lang w:val="en-US"/>
        </w:rPr>
        <w:t xml:space="preserve"> ed.) (</w:t>
      </w:r>
      <w:r w:rsidRPr="0092173B">
        <w:rPr>
          <w:lang w:val="en-US"/>
        </w:rPr>
        <w:t>London</w:t>
      </w:r>
      <w:r>
        <w:rPr>
          <w:lang w:val="en-US"/>
        </w:rPr>
        <w:t>:</w:t>
      </w:r>
      <w:r w:rsidRPr="0092173B">
        <w:rPr>
          <w:lang w:val="en-US"/>
        </w:rPr>
        <w:t xml:space="preserve"> Sweet and Maxwell,</w:t>
      </w:r>
      <w:r>
        <w:rPr>
          <w:lang w:val="en-US"/>
        </w:rPr>
        <w:t xml:space="preserve"> 2007</w:t>
      </w:r>
      <w:r w:rsidRPr="0092173B">
        <w:rPr>
          <w:lang w:val="en-US"/>
        </w:rPr>
        <w:t>) p 7.</w:t>
      </w:r>
    </w:p>
  </w:footnote>
  <w:footnote w:id="198">
    <w:p w14:paraId="5EC0D57D" w14:textId="2BE3536A" w:rsidR="005D3F2C" w:rsidRPr="00DE1932" w:rsidRDefault="005D3F2C" w:rsidP="00183AC0">
      <w:pPr>
        <w:rPr>
          <w:rFonts w:ascii="Times New Roman" w:hAnsi="Times New Roman"/>
          <w:sz w:val="22"/>
        </w:rPr>
      </w:pPr>
      <w:r w:rsidRPr="00DE1932">
        <w:rPr>
          <w:rStyle w:val="FootnoteReference"/>
          <w:rFonts w:ascii="Times New Roman" w:hAnsi="Times New Roman"/>
          <w:sz w:val="22"/>
        </w:rPr>
        <w:footnoteRef/>
      </w:r>
      <w:r w:rsidRPr="00DE1932">
        <w:rPr>
          <w:rFonts w:ascii="Times New Roman" w:hAnsi="Times New Roman"/>
          <w:sz w:val="22"/>
        </w:rPr>
        <w:t xml:space="preserve"> </w:t>
      </w:r>
      <w:r w:rsidRPr="00B97CEB">
        <w:rPr>
          <w:rFonts w:ascii="Times New Roman" w:hAnsi="Times New Roman"/>
          <w:sz w:val="22"/>
        </w:rPr>
        <w:t>Bell, McGill</w:t>
      </w:r>
      <w:r>
        <w:rPr>
          <w:rFonts w:ascii="Times New Roman" w:hAnsi="Times New Roman"/>
          <w:sz w:val="22"/>
        </w:rPr>
        <w:t>ivray and</w:t>
      </w:r>
      <w:r w:rsidRPr="00B97CEB">
        <w:rPr>
          <w:rFonts w:ascii="Times New Roman" w:hAnsi="Times New Roman"/>
          <w:sz w:val="22"/>
        </w:rPr>
        <w:t xml:space="preserve"> Pedersen</w:t>
      </w:r>
      <w:r w:rsidR="00FD263D">
        <w:rPr>
          <w:rFonts w:ascii="Times New Roman" w:hAnsi="Times New Roman"/>
          <w:sz w:val="22"/>
        </w:rPr>
        <w:t>, p 50, above n 150</w:t>
      </w:r>
      <w:r w:rsidRPr="00DE1932">
        <w:rPr>
          <w:rFonts w:ascii="Times New Roman" w:hAnsi="Times New Roman"/>
          <w:sz w:val="22"/>
        </w:rPr>
        <w:t>.</w:t>
      </w:r>
    </w:p>
  </w:footnote>
  <w:footnote w:id="199">
    <w:p w14:paraId="26CAF8F3" w14:textId="158A88B7" w:rsidR="005D3F2C" w:rsidRPr="009B5D41" w:rsidRDefault="005D3F2C" w:rsidP="000D4D83">
      <w:pPr>
        <w:pStyle w:val="FootnoteText"/>
      </w:pPr>
      <w:r w:rsidRPr="009B5D41">
        <w:rPr>
          <w:rStyle w:val="FootnoteReference"/>
        </w:rPr>
        <w:footnoteRef/>
      </w:r>
      <w:r w:rsidRPr="009B5D41">
        <w:t xml:space="preserve"> </w:t>
      </w:r>
      <w:r>
        <w:t xml:space="preserve">R </w:t>
      </w:r>
      <w:r w:rsidRPr="009B5D41">
        <w:t xml:space="preserve">Nadeu </w:t>
      </w:r>
      <w:r w:rsidRPr="00DC5BF9">
        <w:rPr>
          <w:i/>
        </w:rPr>
        <w:t>Rebirth of the Sacred</w:t>
      </w:r>
      <w:r>
        <w:t xml:space="preserve"> (Oxford: OUP, 2012) p </w:t>
      </w:r>
      <w:r w:rsidRPr="009B5D41">
        <w:t>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F19F3"/>
    <w:multiLevelType w:val="hybridMultilevel"/>
    <w:tmpl w:val="46B6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9F092B"/>
    <w:multiLevelType w:val="hybridMultilevel"/>
    <w:tmpl w:val="CF00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5D06FC"/>
    <w:multiLevelType w:val="hybridMultilevel"/>
    <w:tmpl w:val="39BA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4E3C2F"/>
    <w:multiLevelType w:val="hybridMultilevel"/>
    <w:tmpl w:val="C2F0E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AC0"/>
    <w:rsid w:val="000007DA"/>
    <w:rsid w:val="00002FB4"/>
    <w:rsid w:val="000030CE"/>
    <w:rsid w:val="000074B0"/>
    <w:rsid w:val="00017418"/>
    <w:rsid w:val="000217C8"/>
    <w:rsid w:val="00021F02"/>
    <w:rsid w:val="00037438"/>
    <w:rsid w:val="00042963"/>
    <w:rsid w:val="000433DE"/>
    <w:rsid w:val="000456C5"/>
    <w:rsid w:val="00053BFF"/>
    <w:rsid w:val="00055F8F"/>
    <w:rsid w:val="00062975"/>
    <w:rsid w:val="00066368"/>
    <w:rsid w:val="0006649C"/>
    <w:rsid w:val="000752AA"/>
    <w:rsid w:val="00076ACA"/>
    <w:rsid w:val="00091530"/>
    <w:rsid w:val="000A68AC"/>
    <w:rsid w:val="000B0BCA"/>
    <w:rsid w:val="000B114C"/>
    <w:rsid w:val="000C4A24"/>
    <w:rsid w:val="000D4D83"/>
    <w:rsid w:val="000D5966"/>
    <w:rsid w:val="000E3324"/>
    <w:rsid w:val="000E499B"/>
    <w:rsid w:val="000F3CE2"/>
    <w:rsid w:val="000F5EA9"/>
    <w:rsid w:val="001125E2"/>
    <w:rsid w:val="00134706"/>
    <w:rsid w:val="00134B5D"/>
    <w:rsid w:val="00134C56"/>
    <w:rsid w:val="00135BC7"/>
    <w:rsid w:val="0015193E"/>
    <w:rsid w:val="00155185"/>
    <w:rsid w:val="00155DA5"/>
    <w:rsid w:val="00161707"/>
    <w:rsid w:val="00163A67"/>
    <w:rsid w:val="0017372E"/>
    <w:rsid w:val="001806D0"/>
    <w:rsid w:val="00180962"/>
    <w:rsid w:val="00183AC0"/>
    <w:rsid w:val="001875C4"/>
    <w:rsid w:val="00196C36"/>
    <w:rsid w:val="001A0A18"/>
    <w:rsid w:val="001A0AC1"/>
    <w:rsid w:val="001A24B4"/>
    <w:rsid w:val="001B02AE"/>
    <w:rsid w:val="001B305B"/>
    <w:rsid w:val="001B5201"/>
    <w:rsid w:val="001C42E0"/>
    <w:rsid w:val="001D04D1"/>
    <w:rsid w:val="001E507F"/>
    <w:rsid w:val="001F2466"/>
    <w:rsid w:val="001F3ED9"/>
    <w:rsid w:val="001F460D"/>
    <w:rsid w:val="001F62D2"/>
    <w:rsid w:val="001F6A33"/>
    <w:rsid w:val="00206C6B"/>
    <w:rsid w:val="00224DE7"/>
    <w:rsid w:val="002340C0"/>
    <w:rsid w:val="002509C7"/>
    <w:rsid w:val="002542D6"/>
    <w:rsid w:val="00255AF8"/>
    <w:rsid w:val="00257747"/>
    <w:rsid w:val="00262E3C"/>
    <w:rsid w:val="002749AC"/>
    <w:rsid w:val="002854F8"/>
    <w:rsid w:val="00285934"/>
    <w:rsid w:val="002A415D"/>
    <w:rsid w:val="002C4E69"/>
    <w:rsid w:val="002F0DC0"/>
    <w:rsid w:val="00300A9F"/>
    <w:rsid w:val="00301854"/>
    <w:rsid w:val="00317414"/>
    <w:rsid w:val="00317503"/>
    <w:rsid w:val="0032390B"/>
    <w:rsid w:val="00340D10"/>
    <w:rsid w:val="00342EE6"/>
    <w:rsid w:val="00350960"/>
    <w:rsid w:val="0035146C"/>
    <w:rsid w:val="00352750"/>
    <w:rsid w:val="00356ED6"/>
    <w:rsid w:val="00360B7B"/>
    <w:rsid w:val="003628F9"/>
    <w:rsid w:val="0036491B"/>
    <w:rsid w:val="003657B3"/>
    <w:rsid w:val="003716D6"/>
    <w:rsid w:val="00393286"/>
    <w:rsid w:val="0039464A"/>
    <w:rsid w:val="00396BEB"/>
    <w:rsid w:val="003A2282"/>
    <w:rsid w:val="003A3890"/>
    <w:rsid w:val="003E0052"/>
    <w:rsid w:val="003F3891"/>
    <w:rsid w:val="0041218A"/>
    <w:rsid w:val="00425C60"/>
    <w:rsid w:val="00441B7E"/>
    <w:rsid w:val="004444D4"/>
    <w:rsid w:val="00452E8B"/>
    <w:rsid w:val="00453589"/>
    <w:rsid w:val="00460253"/>
    <w:rsid w:val="00463402"/>
    <w:rsid w:val="00463DF6"/>
    <w:rsid w:val="00475CB9"/>
    <w:rsid w:val="004841BC"/>
    <w:rsid w:val="004848E9"/>
    <w:rsid w:val="00484AD2"/>
    <w:rsid w:val="00487DA3"/>
    <w:rsid w:val="004A5619"/>
    <w:rsid w:val="004B21BA"/>
    <w:rsid w:val="004D5020"/>
    <w:rsid w:val="004E5B4E"/>
    <w:rsid w:val="004F1AEA"/>
    <w:rsid w:val="005008C2"/>
    <w:rsid w:val="00507444"/>
    <w:rsid w:val="00512F66"/>
    <w:rsid w:val="00517BA6"/>
    <w:rsid w:val="0054345F"/>
    <w:rsid w:val="00545970"/>
    <w:rsid w:val="005477DB"/>
    <w:rsid w:val="005754FF"/>
    <w:rsid w:val="0057731F"/>
    <w:rsid w:val="0057784B"/>
    <w:rsid w:val="005816B7"/>
    <w:rsid w:val="005830A4"/>
    <w:rsid w:val="00590311"/>
    <w:rsid w:val="005B0854"/>
    <w:rsid w:val="005D3CAD"/>
    <w:rsid w:val="005D3F2C"/>
    <w:rsid w:val="005E23F2"/>
    <w:rsid w:val="005E5A76"/>
    <w:rsid w:val="005F117A"/>
    <w:rsid w:val="005F2BFE"/>
    <w:rsid w:val="005F459D"/>
    <w:rsid w:val="005F744D"/>
    <w:rsid w:val="00603551"/>
    <w:rsid w:val="006102D8"/>
    <w:rsid w:val="0061438B"/>
    <w:rsid w:val="00634C6E"/>
    <w:rsid w:val="00640F6D"/>
    <w:rsid w:val="006433A8"/>
    <w:rsid w:val="00652DED"/>
    <w:rsid w:val="00660FB5"/>
    <w:rsid w:val="00663413"/>
    <w:rsid w:val="006703A0"/>
    <w:rsid w:val="00697D77"/>
    <w:rsid w:val="006B6C6C"/>
    <w:rsid w:val="006C08DB"/>
    <w:rsid w:val="006C7F50"/>
    <w:rsid w:val="006D32E5"/>
    <w:rsid w:val="006E2315"/>
    <w:rsid w:val="006E7FA1"/>
    <w:rsid w:val="0070007A"/>
    <w:rsid w:val="00715738"/>
    <w:rsid w:val="0072095E"/>
    <w:rsid w:val="00722FAA"/>
    <w:rsid w:val="00750C05"/>
    <w:rsid w:val="00750D64"/>
    <w:rsid w:val="007520B0"/>
    <w:rsid w:val="00754C2D"/>
    <w:rsid w:val="00763A58"/>
    <w:rsid w:val="007717AD"/>
    <w:rsid w:val="00783D5E"/>
    <w:rsid w:val="00786E8F"/>
    <w:rsid w:val="0079788B"/>
    <w:rsid w:val="007B1242"/>
    <w:rsid w:val="007B45E8"/>
    <w:rsid w:val="007C764D"/>
    <w:rsid w:val="007E33CA"/>
    <w:rsid w:val="007F0311"/>
    <w:rsid w:val="00800061"/>
    <w:rsid w:val="00805501"/>
    <w:rsid w:val="008063B0"/>
    <w:rsid w:val="008077F9"/>
    <w:rsid w:val="00817A5D"/>
    <w:rsid w:val="00823FA0"/>
    <w:rsid w:val="0082405C"/>
    <w:rsid w:val="00826227"/>
    <w:rsid w:val="008276E1"/>
    <w:rsid w:val="0083167D"/>
    <w:rsid w:val="0084576E"/>
    <w:rsid w:val="00850873"/>
    <w:rsid w:val="008547B2"/>
    <w:rsid w:val="008654BD"/>
    <w:rsid w:val="0087048A"/>
    <w:rsid w:val="00873C8D"/>
    <w:rsid w:val="00893B44"/>
    <w:rsid w:val="008949D8"/>
    <w:rsid w:val="008C43AA"/>
    <w:rsid w:val="008C6D01"/>
    <w:rsid w:val="008D057F"/>
    <w:rsid w:val="008D1EA3"/>
    <w:rsid w:val="008E1A28"/>
    <w:rsid w:val="00900946"/>
    <w:rsid w:val="009066CE"/>
    <w:rsid w:val="009076F8"/>
    <w:rsid w:val="00912115"/>
    <w:rsid w:val="00917046"/>
    <w:rsid w:val="009206C2"/>
    <w:rsid w:val="0092173B"/>
    <w:rsid w:val="009362ED"/>
    <w:rsid w:val="009442A5"/>
    <w:rsid w:val="00946064"/>
    <w:rsid w:val="00963183"/>
    <w:rsid w:val="009631A9"/>
    <w:rsid w:val="00967BA5"/>
    <w:rsid w:val="00984B6C"/>
    <w:rsid w:val="00993F84"/>
    <w:rsid w:val="009D5E8C"/>
    <w:rsid w:val="009E172B"/>
    <w:rsid w:val="009E4923"/>
    <w:rsid w:val="009E7DAA"/>
    <w:rsid w:val="009F05DF"/>
    <w:rsid w:val="009F2718"/>
    <w:rsid w:val="00A25CEA"/>
    <w:rsid w:val="00A32F37"/>
    <w:rsid w:val="00A4014B"/>
    <w:rsid w:val="00A458C0"/>
    <w:rsid w:val="00A60D99"/>
    <w:rsid w:val="00A85244"/>
    <w:rsid w:val="00A902BD"/>
    <w:rsid w:val="00A91CEF"/>
    <w:rsid w:val="00A963D1"/>
    <w:rsid w:val="00AA7438"/>
    <w:rsid w:val="00AC117E"/>
    <w:rsid w:val="00AC2FCA"/>
    <w:rsid w:val="00AD7BC5"/>
    <w:rsid w:val="00AE1055"/>
    <w:rsid w:val="00AF3975"/>
    <w:rsid w:val="00B047E8"/>
    <w:rsid w:val="00B07D54"/>
    <w:rsid w:val="00B12316"/>
    <w:rsid w:val="00B24A58"/>
    <w:rsid w:val="00B332D8"/>
    <w:rsid w:val="00B42C27"/>
    <w:rsid w:val="00B42EB8"/>
    <w:rsid w:val="00B51458"/>
    <w:rsid w:val="00B73064"/>
    <w:rsid w:val="00B756D8"/>
    <w:rsid w:val="00B81012"/>
    <w:rsid w:val="00B82523"/>
    <w:rsid w:val="00B97CEB"/>
    <w:rsid w:val="00BA00E0"/>
    <w:rsid w:val="00BB1956"/>
    <w:rsid w:val="00BB702A"/>
    <w:rsid w:val="00BB706C"/>
    <w:rsid w:val="00BC3BE9"/>
    <w:rsid w:val="00BD3A08"/>
    <w:rsid w:val="00BD4EDC"/>
    <w:rsid w:val="00BD6A98"/>
    <w:rsid w:val="00BF40DF"/>
    <w:rsid w:val="00C1537A"/>
    <w:rsid w:val="00C2277C"/>
    <w:rsid w:val="00C22A4B"/>
    <w:rsid w:val="00C33F06"/>
    <w:rsid w:val="00C34CD9"/>
    <w:rsid w:val="00C3786B"/>
    <w:rsid w:val="00C41AFF"/>
    <w:rsid w:val="00C41B37"/>
    <w:rsid w:val="00C57D69"/>
    <w:rsid w:val="00C62D80"/>
    <w:rsid w:val="00C67809"/>
    <w:rsid w:val="00C7215F"/>
    <w:rsid w:val="00C7531B"/>
    <w:rsid w:val="00C77798"/>
    <w:rsid w:val="00C80344"/>
    <w:rsid w:val="00C83108"/>
    <w:rsid w:val="00C8630D"/>
    <w:rsid w:val="00C936E1"/>
    <w:rsid w:val="00C9678F"/>
    <w:rsid w:val="00C96CA8"/>
    <w:rsid w:val="00CB3679"/>
    <w:rsid w:val="00CC4094"/>
    <w:rsid w:val="00CC6131"/>
    <w:rsid w:val="00CD57AD"/>
    <w:rsid w:val="00CE1820"/>
    <w:rsid w:val="00CF49BF"/>
    <w:rsid w:val="00D1273D"/>
    <w:rsid w:val="00D159AB"/>
    <w:rsid w:val="00D31047"/>
    <w:rsid w:val="00D43BD9"/>
    <w:rsid w:val="00D46062"/>
    <w:rsid w:val="00D53592"/>
    <w:rsid w:val="00D6405F"/>
    <w:rsid w:val="00D85295"/>
    <w:rsid w:val="00D913D9"/>
    <w:rsid w:val="00DB38F8"/>
    <w:rsid w:val="00DB577D"/>
    <w:rsid w:val="00DB597B"/>
    <w:rsid w:val="00DB7B73"/>
    <w:rsid w:val="00DC443E"/>
    <w:rsid w:val="00DC5BF9"/>
    <w:rsid w:val="00DC708A"/>
    <w:rsid w:val="00DD04D4"/>
    <w:rsid w:val="00DD2683"/>
    <w:rsid w:val="00DD2854"/>
    <w:rsid w:val="00DD3026"/>
    <w:rsid w:val="00DE075F"/>
    <w:rsid w:val="00DE7178"/>
    <w:rsid w:val="00DF5B76"/>
    <w:rsid w:val="00E01D9F"/>
    <w:rsid w:val="00E0405E"/>
    <w:rsid w:val="00E1378A"/>
    <w:rsid w:val="00E15D29"/>
    <w:rsid w:val="00E20051"/>
    <w:rsid w:val="00E21204"/>
    <w:rsid w:val="00E30EA0"/>
    <w:rsid w:val="00E318C8"/>
    <w:rsid w:val="00E445F1"/>
    <w:rsid w:val="00E5134A"/>
    <w:rsid w:val="00E56A10"/>
    <w:rsid w:val="00E67D44"/>
    <w:rsid w:val="00E773D5"/>
    <w:rsid w:val="00E94288"/>
    <w:rsid w:val="00EA4944"/>
    <w:rsid w:val="00EB2049"/>
    <w:rsid w:val="00EE539D"/>
    <w:rsid w:val="00EF0E27"/>
    <w:rsid w:val="00EF41F3"/>
    <w:rsid w:val="00F02E30"/>
    <w:rsid w:val="00F05B69"/>
    <w:rsid w:val="00F2028C"/>
    <w:rsid w:val="00F462A2"/>
    <w:rsid w:val="00F5676E"/>
    <w:rsid w:val="00F81A8C"/>
    <w:rsid w:val="00F84EED"/>
    <w:rsid w:val="00F95106"/>
    <w:rsid w:val="00FB7CBE"/>
    <w:rsid w:val="00FC3285"/>
    <w:rsid w:val="00FC5649"/>
    <w:rsid w:val="00FD05DD"/>
    <w:rsid w:val="00FD0B68"/>
    <w:rsid w:val="00FD263D"/>
    <w:rsid w:val="00FD2C96"/>
    <w:rsid w:val="00FE4DA6"/>
    <w:rsid w:val="00FE5E0E"/>
    <w:rsid w:val="00FF0094"/>
    <w:rsid w:val="00FF77B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601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unhideWhenUsed/>
    <w:rsid w:val="00183AC0"/>
    <w:rPr>
      <w:rFonts w:ascii="Segoe UI" w:hAnsi="Segoe UI" w:cs="Segoe UI"/>
      <w:sz w:val="18"/>
      <w:szCs w:val="18"/>
    </w:rPr>
  </w:style>
  <w:style w:type="character" w:customStyle="1" w:styleId="BalloonTextChar">
    <w:name w:val="Balloon Text Char"/>
    <w:basedOn w:val="DefaultParagraphFont"/>
    <w:uiPriority w:val="99"/>
    <w:semiHidden/>
    <w:rsid w:val="00183AC0"/>
    <w:rPr>
      <w:rFonts w:ascii="Lucida Grande" w:eastAsiaTheme="minorEastAsia" w:hAnsi="Lucida Grande"/>
      <w:sz w:val="18"/>
      <w:szCs w:val="18"/>
      <w:lang w:val="en-GB" w:eastAsia="ja-JP"/>
    </w:rPr>
  </w:style>
  <w:style w:type="character" w:styleId="Hyperlink">
    <w:name w:val="Hyperlink"/>
    <w:basedOn w:val="DefaultParagraphFont"/>
    <w:rsid w:val="00183AC0"/>
    <w:rPr>
      <w:color w:val="0000FF" w:themeColor="hyperlink"/>
      <w:u w:val="single"/>
    </w:rPr>
  </w:style>
  <w:style w:type="character" w:styleId="FollowedHyperlink">
    <w:name w:val="FollowedHyperlink"/>
    <w:basedOn w:val="DefaultParagraphFont"/>
    <w:rsid w:val="00183AC0"/>
    <w:rPr>
      <w:color w:val="800080" w:themeColor="followedHyperlink"/>
      <w:u w:val="single"/>
    </w:rPr>
  </w:style>
  <w:style w:type="paragraph" w:styleId="FootnoteText">
    <w:name w:val="footnote text"/>
    <w:basedOn w:val="Normal"/>
    <w:link w:val="FootnoteTextChar"/>
    <w:rsid w:val="00183AC0"/>
    <w:rPr>
      <w:rFonts w:ascii="Times New Roman" w:hAnsi="Times New Roman"/>
      <w:sz w:val="22"/>
    </w:rPr>
  </w:style>
  <w:style w:type="character" w:customStyle="1" w:styleId="FootnoteTextChar">
    <w:name w:val="Footnote Text Char"/>
    <w:basedOn w:val="DefaultParagraphFont"/>
    <w:link w:val="FootnoteText"/>
    <w:rsid w:val="00183AC0"/>
    <w:rPr>
      <w:rFonts w:ascii="Times New Roman" w:eastAsiaTheme="minorEastAsia" w:hAnsi="Times New Roman"/>
      <w:sz w:val="22"/>
      <w:lang w:val="en-GB" w:eastAsia="ja-JP"/>
    </w:rPr>
  </w:style>
  <w:style w:type="character" w:styleId="FootnoteReference">
    <w:name w:val="footnote reference"/>
    <w:basedOn w:val="DefaultParagraphFont"/>
    <w:rsid w:val="00183AC0"/>
    <w:rPr>
      <w:vertAlign w:val="superscript"/>
    </w:rPr>
  </w:style>
  <w:style w:type="paragraph" w:styleId="Footer">
    <w:name w:val="footer"/>
    <w:basedOn w:val="Normal"/>
    <w:link w:val="FooterChar"/>
    <w:rsid w:val="00183AC0"/>
    <w:pPr>
      <w:tabs>
        <w:tab w:val="center" w:pos="4320"/>
        <w:tab w:val="right" w:pos="8640"/>
      </w:tabs>
    </w:pPr>
  </w:style>
  <w:style w:type="character" w:customStyle="1" w:styleId="FooterChar">
    <w:name w:val="Footer Char"/>
    <w:basedOn w:val="DefaultParagraphFont"/>
    <w:link w:val="Footer"/>
    <w:rsid w:val="00183AC0"/>
    <w:rPr>
      <w:rFonts w:eastAsiaTheme="minorEastAsia"/>
      <w:lang w:val="en-GB" w:eastAsia="ja-JP"/>
    </w:rPr>
  </w:style>
  <w:style w:type="character" w:styleId="PageNumber">
    <w:name w:val="page number"/>
    <w:basedOn w:val="DefaultParagraphFont"/>
    <w:rsid w:val="00183AC0"/>
  </w:style>
  <w:style w:type="paragraph" w:styleId="ListParagraph">
    <w:name w:val="List Paragraph"/>
    <w:basedOn w:val="Normal"/>
    <w:rsid w:val="00183AC0"/>
    <w:pPr>
      <w:ind w:left="720"/>
      <w:contextualSpacing/>
    </w:pPr>
  </w:style>
  <w:style w:type="paragraph" w:customStyle="1" w:styleId="Default">
    <w:name w:val="Default"/>
    <w:rsid w:val="00183AC0"/>
    <w:pPr>
      <w:widowControl w:val="0"/>
      <w:autoSpaceDE w:val="0"/>
      <w:autoSpaceDN w:val="0"/>
      <w:adjustRightInd w:val="0"/>
    </w:pPr>
    <w:rPr>
      <w:rFonts w:ascii="Arial" w:hAnsi="Arial" w:cs="Arial"/>
      <w:color w:val="000000"/>
    </w:rPr>
  </w:style>
  <w:style w:type="character" w:styleId="CommentReference">
    <w:name w:val="annotation reference"/>
    <w:basedOn w:val="DefaultParagraphFont"/>
    <w:semiHidden/>
    <w:unhideWhenUsed/>
    <w:rsid w:val="00183AC0"/>
    <w:rPr>
      <w:sz w:val="16"/>
      <w:szCs w:val="16"/>
    </w:rPr>
  </w:style>
  <w:style w:type="paragraph" w:styleId="CommentText">
    <w:name w:val="annotation text"/>
    <w:basedOn w:val="Normal"/>
    <w:link w:val="CommentTextChar"/>
    <w:semiHidden/>
    <w:unhideWhenUsed/>
    <w:rsid w:val="00183AC0"/>
    <w:rPr>
      <w:sz w:val="20"/>
      <w:szCs w:val="20"/>
    </w:rPr>
  </w:style>
  <w:style w:type="character" w:customStyle="1" w:styleId="CommentTextChar">
    <w:name w:val="Comment Text Char"/>
    <w:basedOn w:val="DefaultParagraphFont"/>
    <w:link w:val="CommentText"/>
    <w:semiHidden/>
    <w:rsid w:val="00183AC0"/>
    <w:rPr>
      <w:rFonts w:eastAsiaTheme="minorEastAsia"/>
      <w:sz w:val="20"/>
      <w:szCs w:val="20"/>
      <w:lang w:val="en-GB" w:eastAsia="ja-JP"/>
    </w:rPr>
  </w:style>
  <w:style w:type="paragraph" w:styleId="CommentSubject">
    <w:name w:val="annotation subject"/>
    <w:basedOn w:val="CommentText"/>
    <w:next w:val="CommentText"/>
    <w:link w:val="CommentSubjectChar"/>
    <w:semiHidden/>
    <w:unhideWhenUsed/>
    <w:rsid w:val="00183AC0"/>
    <w:rPr>
      <w:b/>
      <w:bCs/>
    </w:rPr>
  </w:style>
  <w:style w:type="character" w:customStyle="1" w:styleId="CommentSubjectChar">
    <w:name w:val="Comment Subject Char"/>
    <w:basedOn w:val="CommentTextChar"/>
    <w:link w:val="CommentSubject"/>
    <w:semiHidden/>
    <w:rsid w:val="00183AC0"/>
    <w:rPr>
      <w:rFonts w:eastAsiaTheme="minorEastAsia"/>
      <w:b/>
      <w:bCs/>
      <w:sz w:val="20"/>
      <w:szCs w:val="20"/>
      <w:lang w:val="en-GB" w:eastAsia="ja-JP"/>
    </w:rPr>
  </w:style>
  <w:style w:type="character" w:customStyle="1" w:styleId="BalloonTextChar1">
    <w:name w:val="Balloon Text Char1"/>
    <w:basedOn w:val="DefaultParagraphFont"/>
    <w:link w:val="BalloonText"/>
    <w:semiHidden/>
    <w:rsid w:val="00183AC0"/>
    <w:rPr>
      <w:rFonts w:ascii="Segoe UI" w:eastAsiaTheme="minorEastAsia" w:hAnsi="Segoe UI" w:cs="Segoe UI"/>
      <w:sz w:val="18"/>
      <w:szCs w:val="18"/>
      <w:lang w:val="en-GB" w:eastAsia="ja-JP"/>
    </w:rPr>
  </w:style>
  <w:style w:type="paragraph" w:styleId="NormalWeb">
    <w:name w:val="Normal (Web)"/>
    <w:basedOn w:val="Normal"/>
    <w:uiPriority w:val="99"/>
    <w:rsid w:val="00652DED"/>
    <w:pPr>
      <w:spacing w:beforeLines="1" w:afterLines="1"/>
    </w:pPr>
    <w:rPr>
      <w:rFonts w:ascii="Times" w:eastAsiaTheme="minorHAnsi" w:hAnsi="Times" w:cs="Times New Roman"/>
      <w:sz w:val="20"/>
      <w:szCs w:val="20"/>
      <w:lang w:eastAsia="en-US"/>
    </w:rPr>
  </w:style>
  <w:style w:type="paragraph" w:styleId="Header">
    <w:name w:val="header"/>
    <w:basedOn w:val="Normal"/>
    <w:link w:val="HeaderChar"/>
    <w:rsid w:val="00CE1820"/>
    <w:pPr>
      <w:tabs>
        <w:tab w:val="center" w:pos="4320"/>
        <w:tab w:val="right" w:pos="8640"/>
      </w:tabs>
    </w:pPr>
  </w:style>
  <w:style w:type="character" w:customStyle="1" w:styleId="HeaderChar">
    <w:name w:val="Header Char"/>
    <w:basedOn w:val="DefaultParagraphFont"/>
    <w:link w:val="Header"/>
    <w:rsid w:val="00CE182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unhideWhenUsed/>
    <w:rsid w:val="00183AC0"/>
    <w:rPr>
      <w:rFonts w:ascii="Segoe UI" w:hAnsi="Segoe UI" w:cs="Segoe UI"/>
      <w:sz w:val="18"/>
      <w:szCs w:val="18"/>
    </w:rPr>
  </w:style>
  <w:style w:type="character" w:customStyle="1" w:styleId="BalloonTextChar">
    <w:name w:val="Balloon Text Char"/>
    <w:basedOn w:val="DefaultParagraphFont"/>
    <w:uiPriority w:val="99"/>
    <w:semiHidden/>
    <w:rsid w:val="00183AC0"/>
    <w:rPr>
      <w:rFonts w:ascii="Lucida Grande" w:eastAsiaTheme="minorEastAsia" w:hAnsi="Lucida Grande"/>
      <w:sz w:val="18"/>
      <w:szCs w:val="18"/>
      <w:lang w:val="en-GB" w:eastAsia="ja-JP"/>
    </w:rPr>
  </w:style>
  <w:style w:type="character" w:styleId="Hyperlink">
    <w:name w:val="Hyperlink"/>
    <w:basedOn w:val="DefaultParagraphFont"/>
    <w:rsid w:val="00183AC0"/>
    <w:rPr>
      <w:color w:val="0000FF" w:themeColor="hyperlink"/>
      <w:u w:val="single"/>
    </w:rPr>
  </w:style>
  <w:style w:type="character" w:styleId="FollowedHyperlink">
    <w:name w:val="FollowedHyperlink"/>
    <w:basedOn w:val="DefaultParagraphFont"/>
    <w:rsid w:val="00183AC0"/>
    <w:rPr>
      <w:color w:val="800080" w:themeColor="followedHyperlink"/>
      <w:u w:val="single"/>
    </w:rPr>
  </w:style>
  <w:style w:type="paragraph" w:styleId="FootnoteText">
    <w:name w:val="footnote text"/>
    <w:basedOn w:val="Normal"/>
    <w:link w:val="FootnoteTextChar"/>
    <w:rsid w:val="00183AC0"/>
    <w:rPr>
      <w:rFonts w:ascii="Times New Roman" w:hAnsi="Times New Roman"/>
      <w:sz w:val="22"/>
    </w:rPr>
  </w:style>
  <w:style w:type="character" w:customStyle="1" w:styleId="FootnoteTextChar">
    <w:name w:val="Footnote Text Char"/>
    <w:basedOn w:val="DefaultParagraphFont"/>
    <w:link w:val="FootnoteText"/>
    <w:rsid w:val="00183AC0"/>
    <w:rPr>
      <w:rFonts w:ascii="Times New Roman" w:eastAsiaTheme="minorEastAsia" w:hAnsi="Times New Roman"/>
      <w:sz w:val="22"/>
      <w:lang w:val="en-GB" w:eastAsia="ja-JP"/>
    </w:rPr>
  </w:style>
  <w:style w:type="character" w:styleId="FootnoteReference">
    <w:name w:val="footnote reference"/>
    <w:basedOn w:val="DefaultParagraphFont"/>
    <w:rsid w:val="00183AC0"/>
    <w:rPr>
      <w:vertAlign w:val="superscript"/>
    </w:rPr>
  </w:style>
  <w:style w:type="paragraph" w:styleId="Footer">
    <w:name w:val="footer"/>
    <w:basedOn w:val="Normal"/>
    <w:link w:val="FooterChar"/>
    <w:rsid w:val="00183AC0"/>
    <w:pPr>
      <w:tabs>
        <w:tab w:val="center" w:pos="4320"/>
        <w:tab w:val="right" w:pos="8640"/>
      </w:tabs>
    </w:pPr>
  </w:style>
  <w:style w:type="character" w:customStyle="1" w:styleId="FooterChar">
    <w:name w:val="Footer Char"/>
    <w:basedOn w:val="DefaultParagraphFont"/>
    <w:link w:val="Footer"/>
    <w:rsid w:val="00183AC0"/>
    <w:rPr>
      <w:rFonts w:eastAsiaTheme="minorEastAsia"/>
      <w:lang w:val="en-GB" w:eastAsia="ja-JP"/>
    </w:rPr>
  </w:style>
  <w:style w:type="character" w:styleId="PageNumber">
    <w:name w:val="page number"/>
    <w:basedOn w:val="DefaultParagraphFont"/>
    <w:rsid w:val="00183AC0"/>
  </w:style>
  <w:style w:type="paragraph" w:styleId="ListParagraph">
    <w:name w:val="List Paragraph"/>
    <w:basedOn w:val="Normal"/>
    <w:rsid w:val="00183AC0"/>
    <w:pPr>
      <w:ind w:left="720"/>
      <w:contextualSpacing/>
    </w:pPr>
  </w:style>
  <w:style w:type="paragraph" w:customStyle="1" w:styleId="Default">
    <w:name w:val="Default"/>
    <w:rsid w:val="00183AC0"/>
    <w:pPr>
      <w:widowControl w:val="0"/>
      <w:autoSpaceDE w:val="0"/>
      <w:autoSpaceDN w:val="0"/>
      <w:adjustRightInd w:val="0"/>
    </w:pPr>
    <w:rPr>
      <w:rFonts w:ascii="Arial" w:hAnsi="Arial" w:cs="Arial"/>
      <w:color w:val="000000"/>
    </w:rPr>
  </w:style>
  <w:style w:type="character" w:styleId="CommentReference">
    <w:name w:val="annotation reference"/>
    <w:basedOn w:val="DefaultParagraphFont"/>
    <w:semiHidden/>
    <w:unhideWhenUsed/>
    <w:rsid w:val="00183AC0"/>
    <w:rPr>
      <w:sz w:val="16"/>
      <w:szCs w:val="16"/>
    </w:rPr>
  </w:style>
  <w:style w:type="paragraph" w:styleId="CommentText">
    <w:name w:val="annotation text"/>
    <w:basedOn w:val="Normal"/>
    <w:link w:val="CommentTextChar"/>
    <w:semiHidden/>
    <w:unhideWhenUsed/>
    <w:rsid w:val="00183AC0"/>
    <w:rPr>
      <w:sz w:val="20"/>
      <w:szCs w:val="20"/>
    </w:rPr>
  </w:style>
  <w:style w:type="character" w:customStyle="1" w:styleId="CommentTextChar">
    <w:name w:val="Comment Text Char"/>
    <w:basedOn w:val="DefaultParagraphFont"/>
    <w:link w:val="CommentText"/>
    <w:semiHidden/>
    <w:rsid w:val="00183AC0"/>
    <w:rPr>
      <w:rFonts w:eastAsiaTheme="minorEastAsia"/>
      <w:sz w:val="20"/>
      <w:szCs w:val="20"/>
      <w:lang w:val="en-GB" w:eastAsia="ja-JP"/>
    </w:rPr>
  </w:style>
  <w:style w:type="paragraph" w:styleId="CommentSubject">
    <w:name w:val="annotation subject"/>
    <w:basedOn w:val="CommentText"/>
    <w:next w:val="CommentText"/>
    <w:link w:val="CommentSubjectChar"/>
    <w:semiHidden/>
    <w:unhideWhenUsed/>
    <w:rsid w:val="00183AC0"/>
    <w:rPr>
      <w:b/>
      <w:bCs/>
    </w:rPr>
  </w:style>
  <w:style w:type="character" w:customStyle="1" w:styleId="CommentSubjectChar">
    <w:name w:val="Comment Subject Char"/>
    <w:basedOn w:val="CommentTextChar"/>
    <w:link w:val="CommentSubject"/>
    <w:semiHidden/>
    <w:rsid w:val="00183AC0"/>
    <w:rPr>
      <w:rFonts w:eastAsiaTheme="minorEastAsia"/>
      <w:b/>
      <w:bCs/>
      <w:sz w:val="20"/>
      <w:szCs w:val="20"/>
      <w:lang w:val="en-GB" w:eastAsia="ja-JP"/>
    </w:rPr>
  </w:style>
  <w:style w:type="character" w:customStyle="1" w:styleId="BalloonTextChar1">
    <w:name w:val="Balloon Text Char1"/>
    <w:basedOn w:val="DefaultParagraphFont"/>
    <w:link w:val="BalloonText"/>
    <w:semiHidden/>
    <w:rsid w:val="00183AC0"/>
    <w:rPr>
      <w:rFonts w:ascii="Segoe UI" w:eastAsiaTheme="minorEastAsia" w:hAnsi="Segoe UI" w:cs="Segoe UI"/>
      <w:sz w:val="18"/>
      <w:szCs w:val="18"/>
      <w:lang w:val="en-GB" w:eastAsia="ja-JP"/>
    </w:rPr>
  </w:style>
  <w:style w:type="paragraph" w:styleId="NormalWeb">
    <w:name w:val="Normal (Web)"/>
    <w:basedOn w:val="Normal"/>
    <w:uiPriority w:val="99"/>
    <w:rsid w:val="00652DED"/>
    <w:pPr>
      <w:spacing w:beforeLines="1" w:afterLines="1"/>
    </w:pPr>
    <w:rPr>
      <w:rFonts w:ascii="Times" w:eastAsiaTheme="minorHAnsi" w:hAnsi="Times" w:cs="Times New Roman"/>
      <w:sz w:val="20"/>
      <w:szCs w:val="20"/>
      <w:lang w:eastAsia="en-US"/>
    </w:rPr>
  </w:style>
  <w:style w:type="paragraph" w:styleId="Header">
    <w:name w:val="header"/>
    <w:basedOn w:val="Normal"/>
    <w:link w:val="HeaderChar"/>
    <w:rsid w:val="00CE1820"/>
    <w:pPr>
      <w:tabs>
        <w:tab w:val="center" w:pos="4320"/>
        <w:tab w:val="right" w:pos="8640"/>
      </w:tabs>
    </w:pPr>
  </w:style>
  <w:style w:type="character" w:customStyle="1" w:styleId="HeaderChar">
    <w:name w:val="Header Char"/>
    <w:basedOn w:val="DefaultParagraphFont"/>
    <w:link w:val="Header"/>
    <w:rsid w:val="00CE1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7433">
      <w:bodyDiv w:val="1"/>
      <w:marLeft w:val="0"/>
      <w:marRight w:val="0"/>
      <w:marTop w:val="0"/>
      <w:marBottom w:val="0"/>
      <w:divBdr>
        <w:top w:val="none" w:sz="0" w:space="0" w:color="auto"/>
        <w:left w:val="none" w:sz="0" w:space="0" w:color="auto"/>
        <w:bottom w:val="none" w:sz="0" w:space="0" w:color="auto"/>
        <w:right w:val="none" w:sz="0" w:space="0" w:color="auto"/>
      </w:divBdr>
    </w:div>
    <w:div w:id="574516105">
      <w:bodyDiv w:val="1"/>
      <w:marLeft w:val="0"/>
      <w:marRight w:val="0"/>
      <w:marTop w:val="0"/>
      <w:marBottom w:val="0"/>
      <w:divBdr>
        <w:top w:val="none" w:sz="0" w:space="0" w:color="auto"/>
        <w:left w:val="none" w:sz="0" w:space="0" w:color="auto"/>
        <w:bottom w:val="none" w:sz="0" w:space="0" w:color="auto"/>
        <w:right w:val="none" w:sz="0" w:space="0" w:color="auto"/>
      </w:divBdr>
    </w:div>
    <w:div w:id="646595083">
      <w:bodyDiv w:val="1"/>
      <w:marLeft w:val="0"/>
      <w:marRight w:val="0"/>
      <w:marTop w:val="0"/>
      <w:marBottom w:val="0"/>
      <w:divBdr>
        <w:top w:val="none" w:sz="0" w:space="0" w:color="auto"/>
        <w:left w:val="none" w:sz="0" w:space="0" w:color="auto"/>
        <w:bottom w:val="none" w:sz="0" w:space="0" w:color="auto"/>
        <w:right w:val="none" w:sz="0" w:space="0" w:color="auto"/>
      </w:divBdr>
      <w:divsChild>
        <w:div w:id="119305469">
          <w:marLeft w:val="0"/>
          <w:marRight w:val="0"/>
          <w:marTop w:val="0"/>
          <w:marBottom w:val="0"/>
          <w:divBdr>
            <w:top w:val="none" w:sz="0" w:space="0" w:color="auto"/>
            <w:left w:val="none" w:sz="0" w:space="0" w:color="auto"/>
            <w:bottom w:val="none" w:sz="0" w:space="0" w:color="auto"/>
            <w:right w:val="none" w:sz="0" w:space="0" w:color="auto"/>
          </w:divBdr>
          <w:divsChild>
            <w:div w:id="352538730">
              <w:marLeft w:val="0"/>
              <w:marRight w:val="0"/>
              <w:marTop w:val="0"/>
              <w:marBottom w:val="0"/>
              <w:divBdr>
                <w:top w:val="none" w:sz="0" w:space="0" w:color="auto"/>
                <w:left w:val="none" w:sz="0" w:space="0" w:color="auto"/>
                <w:bottom w:val="none" w:sz="0" w:space="0" w:color="auto"/>
                <w:right w:val="none" w:sz="0" w:space="0" w:color="auto"/>
              </w:divBdr>
              <w:divsChild>
                <w:div w:id="2098284753">
                  <w:marLeft w:val="0"/>
                  <w:marRight w:val="0"/>
                  <w:marTop w:val="0"/>
                  <w:marBottom w:val="0"/>
                  <w:divBdr>
                    <w:top w:val="none" w:sz="0" w:space="0" w:color="auto"/>
                    <w:left w:val="none" w:sz="0" w:space="0" w:color="auto"/>
                    <w:bottom w:val="none" w:sz="0" w:space="0" w:color="auto"/>
                    <w:right w:val="none" w:sz="0" w:space="0" w:color="auto"/>
                  </w:divBdr>
                  <w:divsChild>
                    <w:div w:id="17598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80862">
      <w:bodyDiv w:val="1"/>
      <w:marLeft w:val="0"/>
      <w:marRight w:val="0"/>
      <w:marTop w:val="0"/>
      <w:marBottom w:val="0"/>
      <w:divBdr>
        <w:top w:val="none" w:sz="0" w:space="0" w:color="auto"/>
        <w:left w:val="none" w:sz="0" w:space="0" w:color="auto"/>
        <w:bottom w:val="none" w:sz="0" w:space="0" w:color="auto"/>
        <w:right w:val="none" w:sz="0" w:space="0" w:color="auto"/>
      </w:divBdr>
      <w:divsChild>
        <w:div w:id="1378314815">
          <w:marLeft w:val="0"/>
          <w:marRight w:val="0"/>
          <w:marTop w:val="0"/>
          <w:marBottom w:val="0"/>
          <w:divBdr>
            <w:top w:val="none" w:sz="0" w:space="0" w:color="auto"/>
            <w:left w:val="none" w:sz="0" w:space="0" w:color="auto"/>
            <w:bottom w:val="none" w:sz="0" w:space="0" w:color="auto"/>
            <w:right w:val="none" w:sz="0" w:space="0" w:color="auto"/>
          </w:divBdr>
          <w:divsChild>
            <w:div w:id="179708549">
              <w:marLeft w:val="0"/>
              <w:marRight w:val="0"/>
              <w:marTop w:val="0"/>
              <w:marBottom w:val="0"/>
              <w:divBdr>
                <w:top w:val="none" w:sz="0" w:space="0" w:color="auto"/>
                <w:left w:val="none" w:sz="0" w:space="0" w:color="auto"/>
                <w:bottom w:val="none" w:sz="0" w:space="0" w:color="auto"/>
                <w:right w:val="none" w:sz="0" w:space="0" w:color="auto"/>
              </w:divBdr>
              <w:divsChild>
                <w:div w:id="11915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459077">
      <w:bodyDiv w:val="1"/>
      <w:marLeft w:val="0"/>
      <w:marRight w:val="0"/>
      <w:marTop w:val="0"/>
      <w:marBottom w:val="0"/>
      <w:divBdr>
        <w:top w:val="none" w:sz="0" w:space="0" w:color="auto"/>
        <w:left w:val="none" w:sz="0" w:space="0" w:color="auto"/>
        <w:bottom w:val="none" w:sz="0" w:space="0" w:color="auto"/>
        <w:right w:val="none" w:sz="0" w:space="0" w:color="auto"/>
      </w:divBdr>
      <w:divsChild>
        <w:div w:id="1695615645">
          <w:marLeft w:val="0"/>
          <w:marRight w:val="0"/>
          <w:marTop w:val="0"/>
          <w:marBottom w:val="0"/>
          <w:divBdr>
            <w:top w:val="none" w:sz="0" w:space="0" w:color="auto"/>
            <w:left w:val="none" w:sz="0" w:space="0" w:color="auto"/>
            <w:bottom w:val="none" w:sz="0" w:space="0" w:color="auto"/>
            <w:right w:val="none" w:sz="0" w:space="0" w:color="auto"/>
          </w:divBdr>
          <w:divsChild>
            <w:div w:id="1363091157">
              <w:marLeft w:val="0"/>
              <w:marRight w:val="0"/>
              <w:marTop w:val="0"/>
              <w:marBottom w:val="0"/>
              <w:divBdr>
                <w:top w:val="none" w:sz="0" w:space="0" w:color="auto"/>
                <w:left w:val="none" w:sz="0" w:space="0" w:color="auto"/>
                <w:bottom w:val="none" w:sz="0" w:space="0" w:color="auto"/>
                <w:right w:val="none" w:sz="0" w:space="0" w:color="auto"/>
              </w:divBdr>
              <w:divsChild>
                <w:div w:id="1142312143">
                  <w:marLeft w:val="0"/>
                  <w:marRight w:val="0"/>
                  <w:marTop w:val="0"/>
                  <w:marBottom w:val="0"/>
                  <w:divBdr>
                    <w:top w:val="none" w:sz="0" w:space="0" w:color="auto"/>
                    <w:left w:val="none" w:sz="0" w:space="0" w:color="auto"/>
                    <w:bottom w:val="none" w:sz="0" w:space="0" w:color="auto"/>
                    <w:right w:val="none" w:sz="0" w:space="0" w:color="auto"/>
                  </w:divBdr>
                  <w:divsChild>
                    <w:div w:id="1602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320939">
      <w:bodyDiv w:val="1"/>
      <w:marLeft w:val="0"/>
      <w:marRight w:val="0"/>
      <w:marTop w:val="0"/>
      <w:marBottom w:val="0"/>
      <w:divBdr>
        <w:top w:val="none" w:sz="0" w:space="0" w:color="auto"/>
        <w:left w:val="none" w:sz="0" w:space="0" w:color="auto"/>
        <w:bottom w:val="none" w:sz="0" w:space="0" w:color="auto"/>
        <w:right w:val="none" w:sz="0" w:space="0" w:color="auto"/>
      </w:divBdr>
      <w:divsChild>
        <w:div w:id="1823699094">
          <w:marLeft w:val="0"/>
          <w:marRight w:val="0"/>
          <w:marTop w:val="0"/>
          <w:marBottom w:val="0"/>
          <w:divBdr>
            <w:top w:val="none" w:sz="0" w:space="0" w:color="auto"/>
            <w:left w:val="none" w:sz="0" w:space="0" w:color="auto"/>
            <w:bottom w:val="none" w:sz="0" w:space="0" w:color="auto"/>
            <w:right w:val="none" w:sz="0" w:space="0" w:color="auto"/>
          </w:divBdr>
          <w:divsChild>
            <w:div w:id="1314724168">
              <w:marLeft w:val="0"/>
              <w:marRight w:val="0"/>
              <w:marTop w:val="0"/>
              <w:marBottom w:val="0"/>
              <w:divBdr>
                <w:top w:val="none" w:sz="0" w:space="0" w:color="auto"/>
                <w:left w:val="none" w:sz="0" w:space="0" w:color="auto"/>
                <w:bottom w:val="none" w:sz="0" w:space="0" w:color="auto"/>
                <w:right w:val="none" w:sz="0" w:space="0" w:color="auto"/>
              </w:divBdr>
              <w:divsChild>
                <w:div w:id="386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british-history.ac.uk/topographical-dict/scotland/pp297-310" TargetMode="External"/><Relationship Id="rId4" Type="http://schemas.openxmlformats.org/officeDocument/2006/relationships/hyperlink" Target="https://www.gov.uk/ecosystems-services" TargetMode="External"/><Relationship Id="rId5" Type="http://schemas.openxmlformats.org/officeDocument/2006/relationships/hyperlink" Target="https://www.gov.uk/government/uploads/system/uploads/attachment_data/file/223705/pb13735cont-land-guidance.pdf" TargetMode="External"/><Relationship Id="rId1" Type="http://schemas.openxmlformats.org/officeDocument/2006/relationships/hyperlink" Target="http://isle-of-man.com/manxnotebook/manxsoc/msvol19/pt02.htm" TargetMode="External"/><Relationship Id="rId2" Type="http://schemas.openxmlformats.org/officeDocument/2006/relationships/hyperlink" Target="http://query.nytimes.com/mem/archive-free/pdf?res=F10612FF3F5811738DDDA80A94DE405B8785F0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942</TotalTime>
  <Pages>29</Pages>
  <Words>9815</Words>
  <Characters>55948</Characters>
  <Application>Microsoft Macintosh Word</Application>
  <DocSecurity>0</DocSecurity>
  <Lines>466</Lines>
  <Paragraphs>131</Paragraphs>
  <ScaleCrop>false</ScaleCrop>
  <Company>York University</Company>
  <LinksUpToDate>false</LinksUpToDate>
  <CharactersWithSpaces>65632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Etherington</dc:creator>
  <cp:keywords/>
  <cp:lastModifiedBy>Loz</cp:lastModifiedBy>
  <cp:revision>83</cp:revision>
  <cp:lastPrinted>2015-12-30T10:54:00Z</cp:lastPrinted>
  <dcterms:created xsi:type="dcterms:W3CDTF">2015-11-16T16:40:00Z</dcterms:created>
  <dcterms:modified xsi:type="dcterms:W3CDTF">2015-12-30T16:45:00Z</dcterms:modified>
</cp:coreProperties>
</file>