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91D" w:rsidRDefault="0098491D" w:rsidP="0098491D">
      <w:pPr>
        <w:spacing w:line="360" w:lineRule="auto"/>
        <w:ind w:left="0"/>
        <w:contextualSpacing/>
        <w:rPr>
          <w:b/>
        </w:rPr>
      </w:pPr>
      <w:r>
        <w:rPr>
          <w:b/>
        </w:rPr>
        <w:t>Title Page (not for review)</w:t>
      </w:r>
    </w:p>
    <w:p w:rsidR="0098491D" w:rsidRDefault="0098491D" w:rsidP="0098491D">
      <w:pPr>
        <w:spacing w:line="360" w:lineRule="auto"/>
        <w:ind w:left="0"/>
        <w:contextualSpacing/>
        <w:rPr>
          <w:b/>
        </w:rPr>
      </w:pPr>
    </w:p>
    <w:p w:rsidR="0098491D" w:rsidRDefault="0098491D" w:rsidP="0098491D">
      <w:pPr>
        <w:spacing w:line="360" w:lineRule="auto"/>
        <w:ind w:left="0"/>
        <w:contextualSpacing/>
        <w:rPr>
          <w:b/>
        </w:rPr>
      </w:pPr>
      <w:r>
        <w:rPr>
          <w:b/>
        </w:rPr>
        <w:t>Journal of Substance Use Commentary</w:t>
      </w:r>
    </w:p>
    <w:p w:rsidR="0098491D" w:rsidRDefault="0098491D" w:rsidP="0098491D">
      <w:pPr>
        <w:spacing w:line="360" w:lineRule="auto"/>
        <w:ind w:left="0"/>
        <w:contextualSpacing/>
        <w:rPr>
          <w:b/>
        </w:rPr>
      </w:pPr>
    </w:p>
    <w:p w:rsidR="0098491D" w:rsidRDefault="0098491D" w:rsidP="0098491D">
      <w:pPr>
        <w:spacing w:line="360" w:lineRule="auto"/>
        <w:ind w:left="0"/>
        <w:contextualSpacing/>
        <w:rPr>
          <w:b/>
        </w:rPr>
      </w:pPr>
      <w:r w:rsidRPr="00286EFC">
        <w:rPr>
          <w:b/>
        </w:rPr>
        <w:t xml:space="preserve">Similar Problems, Divergent Responses: Drug Consumption Room </w:t>
      </w:r>
      <w:r>
        <w:rPr>
          <w:b/>
        </w:rPr>
        <w:t>p</w:t>
      </w:r>
      <w:r w:rsidRPr="00286EFC">
        <w:rPr>
          <w:b/>
        </w:rPr>
        <w:t>olicies in the UK and Germany</w:t>
      </w:r>
    </w:p>
    <w:p w:rsidR="0098491D" w:rsidRDefault="0098491D" w:rsidP="0098491D">
      <w:pPr>
        <w:spacing w:line="360" w:lineRule="auto"/>
        <w:contextualSpacing/>
      </w:pPr>
    </w:p>
    <w:p w:rsidR="0098491D" w:rsidRPr="005E1598" w:rsidRDefault="0098491D" w:rsidP="0098491D">
      <w:pPr>
        <w:spacing w:line="360" w:lineRule="auto"/>
        <w:contextualSpacing/>
        <w:rPr>
          <w:vertAlign w:val="superscript"/>
        </w:rPr>
      </w:pPr>
      <w:r>
        <w:t>Charlie Lloyd</w:t>
      </w:r>
      <w:r>
        <w:rPr>
          <w:vertAlign w:val="superscript"/>
        </w:rPr>
        <w:t>1</w:t>
      </w:r>
      <w:r>
        <w:t>, Heino Stöver</w:t>
      </w:r>
      <w:r>
        <w:rPr>
          <w:vertAlign w:val="superscript"/>
        </w:rPr>
        <w:t>2</w:t>
      </w:r>
      <w:r>
        <w:t>, Heike Zurhold</w:t>
      </w:r>
      <w:r>
        <w:rPr>
          <w:vertAlign w:val="superscript"/>
        </w:rPr>
        <w:t>3</w:t>
      </w:r>
      <w:r>
        <w:t xml:space="preserve"> and Neil Hunt</w:t>
      </w:r>
      <w:r>
        <w:rPr>
          <w:vertAlign w:val="superscript"/>
        </w:rPr>
        <w:t>4</w:t>
      </w:r>
    </w:p>
    <w:p w:rsidR="0098491D" w:rsidRDefault="0098491D" w:rsidP="0098491D">
      <w:pPr>
        <w:spacing w:line="360" w:lineRule="auto"/>
        <w:ind w:left="0"/>
        <w:contextualSpacing/>
      </w:pPr>
    </w:p>
    <w:p w:rsidR="0098491D" w:rsidRDefault="0098491D" w:rsidP="0098491D">
      <w:pPr>
        <w:pStyle w:val="FootnoteText"/>
        <w:spacing w:line="360" w:lineRule="auto"/>
        <w:contextualSpacing/>
        <w:rPr>
          <w:lang w:val="en-US"/>
        </w:rPr>
      </w:pPr>
      <w:r w:rsidRPr="00F32E36">
        <w:rPr>
          <w:rStyle w:val="FootnoteReference"/>
        </w:rPr>
        <w:footnoteRef/>
      </w:r>
      <w:r>
        <w:rPr>
          <w:lang w:val="en-US"/>
        </w:rPr>
        <w:t xml:space="preserve"> </w:t>
      </w:r>
      <w:proofErr w:type="gramStart"/>
      <w:r>
        <w:rPr>
          <w:lang w:val="en-US"/>
        </w:rPr>
        <w:t>Department of Health Sciences, University of York, YO10 5DD, UK.</w:t>
      </w:r>
      <w:proofErr w:type="gramEnd"/>
      <w:r>
        <w:rPr>
          <w:lang w:val="en-US"/>
        </w:rPr>
        <w:t xml:space="preserve"> </w:t>
      </w:r>
      <w:r>
        <w:rPr>
          <w:lang w:val="en-US"/>
        </w:rPr>
        <w:tab/>
      </w:r>
      <w:hyperlink r:id="rId9" w:history="1">
        <w:r w:rsidRPr="006E6F23">
          <w:rPr>
            <w:rStyle w:val="Hyperlink"/>
            <w:lang w:val="en-US"/>
          </w:rPr>
          <w:t>Charlie.lloyd@york.ac.uk</w:t>
        </w:r>
      </w:hyperlink>
      <w:r>
        <w:rPr>
          <w:lang w:val="en-US"/>
        </w:rPr>
        <w:t xml:space="preserve">. </w:t>
      </w:r>
      <w:proofErr w:type="gramStart"/>
      <w:r>
        <w:rPr>
          <w:lang w:val="en-US"/>
        </w:rPr>
        <w:t>BSc.,</w:t>
      </w:r>
      <w:proofErr w:type="gramEnd"/>
      <w:r>
        <w:rPr>
          <w:lang w:val="en-US"/>
        </w:rPr>
        <w:t xml:space="preserve"> MPhil.</w:t>
      </w:r>
    </w:p>
    <w:p w:rsidR="0098491D" w:rsidRDefault="0098491D" w:rsidP="0098491D">
      <w:pPr>
        <w:pStyle w:val="FootnoteText"/>
        <w:spacing w:line="360" w:lineRule="auto"/>
        <w:contextualSpacing/>
        <w:rPr>
          <w:lang w:val="en-US"/>
        </w:rPr>
      </w:pPr>
      <w:r>
        <w:rPr>
          <w:vertAlign w:val="superscript"/>
          <w:lang w:val="en-US"/>
        </w:rPr>
        <w:t xml:space="preserve">2 </w:t>
      </w:r>
      <w:r>
        <w:rPr>
          <w:lang w:val="en-US"/>
        </w:rPr>
        <w:t>Frankfurt</w:t>
      </w:r>
      <w:r w:rsidRPr="00F32E36">
        <w:rPr>
          <w:lang w:val="en-US"/>
        </w:rPr>
        <w:t xml:space="preserve"> </w:t>
      </w:r>
      <w:proofErr w:type="gramStart"/>
      <w:r w:rsidRPr="00F32E36">
        <w:rPr>
          <w:lang w:val="en-US"/>
        </w:rPr>
        <w:t>University</w:t>
      </w:r>
      <w:proofErr w:type="gramEnd"/>
      <w:r w:rsidRPr="00F32E36">
        <w:rPr>
          <w:lang w:val="en-US"/>
        </w:rPr>
        <w:t xml:space="preserve"> of </w:t>
      </w:r>
      <w:r>
        <w:rPr>
          <w:lang w:val="en-US"/>
        </w:rPr>
        <w:t>Applied Sciences, Professor.</w:t>
      </w:r>
    </w:p>
    <w:p w:rsidR="0098491D" w:rsidRDefault="0098491D" w:rsidP="0098491D">
      <w:pPr>
        <w:pStyle w:val="FootnoteText"/>
        <w:spacing w:line="360" w:lineRule="auto"/>
        <w:contextualSpacing/>
        <w:rPr>
          <w:lang w:val="en-US"/>
        </w:rPr>
      </w:pPr>
      <w:r>
        <w:rPr>
          <w:vertAlign w:val="superscript"/>
          <w:lang w:val="en-US"/>
        </w:rPr>
        <w:t>3</w:t>
      </w:r>
      <w:r w:rsidRPr="00F32E36">
        <w:rPr>
          <w:lang w:val="en-US"/>
        </w:rPr>
        <w:t xml:space="preserve"> Hamburg </w:t>
      </w:r>
      <w:proofErr w:type="gramStart"/>
      <w:r w:rsidRPr="00F32E36">
        <w:rPr>
          <w:lang w:val="en-US"/>
        </w:rPr>
        <w:t>University</w:t>
      </w:r>
      <w:proofErr w:type="gramEnd"/>
      <w:r>
        <w:rPr>
          <w:lang w:val="en-US"/>
        </w:rPr>
        <w:t>, PhD</w:t>
      </w:r>
    </w:p>
    <w:p w:rsidR="0098491D" w:rsidRDefault="0098491D" w:rsidP="0098491D">
      <w:pPr>
        <w:pStyle w:val="FootnoteText"/>
        <w:spacing w:line="360" w:lineRule="auto"/>
        <w:contextualSpacing/>
        <w:rPr>
          <w:lang w:val="en-US"/>
        </w:rPr>
      </w:pPr>
      <w:r>
        <w:rPr>
          <w:vertAlign w:val="superscript"/>
          <w:lang w:val="en-US"/>
        </w:rPr>
        <w:t>4</w:t>
      </w:r>
      <w:r>
        <w:rPr>
          <w:lang w:val="en-US"/>
        </w:rPr>
        <w:t xml:space="preserve"> Independent </w:t>
      </w:r>
      <w:proofErr w:type="gramStart"/>
      <w:r>
        <w:rPr>
          <w:lang w:val="en-US"/>
        </w:rPr>
        <w:t>consultant</w:t>
      </w:r>
      <w:proofErr w:type="gramEnd"/>
      <w:r w:rsidR="00131E53">
        <w:rPr>
          <w:lang w:val="en-US"/>
        </w:rPr>
        <w:t>, BSc.</w:t>
      </w:r>
    </w:p>
    <w:p w:rsidR="0098491D" w:rsidRDefault="0098491D" w:rsidP="0098491D">
      <w:pPr>
        <w:pStyle w:val="FootnoteText"/>
        <w:spacing w:line="360" w:lineRule="auto"/>
        <w:contextualSpacing/>
        <w:rPr>
          <w:lang w:val="en-US"/>
        </w:rPr>
      </w:pPr>
    </w:p>
    <w:p w:rsidR="0098491D" w:rsidRDefault="0098491D" w:rsidP="0098491D">
      <w:pPr>
        <w:pStyle w:val="FootnoteText"/>
        <w:spacing w:line="360" w:lineRule="auto"/>
        <w:ind w:left="0"/>
        <w:contextualSpacing/>
        <w:rPr>
          <w:sz w:val="24"/>
          <w:szCs w:val="22"/>
        </w:rPr>
      </w:pPr>
      <w:r w:rsidRPr="0098491D">
        <w:rPr>
          <w:b/>
          <w:sz w:val="24"/>
          <w:szCs w:val="22"/>
        </w:rPr>
        <w:t>Abbreviated title</w:t>
      </w:r>
      <w:r w:rsidRPr="0098491D">
        <w:rPr>
          <w:sz w:val="24"/>
          <w:szCs w:val="22"/>
        </w:rPr>
        <w:t>: Drug Consumption Room policies in the UK and Germany</w:t>
      </w:r>
    </w:p>
    <w:p w:rsidR="00131E53" w:rsidRDefault="00131E53" w:rsidP="0098491D">
      <w:pPr>
        <w:pStyle w:val="FootnoteText"/>
        <w:spacing w:line="360" w:lineRule="auto"/>
        <w:ind w:left="0"/>
        <w:contextualSpacing/>
        <w:rPr>
          <w:sz w:val="24"/>
          <w:szCs w:val="22"/>
        </w:rPr>
      </w:pPr>
    </w:p>
    <w:p w:rsidR="00131E53" w:rsidRDefault="00131E53" w:rsidP="0098491D">
      <w:pPr>
        <w:pStyle w:val="FootnoteText"/>
        <w:spacing w:line="360" w:lineRule="auto"/>
        <w:ind w:left="0"/>
        <w:contextualSpacing/>
        <w:rPr>
          <w:sz w:val="24"/>
          <w:szCs w:val="22"/>
        </w:rPr>
      </w:pPr>
    </w:p>
    <w:p w:rsidR="00131E53" w:rsidRDefault="00131E53" w:rsidP="0098491D">
      <w:pPr>
        <w:pStyle w:val="FootnoteText"/>
        <w:spacing w:line="360" w:lineRule="auto"/>
        <w:ind w:left="0"/>
        <w:contextualSpacing/>
        <w:rPr>
          <w:sz w:val="24"/>
          <w:szCs w:val="22"/>
        </w:rPr>
      </w:pPr>
    </w:p>
    <w:p w:rsidR="00131E53" w:rsidRDefault="00131E53" w:rsidP="0098491D">
      <w:pPr>
        <w:pStyle w:val="FootnoteText"/>
        <w:spacing w:line="360" w:lineRule="auto"/>
        <w:ind w:left="0"/>
        <w:contextualSpacing/>
        <w:rPr>
          <w:sz w:val="24"/>
          <w:szCs w:val="22"/>
        </w:rPr>
      </w:pPr>
    </w:p>
    <w:p w:rsidR="00131E53" w:rsidRDefault="00131E53" w:rsidP="0098491D">
      <w:pPr>
        <w:pStyle w:val="FootnoteText"/>
        <w:spacing w:line="360" w:lineRule="auto"/>
        <w:ind w:left="0"/>
        <w:contextualSpacing/>
        <w:rPr>
          <w:sz w:val="24"/>
          <w:szCs w:val="22"/>
        </w:rPr>
      </w:pPr>
    </w:p>
    <w:p w:rsidR="00131E53" w:rsidRDefault="00131E53" w:rsidP="0098491D">
      <w:pPr>
        <w:pStyle w:val="FootnoteText"/>
        <w:spacing w:line="360" w:lineRule="auto"/>
        <w:ind w:left="0"/>
        <w:contextualSpacing/>
        <w:rPr>
          <w:sz w:val="24"/>
          <w:szCs w:val="22"/>
        </w:rPr>
      </w:pPr>
    </w:p>
    <w:p w:rsidR="00131E53" w:rsidRDefault="00131E53" w:rsidP="0098491D">
      <w:pPr>
        <w:pStyle w:val="FootnoteText"/>
        <w:spacing w:line="360" w:lineRule="auto"/>
        <w:ind w:left="0"/>
        <w:contextualSpacing/>
        <w:rPr>
          <w:sz w:val="24"/>
          <w:szCs w:val="22"/>
        </w:rPr>
      </w:pPr>
    </w:p>
    <w:p w:rsidR="00131E53" w:rsidRDefault="00131E53" w:rsidP="0098491D">
      <w:pPr>
        <w:pStyle w:val="FootnoteText"/>
        <w:spacing w:line="360" w:lineRule="auto"/>
        <w:ind w:left="0"/>
        <w:contextualSpacing/>
        <w:rPr>
          <w:sz w:val="24"/>
          <w:szCs w:val="22"/>
        </w:rPr>
      </w:pPr>
    </w:p>
    <w:p w:rsidR="00131E53" w:rsidRDefault="00131E53" w:rsidP="0098491D">
      <w:pPr>
        <w:pStyle w:val="FootnoteText"/>
        <w:spacing w:line="360" w:lineRule="auto"/>
        <w:ind w:left="0"/>
        <w:contextualSpacing/>
        <w:rPr>
          <w:sz w:val="24"/>
          <w:szCs w:val="22"/>
        </w:rPr>
      </w:pPr>
    </w:p>
    <w:p w:rsidR="00131E53" w:rsidRDefault="00131E53" w:rsidP="0098491D">
      <w:pPr>
        <w:pStyle w:val="FootnoteText"/>
        <w:spacing w:line="360" w:lineRule="auto"/>
        <w:ind w:left="0"/>
        <w:contextualSpacing/>
        <w:rPr>
          <w:sz w:val="24"/>
          <w:szCs w:val="22"/>
        </w:rPr>
      </w:pPr>
    </w:p>
    <w:p w:rsidR="00131E53" w:rsidRDefault="00131E53" w:rsidP="0098491D">
      <w:pPr>
        <w:pStyle w:val="FootnoteText"/>
        <w:spacing w:line="360" w:lineRule="auto"/>
        <w:ind w:left="0"/>
        <w:contextualSpacing/>
        <w:rPr>
          <w:sz w:val="24"/>
          <w:szCs w:val="22"/>
        </w:rPr>
      </w:pPr>
    </w:p>
    <w:p w:rsidR="00131E53" w:rsidRDefault="00131E53" w:rsidP="0098491D">
      <w:pPr>
        <w:pStyle w:val="FootnoteText"/>
        <w:spacing w:line="360" w:lineRule="auto"/>
        <w:ind w:left="0"/>
        <w:contextualSpacing/>
        <w:rPr>
          <w:sz w:val="24"/>
          <w:szCs w:val="22"/>
        </w:rPr>
      </w:pPr>
    </w:p>
    <w:p w:rsidR="00131E53" w:rsidRDefault="00131E53" w:rsidP="0098491D">
      <w:pPr>
        <w:pStyle w:val="FootnoteText"/>
        <w:spacing w:line="360" w:lineRule="auto"/>
        <w:ind w:left="0"/>
        <w:contextualSpacing/>
        <w:rPr>
          <w:sz w:val="24"/>
          <w:szCs w:val="22"/>
        </w:rPr>
      </w:pPr>
    </w:p>
    <w:p w:rsidR="00131E53" w:rsidRDefault="00131E53" w:rsidP="0098491D">
      <w:pPr>
        <w:pStyle w:val="FootnoteText"/>
        <w:spacing w:line="360" w:lineRule="auto"/>
        <w:ind w:left="0"/>
        <w:contextualSpacing/>
        <w:rPr>
          <w:sz w:val="24"/>
          <w:szCs w:val="22"/>
        </w:rPr>
      </w:pPr>
    </w:p>
    <w:p w:rsidR="00131E53" w:rsidRDefault="00131E53" w:rsidP="0098491D">
      <w:pPr>
        <w:pStyle w:val="FootnoteText"/>
        <w:spacing w:line="360" w:lineRule="auto"/>
        <w:ind w:left="0"/>
        <w:contextualSpacing/>
        <w:rPr>
          <w:sz w:val="24"/>
          <w:szCs w:val="22"/>
        </w:rPr>
      </w:pPr>
    </w:p>
    <w:p w:rsidR="00131E53" w:rsidRDefault="00131E53" w:rsidP="0098491D">
      <w:pPr>
        <w:pStyle w:val="FootnoteText"/>
        <w:spacing w:line="360" w:lineRule="auto"/>
        <w:ind w:left="0"/>
        <w:contextualSpacing/>
        <w:rPr>
          <w:sz w:val="24"/>
          <w:szCs w:val="22"/>
        </w:rPr>
      </w:pPr>
      <w:proofErr w:type="gramStart"/>
      <w:r>
        <w:rPr>
          <w:sz w:val="24"/>
          <w:szCs w:val="22"/>
        </w:rPr>
        <w:t xml:space="preserve">Charlie Lloyd, Rm 208b, ARRC Building, Health Sciences </w:t>
      </w:r>
      <w:proofErr w:type="spellStart"/>
      <w:r>
        <w:rPr>
          <w:sz w:val="24"/>
          <w:szCs w:val="22"/>
        </w:rPr>
        <w:t>Dept</w:t>
      </w:r>
      <w:proofErr w:type="spellEnd"/>
      <w:r>
        <w:rPr>
          <w:sz w:val="24"/>
          <w:szCs w:val="22"/>
        </w:rPr>
        <w:t xml:space="preserve">, University of York, </w:t>
      </w:r>
      <w:proofErr w:type="spellStart"/>
      <w:r>
        <w:rPr>
          <w:sz w:val="24"/>
          <w:szCs w:val="22"/>
        </w:rPr>
        <w:t>Heslington</w:t>
      </w:r>
      <w:proofErr w:type="spellEnd"/>
      <w:r>
        <w:rPr>
          <w:sz w:val="24"/>
          <w:szCs w:val="22"/>
        </w:rPr>
        <w:t>, York YO105DD, UK.</w:t>
      </w:r>
      <w:proofErr w:type="gramEnd"/>
      <w:r>
        <w:rPr>
          <w:sz w:val="24"/>
          <w:szCs w:val="22"/>
        </w:rPr>
        <w:t xml:space="preserve"> Tel: ++44 1904 321912. </w:t>
      </w:r>
    </w:p>
    <w:p w:rsidR="0098491D" w:rsidRPr="00131E53" w:rsidRDefault="00131E53" w:rsidP="00131E53">
      <w:pPr>
        <w:pStyle w:val="FootnoteText"/>
        <w:spacing w:line="360" w:lineRule="auto"/>
        <w:ind w:left="0"/>
        <w:contextualSpacing/>
        <w:rPr>
          <w:sz w:val="24"/>
          <w:szCs w:val="22"/>
        </w:rPr>
      </w:pPr>
      <w:r>
        <w:rPr>
          <w:sz w:val="24"/>
          <w:szCs w:val="22"/>
        </w:rPr>
        <w:t>Email: Charlie.lloyd@york.ac.uk</w:t>
      </w:r>
      <w:r w:rsidR="0098491D">
        <w:rPr>
          <w:b/>
        </w:rPr>
        <w:br w:type="page"/>
      </w:r>
    </w:p>
    <w:p w:rsidR="006C311B" w:rsidRDefault="00BA259B" w:rsidP="001134E8">
      <w:pPr>
        <w:spacing w:line="360" w:lineRule="auto"/>
        <w:ind w:left="0"/>
        <w:contextualSpacing/>
        <w:rPr>
          <w:b/>
        </w:rPr>
      </w:pPr>
      <w:r>
        <w:rPr>
          <w:b/>
        </w:rPr>
        <w:lastRenderedPageBreak/>
        <w:t xml:space="preserve">Journal of Substance Use </w:t>
      </w:r>
      <w:r w:rsidR="006C311B">
        <w:rPr>
          <w:b/>
        </w:rPr>
        <w:t>Commentary</w:t>
      </w:r>
    </w:p>
    <w:p w:rsidR="006C311B" w:rsidRDefault="006C311B" w:rsidP="001134E8">
      <w:pPr>
        <w:spacing w:line="360" w:lineRule="auto"/>
        <w:ind w:left="0"/>
        <w:contextualSpacing/>
        <w:rPr>
          <w:b/>
        </w:rPr>
      </w:pPr>
    </w:p>
    <w:p w:rsidR="003264DF" w:rsidRDefault="00286EFC" w:rsidP="001134E8">
      <w:pPr>
        <w:spacing w:line="360" w:lineRule="auto"/>
        <w:ind w:left="0"/>
        <w:contextualSpacing/>
        <w:rPr>
          <w:b/>
        </w:rPr>
      </w:pPr>
      <w:r w:rsidRPr="00286EFC">
        <w:rPr>
          <w:b/>
        </w:rPr>
        <w:t xml:space="preserve">Similar Problems, Divergent Responses: Drug Consumption Room </w:t>
      </w:r>
      <w:r w:rsidR="006C311B">
        <w:rPr>
          <w:b/>
        </w:rPr>
        <w:t>p</w:t>
      </w:r>
      <w:r w:rsidRPr="00286EFC">
        <w:rPr>
          <w:b/>
        </w:rPr>
        <w:t>olicies in the UK and Germany</w:t>
      </w:r>
    </w:p>
    <w:p w:rsidR="00131E53" w:rsidRDefault="00131E53" w:rsidP="001134E8">
      <w:pPr>
        <w:spacing w:line="360" w:lineRule="auto"/>
        <w:ind w:left="0"/>
        <w:contextualSpacing/>
        <w:rPr>
          <w:b/>
        </w:rPr>
      </w:pPr>
    </w:p>
    <w:p w:rsidR="00131E53" w:rsidRDefault="00131E53" w:rsidP="001134E8">
      <w:pPr>
        <w:spacing w:line="360" w:lineRule="auto"/>
        <w:ind w:left="0"/>
        <w:contextualSpacing/>
        <w:rPr>
          <w:b/>
        </w:rPr>
      </w:pPr>
      <w:r>
        <w:rPr>
          <w:b/>
        </w:rPr>
        <w:t>Abstract</w:t>
      </w:r>
    </w:p>
    <w:p w:rsidR="0098491D" w:rsidRDefault="00131E53" w:rsidP="00CE68DE">
      <w:pPr>
        <w:spacing w:line="360" w:lineRule="auto"/>
        <w:ind w:left="0"/>
        <w:contextualSpacing/>
      </w:pPr>
      <w:bookmarkStart w:id="0" w:name="_GoBack"/>
      <w:r>
        <w:t xml:space="preserve">Drug Consumption Rooms (DCRs) </w:t>
      </w:r>
      <w:r w:rsidRPr="00E349D5">
        <w:rPr>
          <w:lang w:val="en-US"/>
        </w:rPr>
        <w:t xml:space="preserve">enable the consumption of pre-obtained drugs under </w:t>
      </w:r>
      <w:r w:rsidR="003A30CB">
        <w:rPr>
          <w:lang w:val="en-US"/>
        </w:rPr>
        <w:t xml:space="preserve">supervised </w:t>
      </w:r>
      <w:r w:rsidRPr="00E349D5">
        <w:rPr>
          <w:lang w:val="en-US"/>
        </w:rPr>
        <w:t>conditions</w:t>
      </w:r>
      <w:r>
        <w:t>.</w:t>
      </w:r>
      <w:r w:rsidR="003A30CB">
        <w:t xml:space="preserve"> While 24 DCRs </w:t>
      </w:r>
      <w:r w:rsidR="00CE68DE">
        <w:t xml:space="preserve">exist </w:t>
      </w:r>
      <w:r w:rsidR="003A30CB">
        <w:t>in</w:t>
      </w:r>
      <w:r w:rsidR="00504F2A">
        <w:t xml:space="preserve"> Germany</w:t>
      </w:r>
      <w:r w:rsidR="003A30CB">
        <w:t xml:space="preserve"> </w:t>
      </w:r>
      <w:r w:rsidR="00504F2A">
        <w:t>there are none</w:t>
      </w:r>
      <w:r w:rsidR="00080B00">
        <w:t xml:space="preserve"> in the UK</w:t>
      </w:r>
      <w:r w:rsidR="00504F2A">
        <w:t>, despite similar levels of drug-related harms</w:t>
      </w:r>
      <w:r w:rsidR="00A43CC4">
        <w:t>.</w:t>
      </w:r>
      <w:r w:rsidR="00504F2A">
        <w:t xml:space="preserve"> T</w:t>
      </w:r>
      <w:r w:rsidR="001C6D2B">
        <w:t xml:space="preserve">he first </w:t>
      </w:r>
      <w:r w:rsidR="00504F2A">
        <w:t xml:space="preserve">official, German </w:t>
      </w:r>
      <w:r w:rsidR="001C6D2B">
        <w:t>DCR</w:t>
      </w:r>
      <w:r w:rsidR="003A30CB">
        <w:t>s were</w:t>
      </w:r>
      <w:r w:rsidR="001C6D2B">
        <w:t xml:space="preserve"> introduced in Hamburg</w:t>
      </w:r>
      <w:r w:rsidR="00080B00">
        <w:t xml:space="preserve"> </w:t>
      </w:r>
      <w:r w:rsidR="003A30CB">
        <w:t>and Frankfurt in the mid-1990s.</w:t>
      </w:r>
      <w:r w:rsidR="00080B00">
        <w:t xml:space="preserve"> </w:t>
      </w:r>
      <w:r w:rsidR="009324DA">
        <w:t>A</w:t>
      </w:r>
      <w:r w:rsidR="00080B00">
        <w:t xml:space="preserve"> key </w:t>
      </w:r>
      <w:r w:rsidR="003A30CB">
        <w:t>influence</w:t>
      </w:r>
      <w:r w:rsidR="00080B00">
        <w:t xml:space="preserve"> </w:t>
      </w:r>
      <w:r w:rsidR="003A30CB">
        <w:t xml:space="preserve">was </w:t>
      </w:r>
      <w:r w:rsidR="00080B00">
        <w:t xml:space="preserve">the appearance of ‘open drug scenes’ in </w:t>
      </w:r>
      <w:r w:rsidR="003A30CB">
        <w:t xml:space="preserve">such </w:t>
      </w:r>
      <w:r w:rsidR="009324DA">
        <w:t xml:space="preserve">cities </w:t>
      </w:r>
      <w:r w:rsidR="00CE68DE">
        <w:t>over this time</w:t>
      </w:r>
      <w:r w:rsidR="003A30CB">
        <w:t>, w</w:t>
      </w:r>
      <w:r w:rsidR="00080B00">
        <w:t>hereby large numbers of users congregated in</w:t>
      </w:r>
      <w:r w:rsidR="009324DA">
        <w:t xml:space="preserve"> parks or shopping centres. </w:t>
      </w:r>
      <w:r w:rsidR="003A30CB">
        <w:t>This l</w:t>
      </w:r>
      <w:r w:rsidR="009324DA">
        <w:t>ed to powerful coalitions of politicians, police and treatment agencies</w:t>
      </w:r>
      <w:r w:rsidR="003A30CB">
        <w:t xml:space="preserve"> and</w:t>
      </w:r>
      <w:r w:rsidR="003B1D34">
        <w:t xml:space="preserve"> </w:t>
      </w:r>
      <w:r w:rsidR="009324DA">
        <w:t xml:space="preserve">DCRs were seen as </w:t>
      </w:r>
      <w:r w:rsidR="003B1D34">
        <w:t>a professional response</w:t>
      </w:r>
      <w:r w:rsidR="009324DA">
        <w:t xml:space="preserve"> to </w:t>
      </w:r>
      <w:r w:rsidR="003B1D34">
        <w:t xml:space="preserve">these </w:t>
      </w:r>
      <w:r w:rsidR="009324DA">
        <w:t>problems</w:t>
      </w:r>
      <w:r w:rsidR="003A30CB">
        <w:t>.</w:t>
      </w:r>
      <w:r w:rsidR="009324DA">
        <w:t xml:space="preserve"> In the UK, there have been two high profile recommendations for the piloting of DCRs</w:t>
      </w:r>
      <w:r w:rsidR="003A30CB">
        <w:t xml:space="preserve"> which </w:t>
      </w:r>
      <w:r w:rsidR="009324DA">
        <w:t>have been rejected by t</w:t>
      </w:r>
      <w:r w:rsidR="009B5130">
        <w:t xml:space="preserve">he Government for </w:t>
      </w:r>
      <w:r w:rsidR="00816522">
        <w:t xml:space="preserve">a number of </w:t>
      </w:r>
      <w:r w:rsidR="009B5130">
        <w:t>r</w:t>
      </w:r>
      <w:r w:rsidR="003B1D34">
        <w:t>easons</w:t>
      </w:r>
      <w:r w:rsidR="009B5130">
        <w:t xml:space="preserve"> including lack of evidence, </w:t>
      </w:r>
      <w:r w:rsidR="003A30CB">
        <w:t>legal problems</w:t>
      </w:r>
      <w:r w:rsidR="009B5130">
        <w:t xml:space="preserve"> and negative media response</w:t>
      </w:r>
      <w:r w:rsidR="003A30CB">
        <w:t>s</w:t>
      </w:r>
      <w:r w:rsidR="009B5130">
        <w:t>. In explain</w:t>
      </w:r>
      <w:r w:rsidR="00A43CC4">
        <w:t>ing</w:t>
      </w:r>
      <w:r w:rsidR="009B5130">
        <w:t xml:space="preserve"> the different </w:t>
      </w:r>
      <w:r w:rsidR="003A30CB">
        <w:t xml:space="preserve">situations </w:t>
      </w:r>
      <w:r w:rsidR="009B5130">
        <w:t xml:space="preserve">in the two countries, </w:t>
      </w:r>
      <w:r w:rsidR="00504F2A">
        <w:t xml:space="preserve">key factors </w:t>
      </w:r>
      <w:r w:rsidR="003A30CB">
        <w:t xml:space="preserve">are </w:t>
      </w:r>
      <w:r w:rsidR="00504F2A">
        <w:t xml:space="preserve">the </w:t>
      </w:r>
      <w:r w:rsidR="00CE68DE">
        <w:t xml:space="preserve">potential </w:t>
      </w:r>
      <w:r w:rsidR="003B1D34">
        <w:t xml:space="preserve">for </w:t>
      </w:r>
      <w:r w:rsidR="00CE68DE">
        <w:t>city-level policies</w:t>
      </w:r>
      <w:r w:rsidR="00504F2A">
        <w:t>; the stigma attached to drug users in media reporting;</w:t>
      </w:r>
      <w:r w:rsidR="00A43CC4">
        <w:t xml:space="preserve"> and</w:t>
      </w:r>
      <w:r w:rsidR="00504F2A">
        <w:t xml:space="preserve"> the </w:t>
      </w:r>
      <w:r w:rsidR="00CE68DE">
        <w:t xml:space="preserve">historical </w:t>
      </w:r>
      <w:r w:rsidR="00A43CC4">
        <w:t xml:space="preserve">development </w:t>
      </w:r>
      <w:r w:rsidR="00504F2A">
        <w:t>of open drug scenes</w:t>
      </w:r>
      <w:r w:rsidR="00CE68DE">
        <w:t>. C</w:t>
      </w:r>
      <w:r w:rsidR="00504F2A">
        <w:t>hance</w:t>
      </w:r>
      <w:r w:rsidR="00CE68DE">
        <w:t xml:space="preserve"> has also played a part, particularly in the UK.</w:t>
      </w:r>
      <w:r w:rsidR="00504F2A">
        <w:t xml:space="preserve"> Drug policy is rarely </w:t>
      </w:r>
      <w:r w:rsidR="00CE68DE">
        <w:t xml:space="preserve">a government </w:t>
      </w:r>
      <w:r w:rsidR="00504F2A">
        <w:t xml:space="preserve">priority and </w:t>
      </w:r>
      <w:r w:rsidR="00CE68DE">
        <w:t xml:space="preserve">drug policy </w:t>
      </w:r>
      <w:r w:rsidR="00504F2A">
        <w:t xml:space="preserve">decisions are therefore </w:t>
      </w:r>
      <w:r w:rsidR="00CE68DE">
        <w:t>affected by w</w:t>
      </w:r>
      <w:r w:rsidR="00504F2A">
        <w:t>ide</w:t>
      </w:r>
      <w:r w:rsidR="00CE68DE">
        <w:t>r political goals and pressures in unpredictable ways.</w:t>
      </w:r>
    </w:p>
    <w:bookmarkEnd w:id="0"/>
    <w:p w:rsidR="00CE68DE" w:rsidRDefault="00CE68DE" w:rsidP="00CE68DE">
      <w:pPr>
        <w:spacing w:line="360" w:lineRule="auto"/>
        <w:ind w:left="0"/>
        <w:contextualSpacing/>
      </w:pPr>
    </w:p>
    <w:p w:rsidR="00CE68DE" w:rsidRPr="00CE68DE" w:rsidRDefault="00CE68DE" w:rsidP="00CE68DE">
      <w:pPr>
        <w:spacing w:line="360" w:lineRule="auto"/>
        <w:ind w:left="0"/>
        <w:contextualSpacing/>
      </w:pPr>
      <w:r>
        <w:rPr>
          <w:b/>
        </w:rPr>
        <w:t xml:space="preserve">Key words: </w:t>
      </w:r>
      <w:r>
        <w:t>drug consumption rooms; Germany, UK.</w:t>
      </w:r>
    </w:p>
    <w:p w:rsidR="005E1598" w:rsidRDefault="005E1598" w:rsidP="001134E8">
      <w:pPr>
        <w:spacing w:line="360" w:lineRule="auto"/>
        <w:ind w:left="0"/>
        <w:contextualSpacing/>
      </w:pPr>
    </w:p>
    <w:p w:rsidR="00654B52" w:rsidRDefault="00654B52">
      <w:r>
        <w:br w:type="page"/>
      </w:r>
    </w:p>
    <w:p w:rsidR="00654B52" w:rsidRPr="00654B52" w:rsidRDefault="00654B52" w:rsidP="00654B52">
      <w:pPr>
        <w:spacing w:line="360" w:lineRule="auto"/>
        <w:ind w:left="0"/>
        <w:contextualSpacing/>
        <w:rPr>
          <w:b/>
        </w:rPr>
      </w:pPr>
      <w:r w:rsidRPr="00286EFC">
        <w:rPr>
          <w:b/>
        </w:rPr>
        <w:lastRenderedPageBreak/>
        <w:t xml:space="preserve">Similar Problems, Divergent Responses: Drug Consumption Room </w:t>
      </w:r>
      <w:r>
        <w:rPr>
          <w:b/>
        </w:rPr>
        <w:t>p</w:t>
      </w:r>
      <w:r w:rsidRPr="00286EFC">
        <w:rPr>
          <w:b/>
        </w:rPr>
        <w:t>olicies in the UK and Germany</w:t>
      </w:r>
    </w:p>
    <w:p w:rsidR="00654B52" w:rsidRDefault="00654B52" w:rsidP="001134E8">
      <w:pPr>
        <w:autoSpaceDE w:val="0"/>
        <w:autoSpaceDN w:val="0"/>
        <w:adjustRightInd w:val="0"/>
        <w:spacing w:after="0" w:line="360" w:lineRule="auto"/>
        <w:ind w:left="0"/>
        <w:contextualSpacing/>
      </w:pPr>
    </w:p>
    <w:p w:rsidR="00D1349D" w:rsidRDefault="00286EFC" w:rsidP="001134E8">
      <w:pPr>
        <w:autoSpaceDE w:val="0"/>
        <w:autoSpaceDN w:val="0"/>
        <w:adjustRightInd w:val="0"/>
        <w:spacing w:after="0" w:line="360" w:lineRule="auto"/>
        <w:ind w:left="0"/>
        <w:contextualSpacing/>
      </w:pPr>
      <w:r>
        <w:t xml:space="preserve">Drug Consumption Rooms </w:t>
      </w:r>
      <w:r w:rsidR="001F3637">
        <w:t xml:space="preserve">(DCRs) </w:t>
      </w:r>
      <w:r w:rsidR="00A36BC4">
        <w:t xml:space="preserve">are </w:t>
      </w:r>
      <w:r w:rsidR="00540BFB" w:rsidRPr="00E349D5">
        <w:rPr>
          <w:lang w:val="en-US"/>
        </w:rPr>
        <w:t>supervised healthcare facilities that enable the consumption of pre-obtained drugs under safer and hygienic conditions (</w:t>
      </w:r>
      <w:proofErr w:type="spellStart"/>
      <w:r w:rsidR="00540BFB" w:rsidRPr="00E349D5">
        <w:rPr>
          <w:lang w:val="en-US"/>
        </w:rPr>
        <w:t>Hedrich</w:t>
      </w:r>
      <w:proofErr w:type="spellEnd"/>
      <w:r w:rsidR="00540BFB" w:rsidRPr="00E349D5">
        <w:rPr>
          <w:lang w:val="en-US"/>
        </w:rPr>
        <w:t xml:space="preserve"> et al. 2010</w:t>
      </w:r>
      <w:r w:rsidR="00654B52">
        <w:rPr>
          <w:lang w:val="en-US"/>
        </w:rPr>
        <w:t xml:space="preserve">; Schatz </w:t>
      </w:r>
      <w:r w:rsidR="00654B52">
        <w:rPr>
          <w:sz w:val="23"/>
          <w:szCs w:val="23"/>
        </w:rPr>
        <w:t xml:space="preserve">&amp; </w:t>
      </w:r>
      <w:proofErr w:type="spellStart"/>
      <w:r w:rsidR="009F3793">
        <w:rPr>
          <w:lang w:val="en-US"/>
        </w:rPr>
        <w:t>Nougier</w:t>
      </w:r>
      <w:proofErr w:type="spellEnd"/>
      <w:r w:rsidR="009F3793">
        <w:rPr>
          <w:lang w:val="en-US"/>
        </w:rPr>
        <w:t>, 2012</w:t>
      </w:r>
      <w:r w:rsidR="00540BFB" w:rsidRPr="00E349D5">
        <w:rPr>
          <w:lang w:val="en-US"/>
        </w:rPr>
        <w:t>).</w:t>
      </w:r>
      <w:r w:rsidR="001F3637">
        <w:t xml:space="preserve"> The first official DCR was opened in Berne, Switzerland in June 1986 and by the mid</w:t>
      </w:r>
      <w:r w:rsidR="00275606">
        <w:t>-</w:t>
      </w:r>
      <w:r w:rsidR="001F3637">
        <w:t>2000s there were 12 DCRs across seven Swiss cities, 2</w:t>
      </w:r>
      <w:r w:rsidR="0037297F">
        <w:t>4</w:t>
      </w:r>
      <w:r w:rsidR="001F3637">
        <w:t xml:space="preserve"> rooms in 1</w:t>
      </w:r>
      <w:r w:rsidR="0037297F">
        <w:t>5</w:t>
      </w:r>
      <w:r w:rsidR="001F3637">
        <w:t xml:space="preserve"> German cities and </w:t>
      </w:r>
      <w:r w:rsidR="0037297F">
        <w:t>30</w:t>
      </w:r>
      <w:r w:rsidR="001F3637">
        <w:t xml:space="preserve"> in </w:t>
      </w:r>
      <w:r w:rsidR="0037297F">
        <w:t>23</w:t>
      </w:r>
      <w:r w:rsidR="001F3637">
        <w:t xml:space="preserve"> Dutch cities (</w:t>
      </w:r>
      <w:proofErr w:type="spellStart"/>
      <w:r w:rsidR="0037297F">
        <w:t>Havinga</w:t>
      </w:r>
      <w:proofErr w:type="spellEnd"/>
      <w:r w:rsidR="0037297F">
        <w:t xml:space="preserve"> &amp; Van der </w:t>
      </w:r>
      <w:proofErr w:type="spellStart"/>
      <w:r w:rsidR="0037297F">
        <w:t>Poel</w:t>
      </w:r>
      <w:proofErr w:type="spellEnd"/>
      <w:r w:rsidR="0037297F">
        <w:t xml:space="preserve"> 2011</w:t>
      </w:r>
      <w:r w:rsidR="00116BCF">
        <w:t xml:space="preserve">; </w:t>
      </w:r>
      <w:proofErr w:type="spellStart"/>
      <w:r w:rsidR="00116BCF">
        <w:rPr>
          <w:lang w:val="en-US"/>
        </w:rPr>
        <w:t>Schäffer</w:t>
      </w:r>
      <w:proofErr w:type="spellEnd"/>
      <w:r w:rsidR="00654B52">
        <w:rPr>
          <w:lang w:val="en-US"/>
        </w:rPr>
        <w:t xml:space="preserve"> </w:t>
      </w:r>
      <w:r w:rsidR="00654B52">
        <w:rPr>
          <w:i/>
          <w:lang w:val="en-US"/>
        </w:rPr>
        <w:t>et al.</w:t>
      </w:r>
      <w:r w:rsidR="00654B52">
        <w:rPr>
          <w:lang w:val="en-US"/>
        </w:rPr>
        <w:t xml:space="preserve">, </w:t>
      </w:r>
      <w:r w:rsidR="00116BCF" w:rsidRPr="00505676">
        <w:rPr>
          <w:lang w:val="en-US"/>
        </w:rPr>
        <w:t>2014</w:t>
      </w:r>
      <w:r w:rsidR="001F3637">
        <w:t>). DCRs have also been implemented in Spain, Aus</w:t>
      </w:r>
      <w:r w:rsidR="00A67927">
        <w:t xml:space="preserve">tralia, Canada, Luxembourg, </w:t>
      </w:r>
      <w:r w:rsidR="001F3637">
        <w:t>Norway</w:t>
      </w:r>
      <w:r w:rsidR="00C97E45">
        <w:t xml:space="preserve">, </w:t>
      </w:r>
      <w:r w:rsidR="00F07400">
        <w:t>Denmark</w:t>
      </w:r>
      <w:r w:rsidR="00C97E45">
        <w:t xml:space="preserve"> and most recently</w:t>
      </w:r>
      <w:r w:rsidR="008C656A">
        <w:t xml:space="preserve"> (al</w:t>
      </w:r>
      <w:r w:rsidR="006C311B">
        <w:t>beit</w:t>
      </w:r>
      <w:r w:rsidR="008C656A">
        <w:t xml:space="preserve"> temporarily)</w:t>
      </w:r>
      <w:r w:rsidR="00C97E45">
        <w:t>, Greece</w:t>
      </w:r>
      <w:r w:rsidR="00A307F6">
        <w:t>.</w:t>
      </w:r>
      <w:r w:rsidR="005B248C">
        <w:t xml:space="preserve"> At the time of writing </w:t>
      </w:r>
      <w:r w:rsidR="00CC1124">
        <w:t>the</w:t>
      </w:r>
      <w:r w:rsidR="00F07400">
        <w:t xml:space="preserve">re are </w:t>
      </w:r>
      <w:r w:rsidR="005A1DA7">
        <w:t xml:space="preserve">also </w:t>
      </w:r>
      <w:r w:rsidR="00F07400">
        <w:t xml:space="preserve">advanced plans for </w:t>
      </w:r>
      <w:r w:rsidR="00CC1124">
        <w:t>the introduction of pilot projects</w:t>
      </w:r>
      <w:r w:rsidR="00D1349D">
        <w:t xml:space="preserve"> in France. However, there are no </w:t>
      </w:r>
      <w:r w:rsidR="00A36BC4">
        <w:t xml:space="preserve">official </w:t>
      </w:r>
      <w:r w:rsidR="00D1349D">
        <w:t xml:space="preserve">plans for the introduction of DCRs in the UK. </w:t>
      </w:r>
    </w:p>
    <w:p w:rsidR="00C97E45" w:rsidRDefault="00C97E45" w:rsidP="001134E8">
      <w:pPr>
        <w:autoSpaceDE w:val="0"/>
        <w:autoSpaceDN w:val="0"/>
        <w:adjustRightInd w:val="0"/>
        <w:spacing w:after="0" w:line="360" w:lineRule="auto"/>
        <w:ind w:left="0"/>
        <w:contextualSpacing/>
      </w:pPr>
    </w:p>
    <w:p w:rsidR="00286EFC" w:rsidRDefault="00D1349D" w:rsidP="001134E8">
      <w:pPr>
        <w:autoSpaceDE w:val="0"/>
        <w:autoSpaceDN w:val="0"/>
        <w:adjustRightInd w:val="0"/>
        <w:spacing w:after="0" w:line="360" w:lineRule="auto"/>
        <w:ind w:left="0"/>
        <w:contextualSpacing/>
      </w:pPr>
      <w:r>
        <w:t xml:space="preserve">Much of the </w:t>
      </w:r>
      <w:r w:rsidR="00123E22">
        <w:t xml:space="preserve">research </w:t>
      </w:r>
      <w:r>
        <w:t xml:space="preserve">on </w:t>
      </w:r>
      <w:r w:rsidR="00F577E8">
        <w:t>DCRs has</w:t>
      </w:r>
      <w:r w:rsidR="00123E22">
        <w:t xml:space="preserve"> focused on </w:t>
      </w:r>
      <w:r>
        <w:t>effectiveness</w:t>
      </w:r>
      <w:r w:rsidR="00227792">
        <w:t xml:space="preserve"> </w:t>
      </w:r>
      <w:r w:rsidR="00123E22">
        <w:t>(</w:t>
      </w:r>
      <w:r w:rsidR="00F07400">
        <w:t xml:space="preserve">e.g. </w:t>
      </w:r>
      <w:proofErr w:type="spellStart"/>
      <w:r w:rsidR="00123E22">
        <w:t>Hedrich</w:t>
      </w:r>
      <w:proofErr w:type="spellEnd"/>
      <w:r w:rsidR="00123E22">
        <w:t xml:space="preserve"> </w:t>
      </w:r>
      <w:r w:rsidR="00123E22" w:rsidRPr="00654B52">
        <w:rPr>
          <w:i/>
        </w:rPr>
        <w:t>et al</w:t>
      </w:r>
      <w:r w:rsidR="00123E22">
        <w:t xml:space="preserve">., 2010; </w:t>
      </w:r>
      <w:r w:rsidR="00654B52">
        <w:t xml:space="preserve">Andresen </w:t>
      </w:r>
      <w:r w:rsidR="00654B52">
        <w:rPr>
          <w:sz w:val="23"/>
          <w:szCs w:val="23"/>
        </w:rPr>
        <w:t xml:space="preserve">&amp; </w:t>
      </w:r>
      <w:r w:rsidR="00F07400">
        <w:t>Boyd, 2010).</w:t>
      </w:r>
      <w:r w:rsidR="00123E22">
        <w:t xml:space="preserve"> There has been considerably less </w:t>
      </w:r>
      <w:r w:rsidR="00A36BC4">
        <w:t xml:space="preserve">focus on </w:t>
      </w:r>
      <w:r w:rsidR="00123E22">
        <w:t xml:space="preserve">why DCRs have been set up </w:t>
      </w:r>
      <w:r w:rsidR="00F577E8">
        <w:t xml:space="preserve">at particular points in time, </w:t>
      </w:r>
      <w:r w:rsidR="00123E22">
        <w:t xml:space="preserve">in particular cities around the world. </w:t>
      </w:r>
      <w:r w:rsidR="00E70168">
        <w:t>From a</w:t>
      </w:r>
      <w:r w:rsidR="00680CB1">
        <w:t xml:space="preserve"> technical/rational</w:t>
      </w:r>
      <w:r w:rsidR="00F577E8">
        <w:t xml:space="preserve"> </w:t>
      </w:r>
      <w:r w:rsidR="00E70168">
        <w:t>perspective</w:t>
      </w:r>
      <w:r w:rsidR="00680CB1">
        <w:t xml:space="preserve"> (</w:t>
      </w:r>
      <w:r w:rsidR="004D6BCD">
        <w:t xml:space="preserve">Woods 2014; </w:t>
      </w:r>
      <w:proofErr w:type="spellStart"/>
      <w:r w:rsidR="004D6BCD">
        <w:t>Peacey</w:t>
      </w:r>
      <w:proofErr w:type="spellEnd"/>
      <w:r w:rsidR="004D6BCD">
        <w:t xml:space="preserve"> 2014; </w:t>
      </w:r>
      <w:r w:rsidR="00654B52">
        <w:t xml:space="preserve">Ritter </w:t>
      </w:r>
      <w:r w:rsidR="00654B52">
        <w:rPr>
          <w:sz w:val="23"/>
          <w:szCs w:val="23"/>
        </w:rPr>
        <w:t xml:space="preserve">&amp; </w:t>
      </w:r>
      <w:proofErr w:type="spellStart"/>
      <w:r w:rsidR="00680CB1">
        <w:t>Bammer</w:t>
      </w:r>
      <w:proofErr w:type="spellEnd"/>
      <w:r w:rsidR="00680CB1">
        <w:t xml:space="preserve">, 2010), such </w:t>
      </w:r>
      <w:r w:rsidR="00D373C4">
        <w:t xml:space="preserve">policy </w:t>
      </w:r>
      <w:r w:rsidR="00680CB1">
        <w:t xml:space="preserve">decisions </w:t>
      </w:r>
      <w:r w:rsidR="00B54B23">
        <w:t xml:space="preserve">would </w:t>
      </w:r>
      <w:r w:rsidR="00275606">
        <w:t xml:space="preserve">be </w:t>
      </w:r>
      <w:r w:rsidR="00F577E8">
        <w:t xml:space="preserve">made through a </w:t>
      </w:r>
      <w:r w:rsidR="00680CB1">
        <w:t>sequential process of defining problems and causes, sel</w:t>
      </w:r>
      <w:r w:rsidR="00B54B23">
        <w:t>ecting the best policy solution and implementing it.</w:t>
      </w:r>
      <w:r w:rsidR="002825D3">
        <w:t xml:space="preserve"> </w:t>
      </w:r>
      <w:r w:rsidR="005F0C84">
        <w:t xml:space="preserve">However, </w:t>
      </w:r>
      <w:r w:rsidR="00D373C4">
        <w:t xml:space="preserve">it has been increasingly recognised by social policy theorists that </w:t>
      </w:r>
      <w:r w:rsidR="00A36BC4">
        <w:t>such</w:t>
      </w:r>
      <w:r w:rsidR="00511F02">
        <w:t xml:space="preserve"> linear, ‘top-down’ model</w:t>
      </w:r>
      <w:r w:rsidR="00A36BC4">
        <w:t>s</w:t>
      </w:r>
      <w:r w:rsidR="00511F02">
        <w:t xml:space="preserve"> </w:t>
      </w:r>
      <w:r w:rsidR="00A36BC4">
        <w:t>are</w:t>
      </w:r>
      <w:r w:rsidR="00D373C4">
        <w:t xml:space="preserve"> rarely seen in reality</w:t>
      </w:r>
      <w:r w:rsidR="00227792">
        <w:t xml:space="preserve">. Such models </w:t>
      </w:r>
      <w:r w:rsidR="00A36BC4">
        <w:t xml:space="preserve">have been </w:t>
      </w:r>
      <w:r w:rsidR="00511F02">
        <w:t xml:space="preserve">eschewed </w:t>
      </w:r>
      <w:r w:rsidR="006B5C3D">
        <w:t>in favour of theori</w:t>
      </w:r>
      <w:r w:rsidR="00511F02">
        <w:t xml:space="preserve">es of </w:t>
      </w:r>
      <w:r w:rsidR="00511F02">
        <w:rPr>
          <w:i/>
        </w:rPr>
        <w:t>governance,</w:t>
      </w:r>
      <w:r w:rsidR="00975557">
        <w:t xml:space="preserve"> which emphasise complexity and the role of a variety of actors in </w:t>
      </w:r>
      <w:r w:rsidR="00975557" w:rsidRPr="007A51D6">
        <w:t>policy</w:t>
      </w:r>
      <w:r w:rsidR="00975557">
        <w:t xml:space="preserve"> formulation</w:t>
      </w:r>
      <w:r w:rsidR="00511F02">
        <w:t xml:space="preserve"> </w:t>
      </w:r>
      <w:r w:rsidR="00975557">
        <w:t xml:space="preserve">and implementation </w:t>
      </w:r>
      <w:r w:rsidR="007A51D6">
        <w:t>(</w:t>
      </w:r>
      <w:r w:rsidR="00654B52">
        <w:t xml:space="preserve">e.g. Hudson </w:t>
      </w:r>
      <w:r w:rsidR="00654B52">
        <w:rPr>
          <w:sz w:val="23"/>
          <w:szCs w:val="23"/>
        </w:rPr>
        <w:t xml:space="preserve">&amp; </w:t>
      </w:r>
      <w:r w:rsidR="007A51D6">
        <w:t>Lowe, 2004).</w:t>
      </w:r>
      <w:r w:rsidR="00975557">
        <w:t xml:space="preserve"> Moreover, given the </w:t>
      </w:r>
      <w:r w:rsidR="006B5C3D">
        <w:t xml:space="preserve">disproportionate and distorted </w:t>
      </w:r>
      <w:r w:rsidR="00975557">
        <w:t>media intere</w:t>
      </w:r>
      <w:r w:rsidR="006B5C3D">
        <w:t>st in drugs and drug users (</w:t>
      </w:r>
      <w:proofErr w:type="spellStart"/>
      <w:r w:rsidR="006B5C3D">
        <w:t>Reina</w:t>
      </w:r>
      <w:r w:rsidR="00975557">
        <w:t>rman</w:t>
      </w:r>
      <w:proofErr w:type="spellEnd"/>
      <w:r w:rsidR="006B5C3D">
        <w:t>, 1997)</w:t>
      </w:r>
      <w:r w:rsidR="00975557">
        <w:t xml:space="preserve">, the space for calm, evidence-based, </w:t>
      </w:r>
      <w:r w:rsidR="00511F02">
        <w:t xml:space="preserve">top-down </w:t>
      </w:r>
      <w:r w:rsidR="00975557">
        <w:t>drug policy is, we would argue, considerably less than in man</w:t>
      </w:r>
      <w:r w:rsidR="009B461B">
        <w:t>y other areas of social policy</w:t>
      </w:r>
      <w:r w:rsidR="00275606">
        <w:t>.</w:t>
      </w:r>
      <w:r w:rsidR="00B54B23">
        <w:t xml:space="preserve"> Furthermore</w:t>
      </w:r>
      <w:r w:rsidR="00F577E8">
        <w:t>, DCRs lie at the radical end of drug policy</w:t>
      </w:r>
      <w:r w:rsidR="00A36BC4">
        <w:t>, requiring</w:t>
      </w:r>
      <w:r w:rsidR="00275606">
        <w:t xml:space="preserve"> </w:t>
      </w:r>
      <w:r w:rsidR="0011498E">
        <w:t xml:space="preserve">that </w:t>
      </w:r>
      <w:r w:rsidR="00511F02">
        <w:t>a state</w:t>
      </w:r>
      <w:r w:rsidR="00F577E8">
        <w:t xml:space="preserve"> </w:t>
      </w:r>
      <w:r w:rsidR="0011498E">
        <w:t>which</w:t>
      </w:r>
      <w:r w:rsidR="00F577E8">
        <w:t xml:space="preserve"> </w:t>
      </w:r>
      <w:r w:rsidR="00093352">
        <w:t>has made the possession of controlled substances an offence</w:t>
      </w:r>
      <w:r w:rsidR="005F0C84">
        <w:t xml:space="preserve"> </w:t>
      </w:r>
      <w:r w:rsidR="00F577E8">
        <w:t>provide</w:t>
      </w:r>
      <w:r w:rsidR="0011498E">
        <w:t>s</w:t>
      </w:r>
      <w:r w:rsidR="00F577E8">
        <w:t xml:space="preserve"> a space for drug users to </w:t>
      </w:r>
      <w:r w:rsidR="006B5C3D">
        <w:t xml:space="preserve">use </w:t>
      </w:r>
      <w:r w:rsidR="00F577E8">
        <w:t xml:space="preserve">these controlled substances. </w:t>
      </w:r>
    </w:p>
    <w:p w:rsidR="00AC66FD" w:rsidRDefault="00AC66FD" w:rsidP="001134E8">
      <w:pPr>
        <w:autoSpaceDE w:val="0"/>
        <w:autoSpaceDN w:val="0"/>
        <w:adjustRightInd w:val="0"/>
        <w:spacing w:after="0" w:line="360" w:lineRule="auto"/>
        <w:ind w:left="0"/>
        <w:contextualSpacing/>
      </w:pPr>
    </w:p>
    <w:p w:rsidR="00AC66FD" w:rsidRDefault="00AC66FD" w:rsidP="001134E8">
      <w:pPr>
        <w:autoSpaceDE w:val="0"/>
        <w:autoSpaceDN w:val="0"/>
        <w:adjustRightInd w:val="0"/>
        <w:spacing w:after="0" w:line="360" w:lineRule="auto"/>
        <w:ind w:left="0"/>
        <w:contextualSpacing/>
      </w:pPr>
      <w:r>
        <w:t xml:space="preserve">The </w:t>
      </w:r>
      <w:r w:rsidR="00511F02">
        <w:t xml:space="preserve">initial </w:t>
      </w:r>
      <w:r>
        <w:t xml:space="preserve">aim of this paper is to focus on how policy and practice decisions have been made in two countries that, while appearing to have similar problems with regard to injecting drug use, have taken markedly different paths in their responses </w:t>
      </w:r>
      <w:r>
        <w:lastRenderedPageBreak/>
        <w:t>to these problems</w:t>
      </w:r>
      <w:r w:rsidR="00275606">
        <w:t>.</w:t>
      </w:r>
      <w:r w:rsidR="00654B52">
        <w:t xml:space="preserve"> </w:t>
      </w:r>
      <w:r w:rsidR="00892BFD">
        <w:t xml:space="preserve">It </w:t>
      </w:r>
      <w:r w:rsidR="00227792">
        <w:t xml:space="preserve">then </w:t>
      </w:r>
      <w:r w:rsidR="0021366C">
        <w:t xml:space="preserve">attempts to identify </w:t>
      </w:r>
      <w:r w:rsidR="00511F02">
        <w:t xml:space="preserve">the </w:t>
      </w:r>
      <w:r w:rsidR="00892BFD">
        <w:t xml:space="preserve">key </w:t>
      </w:r>
      <w:r w:rsidR="00511F02">
        <w:t xml:space="preserve">factors </w:t>
      </w:r>
      <w:r w:rsidR="000250AD">
        <w:t>lying be</w:t>
      </w:r>
      <w:r w:rsidR="00654B52">
        <w:t>h</w:t>
      </w:r>
      <w:r w:rsidR="000250AD">
        <w:t xml:space="preserve">ind </w:t>
      </w:r>
      <w:r w:rsidR="00511F02">
        <w:t>the</w:t>
      </w:r>
      <w:r w:rsidR="00275606">
        <w:t>se</w:t>
      </w:r>
      <w:r w:rsidR="00511F02">
        <w:t xml:space="preserve"> divergent </w:t>
      </w:r>
      <w:r w:rsidR="00EF07E3">
        <w:t xml:space="preserve">policy </w:t>
      </w:r>
      <w:r w:rsidR="00511F02">
        <w:t>responses</w:t>
      </w:r>
      <w:r w:rsidR="00892BFD">
        <w:t xml:space="preserve"> and in so doing, </w:t>
      </w:r>
      <w:r w:rsidR="0021366C">
        <w:t>draws on the published literature but also on the personal knowledge and experience of the authors, who have been close to policy and practice decisions on DCRs in the two countries over the past two decades.</w:t>
      </w:r>
    </w:p>
    <w:p w:rsidR="00AC66FD" w:rsidRDefault="00AC66FD" w:rsidP="001134E8">
      <w:pPr>
        <w:autoSpaceDE w:val="0"/>
        <w:autoSpaceDN w:val="0"/>
        <w:adjustRightInd w:val="0"/>
        <w:spacing w:after="0" w:line="360" w:lineRule="auto"/>
        <w:ind w:left="0"/>
        <w:contextualSpacing/>
      </w:pPr>
    </w:p>
    <w:p w:rsidR="00AC66FD" w:rsidRPr="00294F94" w:rsidRDefault="008E535A" w:rsidP="001134E8">
      <w:pPr>
        <w:autoSpaceDE w:val="0"/>
        <w:autoSpaceDN w:val="0"/>
        <w:adjustRightInd w:val="0"/>
        <w:spacing w:after="0" w:line="360" w:lineRule="auto"/>
        <w:ind w:left="0"/>
        <w:contextualSpacing/>
        <w:rPr>
          <w:b/>
        </w:rPr>
      </w:pPr>
      <w:proofErr w:type="gramStart"/>
      <w:r w:rsidRPr="00294F94">
        <w:rPr>
          <w:b/>
        </w:rPr>
        <w:t>Similar problems?</w:t>
      </w:r>
      <w:proofErr w:type="gramEnd"/>
    </w:p>
    <w:p w:rsidR="00FA3408" w:rsidRDefault="00ED528C" w:rsidP="001134E8">
      <w:pPr>
        <w:autoSpaceDE w:val="0"/>
        <w:autoSpaceDN w:val="0"/>
        <w:adjustRightInd w:val="0"/>
        <w:spacing w:after="0" w:line="360" w:lineRule="auto"/>
        <w:ind w:left="0"/>
        <w:contextualSpacing/>
      </w:pPr>
      <w:r>
        <w:t>Comparing drug user populations is</w:t>
      </w:r>
      <w:r w:rsidR="00673B84">
        <w:t xml:space="preserve"> problematic: </w:t>
      </w:r>
      <w:r w:rsidR="00047149">
        <w:t>‘</w:t>
      </w:r>
      <w:r w:rsidR="00673B84">
        <w:t>problem</w:t>
      </w:r>
      <w:r>
        <w:t xml:space="preserve"> drug use</w:t>
      </w:r>
      <w:r w:rsidR="00047149">
        <w:t>’</w:t>
      </w:r>
      <w:r w:rsidR="000250AD">
        <w:rPr>
          <w:rStyle w:val="FootnoteReference"/>
        </w:rPr>
        <w:footnoteReference w:id="1"/>
      </w:r>
      <w:r w:rsidR="00047149">
        <w:t xml:space="preserve"> </w:t>
      </w:r>
      <w:r w:rsidR="000250AD">
        <w:t xml:space="preserve">being a </w:t>
      </w:r>
      <w:r>
        <w:t>hidden</w:t>
      </w:r>
      <w:r w:rsidR="00AD7BE2">
        <w:t>, illicit</w:t>
      </w:r>
      <w:r>
        <w:t xml:space="preserve"> </w:t>
      </w:r>
      <w:r w:rsidR="000250AD">
        <w:t>and stigmatised behaviour</w:t>
      </w:r>
      <w:r w:rsidR="00227792">
        <w:t xml:space="preserve"> that can be measured in different ways</w:t>
      </w:r>
      <w:r w:rsidR="000250AD">
        <w:t xml:space="preserve">. </w:t>
      </w:r>
      <w:r w:rsidR="00227792">
        <w:t>Nevertheless, d</w:t>
      </w:r>
      <w:r w:rsidR="005A1DA7">
        <w:t xml:space="preserve">ata </w:t>
      </w:r>
      <w:r w:rsidR="00AD7BE2">
        <w:t>collated by the E</w:t>
      </w:r>
      <w:r w:rsidR="00275606">
        <w:t>uropean Monitoring Centre for Drugs and Drug Addiction (E</w:t>
      </w:r>
      <w:r w:rsidR="00AD7BE2">
        <w:t>MCDDA</w:t>
      </w:r>
      <w:r w:rsidR="00275606">
        <w:t>)</w:t>
      </w:r>
      <w:r w:rsidR="00AD7BE2">
        <w:t xml:space="preserve"> </w:t>
      </w:r>
      <w:r w:rsidR="005A1DA7">
        <w:t xml:space="preserve">on opioid use show prevalence estimates </w:t>
      </w:r>
      <w:r w:rsidR="00AD7BE2">
        <w:t xml:space="preserve">of </w:t>
      </w:r>
      <w:r w:rsidR="005A1DA7">
        <w:t>between 3.17 and 3.76 per 1,000 of the adult population in Germany in 2011</w:t>
      </w:r>
      <w:r w:rsidR="00AD7BE2">
        <w:t xml:space="preserve"> </w:t>
      </w:r>
      <w:r w:rsidR="005A1DA7">
        <w:t>and between 7.91 and 8.36 in the UK in 2010</w:t>
      </w:r>
      <w:r w:rsidR="00FC1058">
        <w:t>-11 (EMCDDA, 2014</w:t>
      </w:r>
      <w:r w:rsidR="00673B84">
        <w:t>)</w:t>
      </w:r>
      <w:r>
        <w:t>.</w:t>
      </w:r>
      <w:r w:rsidR="00FC1058">
        <w:t xml:space="preserve"> Figures for overdose deaths from the same source show 944 such deaths in Germany in 2012 and 1,666 in the UK in the same year.</w:t>
      </w:r>
      <w:r w:rsidR="00673B84">
        <w:t xml:space="preserve"> </w:t>
      </w:r>
      <w:r w:rsidR="00AD7BE2">
        <w:t>S</w:t>
      </w:r>
      <w:r w:rsidR="00230169">
        <w:t>imilar rates of new HIV infection or AIDS diagnoses were found in a comparison of European data over 1993 to 2003</w:t>
      </w:r>
      <w:r w:rsidR="009D5F91">
        <w:t xml:space="preserve"> (EMCDDA, 2013)</w:t>
      </w:r>
      <w:r w:rsidR="00230169">
        <w:t>.</w:t>
      </w:r>
      <w:r w:rsidR="00557578">
        <w:rPr>
          <w:rStyle w:val="FootnoteReference"/>
        </w:rPr>
        <w:footnoteReference w:id="2"/>
      </w:r>
      <w:r w:rsidR="00AD7BE2">
        <w:t xml:space="preserve"> </w:t>
      </w:r>
    </w:p>
    <w:p w:rsidR="00654B52" w:rsidRDefault="00654B52" w:rsidP="001134E8">
      <w:pPr>
        <w:autoSpaceDE w:val="0"/>
        <w:autoSpaceDN w:val="0"/>
        <w:adjustRightInd w:val="0"/>
        <w:spacing w:after="0" w:line="360" w:lineRule="auto"/>
        <w:ind w:left="0"/>
        <w:contextualSpacing/>
      </w:pPr>
    </w:p>
    <w:p w:rsidR="004F6B72" w:rsidRDefault="009D7830" w:rsidP="001134E8">
      <w:pPr>
        <w:autoSpaceDE w:val="0"/>
        <w:autoSpaceDN w:val="0"/>
        <w:adjustRightInd w:val="0"/>
        <w:spacing w:after="0" w:line="360" w:lineRule="auto"/>
        <w:ind w:left="0"/>
        <w:contextualSpacing/>
      </w:pPr>
      <w:r>
        <w:t>Statistics at national level may mask local areas of need. DCRs are recommended as a response to particular</w:t>
      </w:r>
      <w:r w:rsidR="00557578">
        <w:t>, local</w:t>
      </w:r>
      <w:r>
        <w:t xml:space="preserve"> needs, rather than a universal service (Independent Working Group on DCRs, 2006)</w:t>
      </w:r>
      <w:r w:rsidR="00493C00">
        <w:t xml:space="preserve"> and all have been located in cities with high concentrations of injecting users and drug-related problems</w:t>
      </w:r>
      <w:r>
        <w:t xml:space="preserve">. </w:t>
      </w:r>
      <w:r w:rsidR="004B6C4F">
        <w:t xml:space="preserve">Both </w:t>
      </w:r>
      <w:r w:rsidR="00621326">
        <w:t xml:space="preserve">Germany and the UK </w:t>
      </w:r>
      <w:r w:rsidR="004B6C4F">
        <w:t>have a high proportion of the</w:t>
      </w:r>
      <w:r w:rsidR="00621326">
        <w:t>ir</w:t>
      </w:r>
      <w:r w:rsidR="004B6C4F">
        <w:t xml:space="preserve"> p</w:t>
      </w:r>
      <w:r w:rsidR="00493C00">
        <w:t>opulation</w:t>
      </w:r>
      <w:r w:rsidR="00621326">
        <w:t>s</w:t>
      </w:r>
      <w:r w:rsidR="00493C00">
        <w:t xml:space="preserve"> living in urban areas</w:t>
      </w:r>
      <w:r w:rsidR="004B6C4F">
        <w:t xml:space="preserve"> compared with the rest of the world</w:t>
      </w:r>
      <w:r w:rsidR="00493C00">
        <w:t xml:space="preserve"> (Population Reference Bureau, 2012)</w:t>
      </w:r>
      <w:r w:rsidR="009D3489">
        <w:t xml:space="preserve"> and </w:t>
      </w:r>
      <w:r w:rsidR="000414D9">
        <w:t>contain cit</w:t>
      </w:r>
      <w:r w:rsidR="00A43679">
        <w:t>y areas</w:t>
      </w:r>
      <w:r w:rsidR="009D3489">
        <w:t xml:space="preserve"> </w:t>
      </w:r>
      <w:r w:rsidR="000414D9">
        <w:t>wi</w:t>
      </w:r>
      <w:r w:rsidR="00EE5624">
        <w:t>t</w:t>
      </w:r>
      <w:r w:rsidR="00227792">
        <w:t>h active drug markets and high</w:t>
      </w:r>
      <w:r w:rsidR="00B75F68">
        <w:t xml:space="preserve"> numbers of </w:t>
      </w:r>
      <w:r w:rsidR="00621326">
        <w:t>people who inject drugs (</w:t>
      </w:r>
      <w:r w:rsidR="00B75F68">
        <w:t>PWID</w:t>
      </w:r>
      <w:r w:rsidR="00621326">
        <w:t>)</w:t>
      </w:r>
      <w:r w:rsidR="00EE5624">
        <w:t>.</w:t>
      </w:r>
      <w:r w:rsidR="004F6B72">
        <w:t xml:space="preserve"> In the UK</w:t>
      </w:r>
      <w:r w:rsidR="00621326">
        <w:t>,</w:t>
      </w:r>
      <w:r w:rsidR="004F6B72">
        <w:t xml:space="preserve"> Glasgow and London have higher estimates of problem drug users (Information Services Division, 2011; Hay </w:t>
      </w:r>
      <w:r w:rsidR="004F6B72">
        <w:rPr>
          <w:i/>
        </w:rPr>
        <w:t>et al.</w:t>
      </w:r>
      <w:r w:rsidR="004F6B72">
        <w:t>, 2006)</w:t>
      </w:r>
      <w:r w:rsidR="009D3489">
        <w:t>: i</w:t>
      </w:r>
      <w:r w:rsidR="004F6B72">
        <w:t>n Germany</w:t>
      </w:r>
      <w:r w:rsidR="009D3489">
        <w:t>,</w:t>
      </w:r>
      <w:r w:rsidR="0060386E">
        <w:t xml:space="preserve"> </w:t>
      </w:r>
      <w:r w:rsidR="00621326">
        <w:t>Hamburg, Frankfurt, and Berlin</w:t>
      </w:r>
      <w:r w:rsidR="003A1AED">
        <w:t xml:space="preserve"> </w:t>
      </w:r>
      <w:r w:rsidR="00557578">
        <w:t xml:space="preserve">have been so-identified </w:t>
      </w:r>
      <w:r w:rsidR="003A1AED">
        <w:t>(</w:t>
      </w:r>
      <w:r w:rsidR="003A1AED" w:rsidRPr="008C656A">
        <w:rPr>
          <w:rFonts w:ascii="ArialMT" w:hAnsi="ArialMT" w:cs="ArialMT"/>
          <w:sz w:val="22"/>
          <w:lang w:val="en-US"/>
        </w:rPr>
        <w:t>Pfeiffer-</w:t>
      </w:r>
      <w:proofErr w:type="spellStart"/>
      <w:r w:rsidR="003A1AED" w:rsidRPr="008C656A">
        <w:rPr>
          <w:rFonts w:ascii="ArialMT" w:hAnsi="ArialMT" w:cs="ArialMT"/>
          <w:sz w:val="22"/>
          <w:lang w:val="en-US"/>
        </w:rPr>
        <w:t>Gerschel</w:t>
      </w:r>
      <w:proofErr w:type="spellEnd"/>
      <w:r w:rsidR="003A1AED" w:rsidRPr="008C656A">
        <w:rPr>
          <w:rFonts w:ascii="ArialMT" w:hAnsi="ArialMT" w:cs="ArialMT"/>
          <w:sz w:val="22"/>
          <w:lang w:val="en-US"/>
        </w:rPr>
        <w:t xml:space="preserve"> </w:t>
      </w:r>
      <w:r w:rsidR="003A1AED" w:rsidRPr="00654B52">
        <w:rPr>
          <w:rFonts w:ascii="ArialMT" w:hAnsi="ArialMT" w:cs="ArialMT"/>
          <w:i/>
          <w:sz w:val="22"/>
          <w:lang w:val="en-US"/>
        </w:rPr>
        <w:t>et al</w:t>
      </w:r>
      <w:r w:rsidR="003A1AED" w:rsidRPr="008C656A">
        <w:rPr>
          <w:rFonts w:ascii="ArialMT" w:hAnsi="ArialMT" w:cs="ArialMT"/>
          <w:sz w:val="22"/>
          <w:lang w:val="en-US"/>
        </w:rPr>
        <w:t>.</w:t>
      </w:r>
      <w:r w:rsidR="003A1AED">
        <w:rPr>
          <w:rFonts w:ascii="ArialMT" w:hAnsi="ArialMT" w:cs="ArialMT"/>
          <w:sz w:val="22"/>
          <w:lang w:val="en-US"/>
        </w:rPr>
        <w:t xml:space="preserve"> 2013)</w:t>
      </w:r>
      <w:r w:rsidR="00621326">
        <w:t>.</w:t>
      </w:r>
    </w:p>
    <w:p w:rsidR="00301437" w:rsidRDefault="00301437" w:rsidP="001134E8">
      <w:pPr>
        <w:autoSpaceDE w:val="0"/>
        <w:autoSpaceDN w:val="0"/>
        <w:adjustRightInd w:val="0"/>
        <w:spacing w:after="0" w:line="360" w:lineRule="auto"/>
        <w:ind w:left="0"/>
        <w:contextualSpacing/>
      </w:pPr>
    </w:p>
    <w:p w:rsidR="009D7830" w:rsidRDefault="004F6B72" w:rsidP="001134E8">
      <w:pPr>
        <w:autoSpaceDE w:val="0"/>
        <w:autoSpaceDN w:val="0"/>
        <w:adjustRightInd w:val="0"/>
        <w:spacing w:after="0" w:line="360" w:lineRule="auto"/>
        <w:ind w:left="0"/>
        <w:contextualSpacing/>
      </w:pPr>
      <w:r>
        <w:t xml:space="preserve">In </w:t>
      </w:r>
      <w:r w:rsidR="00047149">
        <w:t>summary</w:t>
      </w:r>
      <w:r>
        <w:t xml:space="preserve">, available data suggest similar situations in the two countries, with substantial numbers of </w:t>
      </w:r>
      <w:r w:rsidR="00B75F68">
        <w:t>PWID</w:t>
      </w:r>
      <w:r w:rsidR="006C4D9F">
        <w:t xml:space="preserve"> and drug-related deaths, and concentrations of </w:t>
      </w:r>
      <w:proofErr w:type="gramStart"/>
      <w:r w:rsidR="006C4D9F">
        <w:t>users</w:t>
      </w:r>
      <w:proofErr w:type="gramEnd"/>
      <w:r w:rsidR="006C4D9F">
        <w:t xml:space="preserve"> </w:t>
      </w:r>
      <w:r w:rsidR="006C4D9F">
        <w:lastRenderedPageBreak/>
        <w:t xml:space="preserve">in </w:t>
      </w:r>
      <w:r w:rsidR="009D3489">
        <w:t xml:space="preserve">particular </w:t>
      </w:r>
      <w:r w:rsidR="006C4D9F">
        <w:t>urban areas</w:t>
      </w:r>
      <w:r w:rsidR="009D3489">
        <w:t>, but that the</w:t>
      </w:r>
      <w:r w:rsidR="00A43679">
        <w:t>se problems appear</w:t>
      </w:r>
      <w:r w:rsidR="009D3489">
        <w:t xml:space="preserve"> to be slightly </w:t>
      </w:r>
      <w:r w:rsidR="00DC75F0">
        <w:t>worse in the UK</w:t>
      </w:r>
      <w:r w:rsidR="009D3489">
        <w:t xml:space="preserve">. </w:t>
      </w:r>
      <w:r w:rsidR="00DC75F0">
        <w:t xml:space="preserve">We now turn </w:t>
      </w:r>
      <w:r w:rsidR="006C4D9F">
        <w:t xml:space="preserve">to focus on the </w:t>
      </w:r>
      <w:r w:rsidR="00621326">
        <w:t>histories</w:t>
      </w:r>
      <w:r w:rsidR="006C4D9F">
        <w:t xml:space="preserve"> of the development - </w:t>
      </w:r>
      <w:r w:rsidR="00DC75F0">
        <w:t xml:space="preserve">and </w:t>
      </w:r>
      <w:r w:rsidR="006C4D9F">
        <w:t>non-development – of DCR services in the two countries.</w:t>
      </w:r>
    </w:p>
    <w:p w:rsidR="006C4D9F" w:rsidRDefault="006C4D9F" w:rsidP="001134E8">
      <w:pPr>
        <w:autoSpaceDE w:val="0"/>
        <w:autoSpaceDN w:val="0"/>
        <w:adjustRightInd w:val="0"/>
        <w:spacing w:after="0" w:line="360" w:lineRule="auto"/>
        <w:ind w:left="0"/>
        <w:contextualSpacing/>
      </w:pPr>
    </w:p>
    <w:p w:rsidR="005E1598" w:rsidRPr="00294F94" w:rsidRDefault="008E535A" w:rsidP="001134E8">
      <w:pPr>
        <w:autoSpaceDE w:val="0"/>
        <w:autoSpaceDN w:val="0"/>
        <w:adjustRightInd w:val="0"/>
        <w:spacing w:after="0" w:line="360" w:lineRule="auto"/>
        <w:ind w:left="0"/>
        <w:contextualSpacing/>
        <w:rPr>
          <w:b/>
        </w:rPr>
      </w:pPr>
      <w:r w:rsidRPr="00294F94">
        <w:rPr>
          <w:b/>
        </w:rPr>
        <w:t>The German story</w:t>
      </w:r>
    </w:p>
    <w:p w:rsidR="005E1598" w:rsidRPr="00540BFB" w:rsidRDefault="00A671F1" w:rsidP="001134E8">
      <w:pPr>
        <w:pStyle w:val="FormatvorlageTextkrperArial10ptBlock"/>
        <w:spacing w:line="360" w:lineRule="auto"/>
        <w:contextualSpacing/>
        <w:jc w:val="left"/>
        <w:rPr>
          <w:rFonts w:eastAsiaTheme="minorHAnsi" w:cstheme="minorBidi"/>
          <w:sz w:val="24"/>
          <w:szCs w:val="22"/>
          <w:lang w:val="en-GB" w:eastAsia="en-US"/>
        </w:rPr>
      </w:pPr>
      <w:r>
        <w:rPr>
          <w:rFonts w:eastAsiaTheme="minorHAnsi" w:cstheme="minorBidi"/>
          <w:sz w:val="24"/>
          <w:szCs w:val="22"/>
          <w:lang w:val="en-GB" w:eastAsia="en-US"/>
        </w:rPr>
        <w:t xml:space="preserve">Prior to </w:t>
      </w:r>
      <w:r w:rsidR="00C07BD4">
        <w:rPr>
          <w:rFonts w:eastAsiaTheme="minorHAnsi" w:cstheme="minorBidi"/>
          <w:sz w:val="24"/>
          <w:szCs w:val="22"/>
          <w:lang w:val="en-GB" w:eastAsia="en-US"/>
        </w:rPr>
        <w:t xml:space="preserve"> introduction of official DCRs in Germany</w:t>
      </w:r>
      <w:r>
        <w:rPr>
          <w:rFonts w:eastAsiaTheme="minorHAnsi" w:cstheme="minorBidi"/>
          <w:sz w:val="24"/>
          <w:szCs w:val="22"/>
          <w:lang w:val="en-GB" w:eastAsia="en-US"/>
        </w:rPr>
        <w:t>, s</w:t>
      </w:r>
      <w:r w:rsidR="005E1598" w:rsidRPr="00540BFB">
        <w:rPr>
          <w:rFonts w:eastAsiaTheme="minorHAnsi" w:cstheme="minorBidi"/>
          <w:sz w:val="24"/>
          <w:szCs w:val="22"/>
          <w:lang w:val="en-GB" w:eastAsia="en-US"/>
        </w:rPr>
        <w:t>taff working</w:t>
      </w:r>
      <w:r>
        <w:rPr>
          <w:rFonts w:eastAsiaTheme="minorHAnsi" w:cstheme="minorBidi"/>
          <w:sz w:val="24"/>
          <w:szCs w:val="22"/>
          <w:lang w:val="en-GB" w:eastAsia="en-US"/>
        </w:rPr>
        <w:t xml:space="preserve"> in low-threshold facilities were</w:t>
      </w:r>
      <w:r w:rsidR="005E1598" w:rsidRPr="00540BFB">
        <w:rPr>
          <w:rFonts w:eastAsiaTheme="minorHAnsi" w:cstheme="minorBidi"/>
          <w:sz w:val="24"/>
          <w:szCs w:val="22"/>
          <w:lang w:val="en-GB" w:eastAsia="en-US"/>
        </w:rPr>
        <w:t xml:space="preserve"> </w:t>
      </w:r>
      <w:r w:rsidR="009D3489">
        <w:rPr>
          <w:rFonts w:eastAsiaTheme="minorHAnsi" w:cstheme="minorBidi"/>
          <w:sz w:val="24"/>
          <w:szCs w:val="22"/>
          <w:lang w:val="en-GB" w:eastAsia="en-US"/>
        </w:rPr>
        <w:t xml:space="preserve">faced with the contradiction of, </w:t>
      </w:r>
      <w:r w:rsidR="005E1598" w:rsidRPr="00540BFB">
        <w:rPr>
          <w:rFonts w:eastAsiaTheme="minorHAnsi" w:cstheme="minorBidi"/>
          <w:sz w:val="24"/>
          <w:szCs w:val="22"/>
          <w:lang w:val="en-GB" w:eastAsia="en-US"/>
        </w:rPr>
        <w:t>on the one hand</w:t>
      </w:r>
      <w:r w:rsidR="00403E74">
        <w:rPr>
          <w:rFonts w:eastAsiaTheme="minorHAnsi" w:cstheme="minorBidi"/>
          <w:sz w:val="24"/>
          <w:szCs w:val="22"/>
          <w:lang w:val="en-GB" w:eastAsia="en-US"/>
        </w:rPr>
        <w:t>,</w:t>
      </w:r>
      <w:r w:rsidR="005E1598" w:rsidRPr="00540BFB">
        <w:rPr>
          <w:rFonts w:eastAsiaTheme="minorHAnsi" w:cstheme="minorBidi"/>
          <w:sz w:val="24"/>
          <w:szCs w:val="22"/>
          <w:lang w:val="en-GB" w:eastAsia="en-US"/>
        </w:rPr>
        <w:t xml:space="preserve"> providing sterile injecting equipment </w:t>
      </w:r>
      <w:r w:rsidR="009D3489">
        <w:rPr>
          <w:rFonts w:eastAsiaTheme="minorHAnsi" w:cstheme="minorBidi"/>
          <w:sz w:val="24"/>
          <w:szCs w:val="22"/>
          <w:lang w:val="en-GB" w:eastAsia="en-US"/>
        </w:rPr>
        <w:t xml:space="preserve">to </w:t>
      </w:r>
      <w:r w:rsidR="005E1598" w:rsidRPr="00540BFB">
        <w:rPr>
          <w:rFonts w:eastAsiaTheme="minorHAnsi" w:cstheme="minorBidi"/>
          <w:sz w:val="24"/>
          <w:szCs w:val="22"/>
          <w:lang w:val="en-GB" w:eastAsia="en-US"/>
        </w:rPr>
        <w:t>increase safer use and on the other</w:t>
      </w:r>
      <w:r w:rsidR="00403E74">
        <w:rPr>
          <w:rFonts w:eastAsiaTheme="minorHAnsi" w:cstheme="minorBidi"/>
          <w:sz w:val="24"/>
          <w:szCs w:val="22"/>
          <w:lang w:val="en-GB" w:eastAsia="en-US"/>
        </w:rPr>
        <w:t>,</w:t>
      </w:r>
      <w:r w:rsidR="005E1598" w:rsidRPr="00540BFB">
        <w:rPr>
          <w:rFonts w:eastAsiaTheme="minorHAnsi" w:cstheme="minorBidi"/>
          <w:sz w:val="24"/>
          <w:szCs w:val="22"/>
          <w:lang w:val="en-GB" w:eastAsia="en-US"/>
        </w:rPr>
        <w:t xml:space="preserve"> sending drug users back </w:t>
      </w:r>
      <w:r>
        <w:rPr>
          <w:rFonts w:eastAsiaTheme="minorHAnsi" w:cstheme="minorBidi"/>
          <w:sz w:val="24"/>
          <w:szCs w:val="22"/>
          <w:lang w:val="en-GB" w:eastAsia="en-US"/>
        </w:rPr>
        <w:t>on</w:t>
      </w:r>
      <w:r w:rsidR="005E1598" w:rsidRPr="00540BFB">
        <w:rPr>
          <w:rFonts w:eastAsiaTheme="minorHAnsi" w:cstheme="minorBidi"/>
          <w:sz w:val="24"/>
          <w:szCs w:val="22"/>
          <w:lang w:val="en-GB" w:eastAsia="en-US"/>
        </w:rPr>
        <w:t xml:space="preserve">to </w:t>
      </w:r>
      <w:r>
        <w:rPr>
          <w:rFonts w:eastAsiaTheme="minorHAnsi" w:cstheme="minorBidi"/>
          <w:sz w:val="24"/>
          <w:szCs w:val="22"/>
          <w:lang w:val="en-GB" w:eastAsia="en-US"/>
        </w:rPr>
        <w:t xml:space="preserve">the </w:t>
      </w:r>
      <w:r w:rsidR="005E1598" w:rsidRPr="00540BFB">
        <w:rPr>
          <w:rFonts w:eastAsiaTheme="minorHAnsi" w:cstheme="minorBidi"/>
          <w:sz w:val="24"/>
          <w:szCs w:val="22"/>
          <w:lang w:val="en-GB" w:eastAsia="en-US"/>
        </w:rPr>
        <w:t>street t</w:t>
      </w:r>
      <w:r w:rsidR="00403E74">
        <w:rPr>
          <w:rFonts w:eastAsiaTheme="minorHAnsi" w:cstheme="minorBidi"/>
          <w:sz w:val="24"/>
          <w:szCs w:val="22"/>
          <w:lang w:val="en-GB" w:eastAsia="en-US"/>
        </w:rPr>
        <w:t xml:space="preserve">o use </w:t>
      </w:r>
      <w:r w:rsidR="00164D7C">
        <w:rPr>
          <w:rFonts w:eastAsiaTheme="minorHAnsi" w:cstheme="minorBidi"/>
          <w:sz w:val="24"/>
          <w:szCs w:val="22"/>
          <w:lang w:val="en-GB" w:eastAsia="en-US"/>
        </w:rPr>
        <w:t xml:space="preserve">(Schuller &amp; </w:t>
      </w:r>
      <w:proofErr w:type="spellStart"/>
      <w:r w:rsidR="00164D7C">
        <w:rPr>
          <w:rFonts w:eastAsiaTheme="minorHAnsi" w:cstheme="minorBidi"/>
          <w:sz w:val="24"/>
          <w:szCs w:val="22"/>
          <w:lang w:val="en-GB" w:eastAsia="en-US"/>
        </w:rPr>
        <w:t>Stöver</w:t>
      </w:r>
      <w:proofErr w:type="spellEnd"/>
      <w:r w:rsidR="00164D7C">
        <w:rPr>
          <w:rFonts w:eastAsiaTheme="minorHAnsi" w:cstheme="minorBidi"/>
          <w:sz w:val="24"/>
          <w:szCs w:val="22"/>
          <w:lang w:val="en-GB" w:eastAsia="en-US"/>
        </w:rPr>
        <w:t xml:space="preserve"> 1989)</w:t>
      </w:r>
      <w:r w:rsidR="00403E74">
        <w:rPr>
          <w:rFonts w:eastAsiaTheme="minorHAnsi" w:cstheme="minorBidi"/>
          <w:sz w:val="24"/>
          <w:szCs w:val="22"/>
          <w:lang w:val="en-GB" w:eastAsia="en-US"/>
        </w:rPr>
        <w:t xml:space="preserve">. </w:t>
      </w:r>
      <w:r w:rsidR="005E1598" w:rsidRPr="00540BFB">
        <w:rPr>
          <w:rFonts w:eastAsiaTheme="minorHAnsi" w:cstheme="minorBidi"/>
          <w:sz w:val="24"/>
          <w:szCs w:val="22"/>
          <w:lang w:val="en-GB" w:eastAsia="en-US"/>
        </w:rPr>
        <w:t xml:space="preserve">Before the first </w:t>
      </w:r>
      <w:r w:rsidR="004069F5">
        <w:rPr>
          <w:rFonts w:eastAsiaTheme="minorHAnsi" w:cstheme="minorBidi"/>
          <w:sz w:val="24"/>
          <w:szCs w:val="22"/>
          <w:lang w:val="en-GB" w:eastAsia="en-US"/>
        </w:rPr>
        <w:t>official DCR</w:t>
      </w:r>
      <w:r w:rsidR="00C07BD4">
        <w:rPr>
          <w:rFonts w:eastAsiaTheme="minorHAnsi" w:cstheme="minorBidi"/>
          <w:sz w:val="24"/>
          <w:szCs w:val="22"/>
          <w:lang w:val="en-GB" w:eastAsia="en-US"/>
        </w:rPr>
        <w:t>s</w:t>
      </w:r>
      <w:r w:rsidR="005E1598" w:rsidRPr="00540BFB">
        <w:rPr>
          <w:rFonts w:eastAsiaTheme="minorHAnsi" w:cstheme="minorBidi"/>
          <w:sz w:val="24"/>
          <w:szCs w:val="22"/>
          <w:lang w:val="en-GB" w:eastAsia="en-US"/>
        </w:rPr>
        <w:t xml:space="preserve"> </w:t>
      </w:r>
      <w:r w:rsidR="00903FAD">
        <w:rPr>
          <w:rFonts w:eastAsiaTheme="minorHAnsi" w:cstheme="minorBidi"/>
          <w:sz w:val="24"/>
          <w:szCs w:val="22"/>
          <w:lang w:val="en-GB" w:eastAsia="en-US"/>
        </w:rPr>
        <w:t xml:space="preserve">opened </w:t>
      </w:r>
      <w:r w:rsidR="005E1598" w:rsidRPr="00540BFB">
        <w:rPr>
          <w:rFonts w:eastAsiaTheme="minorHAnsi" w:cstheme="minorBidi"/>
          <w:sz w:val="24"/>
          <w:szCs w:val="22"/>
          <w:lang w:val="en-GB" w:eastAsia="en-US"/>
        </w:rPr>
        <w:t xml:space="preserve">in 1994, a number of drug services </w:t>
      </w:r>
      <w:r w:rsidR="00E17A6F">
        <w:rPr>
          <w:rFonts w:eastAsiaTheme="minorHAnsi" w:cstheme="minorBidi"/>
          <w:sz w:val="24"/>
          <w:szCs w:val="22"/>
          <w:lang w:val="en-GB" w:eastAsia="en-US"/>
        </w:rPr>
        <w:t xml:space="preserve">in several cities (e.g. Bremen) </w:t>
      </w:r>
      <w:r>
        <w:rPr>
          <w:rFonts w:eastAsiaTheme="minorHAnsi" w:cstheme="minorBidi"/>
          <w:sz w:val="24"/>
          <w:szCs w:val="22"/>
          <w:lang w:val="en-GB" w:eastAsia="en-US"/>
        </w:rPr>
        <w:t xml:space="preserve">had already </w:t>
      </w:r>
      <w:r w:rsidR="00227792">
        <w:rPr>
          <w:rFonts w:eastAsiaTheme="minorHAnsi" w:cstheme="minorBidi"/>
          <w:sz w:val="24"/>
          <w:szCs w:val="22"/>
          <w:lang w:val="en-GB" w:eastAsia="en-US"/>
        </w:rPr>
        <w:t>been tolerating</w:t>
      </w:r>
      <w:r w:rsidR="005E1598" w:rsidRPr="00540BFB">
        <w:rPr>
          <w:rFonts w:eastAsiaTheme="minorHAnsi" w:cstheme="minorBidi"/>
          <w:sz w:val="24"/>
          <w:szCs w:val="22"/>
          <w:lang w:val="en-GB" w:eastAsia="en-US"/>
        </w:rPr>
        <w:t xml:space="preserve"> the </w:t>
      </w:r>
      <w:r w:rsidR="004069F5">
        <w:rPr>
          <w:rFonts w:eastAsiaTheme="minorHAnsi" w:cstheme="minorBidi"/>
          <w:sz w:val="24"/>
          <w:szCs w:val="22"/>
          <w:lang w:val="en-GB" w:eastAsia="en-US"/>
        </w:rPr>
        <w:t xml:space="preserve">on-site </w:t>
      </w:r>
      <w:r w:rsidR="005E1598" w:rsidRPr="00540BFB">
        <w:rPr>
          <w:rFonts w:eastAsiaTheme="minorHAnsi" w:cstheme="minorBidi"/>
          <w:sz w:val="24"/>
          <w:szCs w:val="22"/>
          <w:lang w:val="en-GB" w:eastAsia="en-US"/>
        </w:rPr>
        <w:t xml:space="preserve">use of pre-obtained drugs </w:t>
      </w:r>
      <w:r w:rsidR="00403E74">
        <w:rPr>
          <w:rFonts w:eastAsiaTheme="minorHAnsi" w:cstheme="minorBidi"/>
          <w:sz w:val="24"/>
          <w:szCs w:val="22"/>
          <w:lang w:val="en-GB" w:eastAsia="en-US"/>
        </w:rPr>
        <w:t>since the mid-</w:t>
      </w:r>
      <w:r>
        <w:rPr>
          <w:rFonts w:eastAsiaTheme="minorHAnsi" w:cstheme="minorBidi"/>
          <w:sz w:val="24"/>
          <w:szCs w:val="22"/>
          <w:lang w:val="en-GB" w:eastAsia="en-US"/>
        </w:rPr>
        <w:t>1980</w:t>
      </w:r>
      <w:r w:rsidR="005E1598" w:rsidRPr="00540BFB">
        <w:rPr>
          <w:rFonts w:eastAsiaTheme="minorHAnsi" w:cstheme="minorBidi"/>
          <w:sz w:val="24"/>
          <w:szCs w:val="22"/>
          <w:lang w:val="en-GB" w:eastAsia="en-US"/>
        </w:rPr>
        <w:t>s</w:t>
      </w:r>
      <w:r w:rsidR="00403E74">
        <w:rPr>
          <w:rFonts w:eastAsiaTheme="minorHAnsi" w:cstheme="minorBidi"/>
          <w:sz w:val="24"/>
          <w:szCs w:val="22"/>
          <w:lang w:val="en-GB" w:eastAsia="en-US"/>
        </w:rPr>
        <w:t xml:space="preserve"> </w:t>
      </w:r>
      <w:r w:rsidR="00164D7C">
        <w:rPr>
          <w:rFonts w:eastAsiaTheme="minorHAnsi" w:cstheme="minorBidi"/>
          <w:sz w:val="24"/>
          <w:szCs w:val="22"/>
          <w:lang w:val="en-GB" w:eastAsia="en-US"/>
        </w:rPr>
        <w:t>(Stöver 1991)</w:t>
      </w:r>
      <w:r w:rsidR="005E1598" w:rsidRPr="00540BFB">
        <w:rPr>
          <w:rFonts w:eastAsiaTheme="minorHAnsi" w:cstheme="minorBidi"/>
          <w:sz w:val="24"/>
          <w:szCs w:val="22"/>
          <w:lang w:val="en-GB" w:eastAsia="en-US"/>
        </w:rPr>
        <w:t xml:space="preserve">. </w:t>
      </w:r>
      <w:r w:rsidR="004069F5">
        <w:rPr>
          <w:rFonts w:eastAsiaTheme="minorHAnsi" w:cstheme="minorBidi"/>
          <w:sz w:val="24"/>
          <w:szCs w:val="22"/>
          <w:lang w:val="en-GB" w:eastAsia="en-US"/>
        </w:rPr>
        <w:t xml:space="preserve"> T</w:t>
      </w:r>
      <w:r>
        <w:rPr>
          <w:rFonts w:eastAsiaTheme="minorHAnsi" w:cstheme="minorBidi"/>
          <w:sz w:val="24"/>
          <w:szCs w:val="22"/>
          <w:lang w:val="en-GB" w:eastAsia="en-US"/>
        </w:rPr>
        <w:t xml:space="preserve">his practice </w:t>
      </w:r>
      <w:r w:rsidR="00C07BD4">
        <w:rPr>
          <w:rFonts w:eastAsiaTheme="minorHAnsi" w:cstheme="minorBidi"/>
          <w:sz w:val="24"/>
          <w:szCs w:val="22"/>
          <w:lang w:val="en-GB" w:eastAsia="en-US"/>
        </w:rPr>
        <w:t xml:space="preserve">could be construed as illegal and </w:t>
      </w:r>
      <w:r w:rsidR="004A3C72">
        <w:rPr>
          <w:rFonts w:eastAsiaTheme="minorHAnsi" w:cstheme="minorBidi"/>
          <w:sz w:val="24"/>
          <w:szCs w:val="22"/>
          <w:lang w:val="en-GB" w:eastAsia="en-US"/>
        </w:rPr>
        <w:t xml:space="preserve">in 1993, </w:t>
      </w:r>
      <w:r w:rsidR="00DC75F0">
        <w:rPr>
          <w:rFonts w:eastAsiaTheme="minorHAnsi" w:cstheme="minorBidi"/>
          <w:sz w:val="24"/>
          <w:szCs w:val="22"/>
          <w:lang w:val="en-GB" w:eastAsia="en-US"/>
        </w:rPr>
        <w:t xml:space="preserve">the city of Frankfurt </w:t>
      </w:r>
      <w:r w:rsidR="004A3C72">
        <w:rPr>
          <w:rFonts w:eastAsiaTheme="minorHAnsi" w:cstheme="minorBidi"/>
          <w:sz w:val="24"/>
          <w:szCs w:val="22"/>
          <w:lang w:val="en-GB" w:eastAsia="en-US"/>
        </w:rPr>
        <w:t xml:space="preserve">commissioned </w:t>
      </w:r>
      <w:r w:rsidR="00E17A6F">
        <w:rPr>
          <w:rFonts w:eastAsiaTheme="minorHAnsi" w:cstheme="minorBidi"/>
          <w:sz w:val="24"/>
          <w:szCs w:val="22"/>
          <w:lang w:val="en-GB" w:eastAsia="en-US"/>
        </w:rPr>
        <w:t xml:space="preserve">a </w:t>
      </w:r>
      <w:r w:rsidR="009F3793">
        <w:rPr>
          <w:rFonts w:eastAsiaTheme="minorHAnsi" w:cstheme="minorBidi"/>
          <w:sz w:val="24"/>
          <w:szCs w:val="22"/>
          <w:lang w:val="en-GB" w:eastAsia="en-US"/>
        </w:rPr>
        <w:t xml:space="preserve">legal </w:t>
      </w:r>
      <w:r w:rsidR="00E17A6F">
        <w:rPr>
          <w:rFonts w:eastAsiaTheme="minorHAnsi" w:cstheme="minorBidi"/>
          <w:sz w:val="24"/>
          <w:szCs w:val="22"/>
          <w:lang w:val="en-GB" w:eastAsia="en-US"/>
        </w:rPr>
        <w:t xml:space="preserve">review by </w:t>
      </w:r>
      <w:r w:rsidR="004B50DA">
        <w:rPr>
          <w:rFonts w:eastAsiaTheme="minorHAnsi" w:cstheme="minorBidi"/>
          <w:sz w:val="24"/>
          <w:szCs w:val="22"/>
          <w:lang w:val="en-GB" w:eastAsia="en-US"/>
        </w:rPr>
        <w:t xml:space="preserve">a </w:t>
      </w:r>
      <w:r w:rsidR="002C083E">
        <w:rPr>
          <w:rFonts w:eastAsiaTheme="minorHAnsi" w:cstheme="minorBidi"/>
          <w:sz w:val="24"/>
          <w:szCs w:val="22"/>
          <w:lang w:val="en-GB" w:eastAsia="en-US"/>
        </w:rPr>
        <w:t xml:space="preserve">prosecuting </w:t>
      </w:r>
      <w:r w:rsidR="00E17A6F">
        <w:rPr>
          <w:rFonts w:eastAsiaTheme="minorHAnsi" w:cstheme="minorBidi"/>
          <w:sz w:val="24"/>
          <w:szCs w:val="22"/>
          <w:lang w:val="en-GB" w:eastAsia="en-US"/>
        </w:rPr>
        <w:t>attorney</w:t>
      </w:r>
      <w:r w:rsidR="004A3C72">
        <w:rPr>
          <w:rFonts w:eastAsiaTheme="minorHAnsi" w:cstheme="minorBidi"/>
          <w:sz w:val="24"/>
          <w:szCs w:val="22"/>
          <w:lang w:val="en-GB" w:eastAsia="en-US"/>
        </w:rPr>
        <w:t xml:space="preserve"> </w:t>
      </w:r>
      <w:r w:rsidR="00E17A6F">
        <w:rPr>
          <w:rFonts w:eastAsiaTheme="minorHAnsi" w:cstheme="minorBidi"/>
          <w:sz w:val="24"/>
          <w:szCs w:val="22"/>
          <w:lang w:val="en-GB" w:eastAsia="en-US"/>
        </w:rPr>
        <w:t>in order to check whether DCR</w:t>
      </w:r>
      <w:r w:rsidR="002C083E">
        <w:rPr>
          <w:rFonts w:eastAsiaTheme="minorHAnsi" w:cstheme="minorBidi"/>
          <w:sz w:val="24"/>
          <w:szCs w:val="22"/>
          <w:lang w:val="en-GB" w:eastAsia="en-US"/>
        </w:rPr>
        <w:t>s</w:t>
      </w:r>
      <w:r w:rsidR="00E17A6F">
        <w:rPr>
          <w:rFonts w:eastAsiaTheme="minorHAnsi" w:cstheme="minorBidi"/>
          <w:sz w:val="24"/>
          <w:szCs w:val="22"/>
          <w:lang w:val="en-GB" w:eastAsia="en-US"/>
        </w:rPr>
        <w:t xml:space="preserve"> would be in line with the </w:t>
      </w:r>
      <w:r w:rsidR="0045796F">
        <w:rPr>
          <w:rFonts w:eastAsiaTheme="minorHAnsi" w:cstheme="minorBidi"/>
          <w:sz w:val="24"/>
          <w:szCs w:val="22"/>
          <w:lang w:val="en-GB" w:eastAsia="en-US"/>
        </w:rPr>
        <w:t xml:space="preserve">narcotic </w:t>
      </w:r>
      <w:r w:rsidR="00E17A6F">
        <w:rPr>
          <w:rFonts w:eastAsiaTheme="minorHAnsi" w:cstheme="minorBidi"/>
          <w:sz w:val="24"/>
          <w:szCs w:val="22"/>
          <w:lang w:val="en-GB" w:eastAsia="en-US"/>
        </w:rPr>
        <w:t>law</w:t>
      </w:r>
      <w:r w:rsidR="0045796F" w:rsidRPr="0045796F">
        <w:rPr>
          <w:rFonts w:eastAsiaTheme="minorHAnsi" w:cstheme="minorBidi"/>
          <w:sz w:val="24"/>
          <w:szCs w:val="22"/>
          <w:lang w:val="en-GB" w:eastAsia="en-US"/>
        </w:rPr>
        <w:t xml:space="preserve"> </w:t>
      </w:r>
      <w:r w:rsidR="0045796F">
        <w:rPr>
          <w:rFonts w:eastAsiaTheme="minorHAnsi" w:cstheme="minorBidi"/>
          <w:sz w:val="24"/>
          <w:szCs w:val="22"/>
          <w:lang w:val="en-GB" w:eastAsia="en-US"/>
        </w:rPr>
        <w:t>(</w:t>
      </w:r>
      <w:proofErr w:type="spellStart"/>
      <w:r w:rsidR="0045796F">
        <w:rPr>
          <w:rFonts w:eastAsiaTheme="minorHAnsi" w:cstheme="minorBidi"/>
          <w:sz w:val="24"/>
          <w:szCs w:val="22"/>
          <w:lang w:val="en-GB" w:eastAsia="en-US"/>
        </w:rPr>
        <w:t>Körner</w:t>
      </w:r>
      <w:proofErr w:type="spellEnd"/>
      <w:r w:rsidR="0045796F">
        <w:rPr>
          <w:rFonts w:eastAsiaTheme="minorHAnsi" w:cstheme="minorBidi"/>
          <w:sz w:val="24"/>
          <w:szCs w:val="22"/>
          <w:lang w:val="en-GB" w:eastAsia="en-US"/>
        </w:rPr>
        <w:t xml:space="preserve"> 1993)</w:t>
      </w:r>
      <w:r w:rsidR="00E17A6F">
        <w:rPr>
          <w:rFonts w:eastAsiaTheme="minorHAnsi" w:cstheme="minorBidi"/>
          <w:sz w:val="24"/>
          <w:szCs w:val="22"/>
          <w:lang w:val="en-GB" w:eastAsia="en-US"/>
        </w:rPr>
        <w:t xml:space="preserve">. The result of </w:t>
      </w:r>
      <w:r w:rsidR="002C083E">
        <w:rPr>
          <w:rFonts w:eastAsiaTheme="minorHAnsi" w:cstheme="minorBidi"/>
          <w:sz w:val="24"/>
          <w:szCs w:val="22"/>
          <w:lang w:val="en-GB" w:eastAsia="en-US"/>
        </w:rPr>
        <w:t>this review</w:t>
      </w:r>
      <w:r w:rsidR="00E17A6F">
        <w:rPr>
          <w:rFonts w:eastAsiaTheme="minorHAnsi" w:cstheme="minorBidi"/>
          <w:sz w:val="24"/>
          <w:szCs w:val="22"/>
          <w:lang w:val="en-GB" w:eastAsia="en-US"/>
        </w:rPr>
        <w:t xml:space="preserve"> </w:t>
      </w:r>
      <w:r w:rsidR="002C083E">
        <w:rPr>
          <w:rFonts w:eastAsiaTheme="minorHAnsi" w:cstheme="minorBidi"/>
          <w:sz w:val="24"/>
          <w:szCs w:val="22"/>
          <w:lang w:val="en-GB" w:eastAsia="en-US"/>
        </w:rPr>
        <w:t xml:space="preserve">was positive and led to the financial support of DCRs in Frankfurt and Hamburg. Legally it was an interim solution, but </w:t>
      </w:r>
      <w:r w:rsidR="004069F5">
        <w:rPr>
          <w:rFonts w:eastAsiaTheme="minorHAnsi" w:cstheme="minorBidi"/>
          <w:sz w:val="24"/>
          <w:szCs w:val="22"/>
          <w:lang w:val="en-GB" w:eastAsia="en-US"/>
        </w:rPr>
        <w:t xml:space="preserve">nevertheless, </w:t>
      </w:r>
      <w:r w:rsidR="002C083E">
        <w:rPr>
          <w:rFonts w:eastAsiaTheme="minorHAnsi" w:cstheme="minorBidi"/>
          <w:sz w:val="24"/>
          <w:szCs w:val="22"/>
          <w:lang w:val="en-GB" w:eastAsia="en-US"/>
        </w:rPr>
        <w:t xml:space="preserve">cities started to implement and finance DCRs. </w:t>
      </w:r>
      <w:r w:rsidR="004069F5">
        <w:rPr>
          <w:rFonts w:eastAsiaTheme="minorHAnsi" w:cstheme="minorBidi"/>
          <w:sz w:val="24"/>
          <w:szCs w:val="22"/>
          <w:lang w:val="en-GB" w:eastAsia="en-US"/>
        </w:rPr>
        <w:t>I</w:t>
      </w:r>
      <w:r w:rsidR="005E1598" w:rsidRPr="00540BFB">
        <w:rPr>
          <w:rFonts w:eastAsiaTheme="minorHAnsi" w:cstheme="minorBidi"/>
          <w:sz w:val="24"/>
          <w:szCs w:val="22"/>
          <w:lang w:val="en-GB" w:eastAsia="en-US"/>
        </w:rPr>
        <w:t xml:space="preserve">t took </w:t>
      </w:r>
      <w:r>
        <w:rPr>
          <w:rFonts w:eastAsiaTheme="minorHAnsi" w:cstheme="minorBidi"/>
          <w:sz w:val="24"/>
          <w:szCs w:val="22"/>
          <w:lang w:val="en-GB" w:eastAsia="en-US"/>
        </w:rPr>
        <w:t>a</w:t>
      </w:r>
      <w:r w:rsidR="00227792">
        <w:rPr>
          <w:rFonts w:eastAsiaTheme="minorHAnsi" w:cstheme="minorBidi"/>
          <w:sz w:val="24"/>
          <w:szCs w:val="22"/>
          <w:lang w:val="en-GB" w:eastAsia="en-US"/>
        </w:rPr>
        <w:t>nother seven</w:t>
      </w:r>
      <w:r w:rsidR="002C083E">
        <w:rPr>
          <w:rFonts w:eastAsiaTheme="minorHAnsi" w:cstheme="minorBidi"/>
          <w:sz w:val="24"/>
          <w:szCs w:val="22"/>
          <w:lang w:val="en-GB" w:eastAsia="en-US"/>
        </w:rPr>
        <w:t xml:space="preserve"> years </w:t>
      </w:r>
      <w:r>
        <w:rPr>
          <w:rFonts w:eastAsiaTheme="minorHAnsi" w:cstheme="minorBidi"/>
          <w:sz w:val="24"/>
          <w:szCs w:val="22"/>
          <w:lang w:val="en-GB" w:eastAsia="en-US"/>
        </w:rPr>
        <w:t>for</w:t>
      </w:r>
      <w:r w:rsidR="005E1598" w:rsidRPr="00540BFB">
        <w:rPr>
          <w:rFonts w:eastAsiaTheme="minorHAnsi" w:cstheme="minorBidi"/>
          <w:sz w:val="24"/>
          <w:szCs w:val="22"/>
          <w:lang w:val="en-GB" w:eastAsia="en-US"/>
        </w:rPr>
        <w:t xml:space="preserve"> the operati</w:t>
      </w:r>
      <w:r>
        <w:rPr>
          <w:rFonts w:eastAsiaTheme="minorHAnsi" w:cstheme="minorBidi"/>
          <w:sz w:val="24"/>
          <w:szCs w:val="22"/>
          <w:lang w:val="en-GB" w:eastAsia="en-US"/>
        </w:rPr>
        <w:t xml:space="preserve">on of </w:t>
      </w:r>
      <w:r w:rsidR="00227792">
        <w:rPr>
          <w:rFonts w:eastAsiaTheme="minorHAnsi" w:cstheme="minorBidi"/>
          <w:sz w:val="24"/>
          <w:szCs w:val="22"/>
          <w:lang w:val="en-GB" w:eastAsia="en-US"/>
        </w:rPr>
        <w:t xml:space="preserve">DCRs </w:t>
      </w:r>
      <w:r>
        <w:rPr>
          <w:rFonts w:eastAsiaTheme="minorHAnsi" w:cstheme="minorBidi"/>
          <w:sz w:val="24"/>
          <w:szCs w:val="22"/>
          <w:lang w:val="en-GB" w:eastAsia="en-US"/>
        </w:rPr>
        <w:t>to be</w:t>
      </w:r>
      <w:r w:rsidR="005E1598" w:rsidRPr="00540BFB">
        <w:rPr>
          <w:rFonts w:eastAsiaTheme="minorHAnsi" w:cstheme="minorBidi"/>
          <w:sz w:val="24"/>
          <w:szCs w:val="22"/>
          <w:lang w:val="en-GB" w:eastAsia="en-US"/>
        </w:rPr>
        <w:t xml:space="preserve"> approved by </w:t>
      </w:r>
      <w:r w:rsidR="004069F5">
        <w:rPr>
          <w:rFonts w:eastAsiaTheme="minorHAnsi" w:cstheme="minorBidi"/>
          <w:sz w:val="24"/>
          <w:szCs w:val="22"/>
          <w:lang w:val="en-GB" w:eastAsia="en-US"/>
        </w:rPr>
        <w:t xml:space="preserve">federal </w:t>
      </w:r>
      <w:r w:rsidR="005E1598" w:rsidRPr="00540BFB">
        <w:rPr>
          <w:rFonts w:eastAsiaTheme="minorHAnsi" w:cstheme="minorBidi"/>
          <w:sz w:val="24"/>
          <w:szCs w:val="22"/>
          <w:lang w:val="en-GB" w:eastAsia="en-US"/>
        </w:rPr>
        <w:t>law</w:t>
      </w:r>
      <w:r w:rsidR="004A3C72">
        <w:rPr>
          <w:rFonts w:eastAsiaTheme="minorHAnsi" w:cstheme="minorBidi"/>
          <w:sz w:val="24"/>
          <w:szCs w:val="22"/>
          <w:lang w:val="en-GB" w:eastAsia="en-US"/>
        </w:rPr>
        <w:t xml:space="preserve">, through </w:t>
      </w:r>
      <w:r w:rsidR="005E1598" w:rsidRPr="00540BFB">
        <w:rPr>
          <w:rFonts w:eastAsiaTheme="minorHAnsi" w:cstheme="minorBidi"/>
          <w:sz w:val="24"/>
          <w:szCs w:val="22"/>
          <w:lang w:val="en-GB" w:eastAsia="en-US"/>
        </w:rPr>
        <w:t xml:space="preserve">the 3rd amendment to the German narcotic law, which came into force on 1 April 2000 (§10a </w:t>
      </w:r>
      <w:proofErr w:type="spellStart"/>
      <w:r w:rsidR="005E1598" w:rsidRPr="00540BFB">
        <w:rPr>
          <w:rFonts w:eastAsiaTheme="minorHAnsi" w:cstheme="minorBidi"/>
          <w:sz w:val="24"/>
          <w:szCs w:val="22"/>
          <w:lang w:val="en-GB" w:eastAsia="en-US"/>
        </w:rPr>
        <w:t>BtmG</w:t>
      </w:r>
      <w:proofErr w:type="spellEnd"/>
      <w:r w:rsidR="005E1598" w:rsidRPr="00540BFB">
        <w:rPr>
          <w:rFonts w:eastAsiaTheme="minorHAnsi" w:cstheme="minorBidi"/>
          <w:sz w:val="24"/>
          <w:szCs w:val="22"/>
          <w:lang w:val="en-GB" w:eastAsia="en-US"/>
        </w:rPr>
        <w:t>):</w:t>
      </w:r>
    </w:p>
    <w:p w:rsidR="00AC0726" w:rsidRDefault="00AC0726" w:rsidP="001134E8">
      <w:pPr>
        <w:pStyle w:val="FormatvorlageTextkrperArial10ptBlock"/>
        <w:spacing w:line="360" w:lineRule="auto"/>
        <w:ind w:left="720" w:right="1077"/>
        <w:contextualSpacing/>
        <w:jc w:val="left"/>
        <w:rPr>
          <w:rFonts w:eastAsiaTheme="minorHAnsi" w:cstheme="minorBidi"/>
          <w:sz w:val="24"/>
          <w:szCs w:val="22"/>
          <w:lang w:val="en-GB" w:eastAsia="en-US"/>
        </w:rPr>
      </w:pPr>
    </w:p>
    <w:p w:rsidR="00AC0726" w:rsidRDefault="005E1598" w:rsidP="001134E8">
      <w:pPr>
        <w:pStyle w:val="FormatvorlageTextkrperArial10ptBlock"/>
        <w:spacing w:line="360" w:lineRule="auto"/>
        <w:ind w:left="720" w:right="1077"/>
        <w:contextualSpacing/>
        <w:jc w:val="left"/>
        <w:rPr>
          <w:rFonts w:eastAsiaTheme="minorHAnsi" w:cstheme="minorBidi"/>
          <w:sz w:val="24"/>
          <w:szCs w:val="22"/>
          <w:lang w:val="en-GB" w:eastAsia="en-US"/>
        </w:rPr>
      </w:pPr>
      <w:proofErr w:type="gramStart"/>
      <w:r w:rsidRPr="00540BFB">
        <w:rPr>
          <w:rFonts w:eastAsiaTheme="minorHAnsi" w:cstheme="minorBidi"/>
          <w:sz w:val="24"/>
          <w:szCs w:val="22"/>
          <w:lang w:val="en-GB" w:eastAsia="en-US"/>
        </w:rPr>
        <w:t>Anyone who wants to operate a facility that provides drug addicts with the opportunity or allows them to consume narcotics that have been brought with them and have not been prescribed by a physician, on its premises</w:t>
      </w:r>
      <w:r w:rsidR="00DD7883">
        <w:rPr>
          <w:rFonts w:eastAsiaTheme="minorHAnsi" w:cstheme="minorBidi"/>
          <w:sz w:val="24"/>
          <w:szCs w:val="22"/>
          <w:lang w:val="en-GB" w:eastAsia="en-US"/>
        </w:rPr>
        <w:t>,</w:t>
      </w:r>
      <w:r w:rsidRPr="00540BFB">
        <w:rPr>
          <w:rFonts w:eastAsiaTheme="minorHAnsi" w:cstheme="minorBidi"/>
          <w:sz w:val="24"/>
          <w:szCs w:val="22"/>
          <w:lang w:val="en-GB" w:eastAsia="en-US"/>
        </w:rPr>
        <w:t xml:space="preserve"> requires the permission of the highest responsible state agency.</w:t>
      </w:r>
      <w:proofErr w:type="gramEnd"/>
      <w:r w:rsidRPr="00540BFB">
        <w:rPr>
          <w:rFonts w:eastAsiaTheme="minorHAnsi" w:cstheme="minorBidi"/>
          <w:sz w:val="24"/>
          <w:szCs w:val="22"/>
          <w:lang w:val="en-GB" w:eastAsia="en-US"/>
        </w:rPr>
        <w:t xml:space="preserve"> </w:t>
      </w:r>
    </w:p>
    <w:p w:rsidR="00AC0726" w:rsidRDefault="00AC0726" w:rsidP="001134E8">
      <w:pPr>
        <w:pStyle w:val="FormatvorlageTextkrperArial10ptBlock"/>
        <w:spacing w:line="360" w:lineRule="auto"/>
        <w:ind w:right="1077"/>
        <w:contextualSpacing/>
        <w:jc w:val="left"/>
        <w:rPr>
          <w:rFonts w:eastAsiaTheme="minorHAnsi" w:cstheme="minorBidi"/>
          <w:sz w:val="24"/>
          <w:szCs w:val="22"/>
          <w:lang w:val="en-GB" w:eastAsia="en-US"/>
        </w:rPr>
      </w:pPr>
    </w:p>
    <w:p w:rsidR="00093352" w:rsidRDefault="005E1598" w:rsidP="001134E8">
      <w:pPr>
        <w:pStyle w:val="FormatvorlageTextkrperArial10ptBlock"/>
        <w:spacing w:line="360" w:lineRule="auto"/>
        <w:contextualSpacing/>
        <w:jc w:val="left"/>
        <w:rPr>
          <w:rFonts w:eastAsiaTheme="minorHAnsi" w:cstheme="minorBidi"/>
          <w:sz w:val="24"/>
          <w:szCs w:val="22"/>
          <w:lang w:val="en-GB" w:eastAsia="en-US"/>
        </w:rPr>
      </w:pPr>
      <w:r w:rsidRPr="00540BFB">
        <w:rPr>
          <w:rFonts w:eastAsiaTheme="minorHAnsi" w:cstheme="minorBidi"/>
          <w:sz w:val="24"/>
          <w:szCs w:val="22"/>
          <w:lang w:val="en-GB" w:eastAsia="en-US"/>
        </w:rPr>
        <w:t xml:space="preserve">In order to get this permission, services had to adhere to 10 minimum standards </w:t>
      </w:r>
      <w:r w:rsidR="00E639A9">
        <w:rPr>
          <w:rFonts w:eastAsiaTheme="minorHAnsi" w:cstheme="minorBidi"/>
          <w:sz w:val="24"/>
          <w:szCs w:val="22"/>
          <w:lang w:val="en-GB" w:eastAsia="en-US"/>
        </w:rPr>
        <w:t>aimed at</w:t>
      </w:r>
      <w:r w:rsidRPr="00540BFB">
        <w:rPr>
          <w:rFonts w:eastAsiaTheme="minorHAnsi" w:cstheme="minorBidi"/>
          <w:sz w:val="24"/>
          <w:szCs w:val="22"/>
          <w:lang w:val="en-GB" w:eastAsia="en-US"/>
        </w:rPr>
        <w:t xml:space="preserve"> ensur</w:t>
      </w:r>
      <w:r w:rsidR="00E639A9">
        <w:rPr>
          <w:rFonts w:eastAsiaTheme="minorHAnsi" w:cstheme="minorBidi"/>
          <w:sz w:val="24"/>
          <w:szCs w:val="22"/>
          <w:lang w:val="en-GB" w:eastAsia="en-US"/>
        </w:rPr>
        <w:t>ing</w:t>
      </w:r>
      <w:r w:rsidRPr="00540BFB">
        <w:rPr>
          <w:rFonts w:eastAsiaTheme="minorHAnsi" w:cstheme="minorBidi"/>
          <w:sz w:val="24"/>
          <w:szCs w:val="22"/>
          <w:lang w:val="en-GB" w:eastAsia="en-US"/>
        </w:rPr>
        <w:t xml:space="preserve"> safety and control</w:t>
      </w:r>
      <w:r w:rsidR="00DD7883">
        <w:rPr>
          <w:rFonts w:eastAsiaTheme="minorHAnsi" w:cstheme="minorBidi"/>
          <w:sz w:val="24"/>
          <w:szCs w:val="22"/>
          <w:lang w:val="en-GB" w:eastAsia="en-US"/>
        </w:rPr>
        <w:t xml:space="preserve">. </w:t>
      </w:r>
      <w:r w:rsidRPr="00540BFB">
        <w:rPr>
          <w:rFonts w:eastAsiaTheme="minorHAnsi" w:cstheme="minorBidi"/>
          <w:sz w:val="24"/>
          <w:szCs w:val="22"/>
          <w:lang w:val="en-GB" w:eastAsia="en-US"/>
        </w:rPr>
        <w:t>The</w:t>
      </w:r>
      <w:r w:rsidR="00AC0726">
        <w:rPr>
          <w:rFonts w:eastAsiaTheme="minorHAnsi" w:cstheme="minorBidi"/>
          <w:sz w:val="24"/>
          <w:szCs w:val="22"/>
          <w:lang w:val="en-GB" w:eastAsia="en-US"/>
        </w:rPr>
        <w:t>se</w:t>
      </w:r>
      <w:r w:rsidRPr="00540BFB">
        <w:rPr>
          <w:rFonts w:eastAsiaTheme="minorHAnsi" w:cstheme="minorBidi"/>
          <w:sz w:val="24"/>
          <w:szCs w:val="22"/>
          <w:lang w:val="en-GB" w:eastAsia="en-US"/>
        </w:rPr>
        <w:t xml:space="preserve"> include</w:t>
      </w:r>
      <w:r w:rsidR="003A2FE8">
        <w:rPr>
          <w:rFonts w:eastAsiaTheme="minorHAnsi" w:cstheme="minorBidi"/>
          <w:sz w:val="24"/>
          <w:szCs w:val="22"/>
          <w:lang w:val="en-GB" w:eastAsia="en-US"/>
        </w:rPr>
        <w:t>d</w:t>
      </w:r>
      <w:r w:rsidRPr="00540BFB">
        <w:rPr>
          <w:rFonts w:eastAsiaTheme="minorHAnsi" w:cstheme="minorBidi"/>
          <w:sz w:val="24"/>
          <w:szCs w:val="22"/>
          <w:lang w:val="en-GB" w:eastAsia="en-US"/>
        </w:rPr>
        <w:t xml:space="preserve"> regulations </w:t>
      </w:r>
      <w:r w:rsidR="00AC0726">
        <w:rPr>
          <w:rFonts w:eastAsiaTheme="minorHAnsi" w:cstheme="minorBidi"/>
          <w:sz w:val="24"/>
          <w:szCs w:val="22"/>
          <w:lang w:val="en-GB" w:eastAsia="en-US"/>
        </w:rPr>
        <w:t xml:space="preserve">governing the provision of </w:t>
      </w:r>
      <w:r w:rsidRPr="00540BFB">
        <w:rPr>
          <w:rFonts w:eastAsiaTheme="minorHAnsi" w:cstheme="minorBidi"/>
          <w:sz w:val="24"/>
          <w:szCs w:val="22"/>
          <w:lang w:val="en-GB" w:eastAsia="en-US"/>
        </w:rPr>
        <w:t>equipment, emergency care, referral</w:t>
      </w:r>
      <w:r w:rsidR="00DD7883">
        <w:rPr>
          <w:rFonts w:eastAsiaTheme="minorHAnsi" w:cstheme="minorBidi"/>
          <w:sz w:val="24"/>
          <w:szCs w:val="22"/>
          <w:lang w:val="en-GB" w:eastAsia="en-US"/>
        </w:rPr>
        <w:t>,</w:t>
      </w:r>
      <w:r w:rsidRPr="00540BFB">
        <w:rPr>
          <w:rFonts w:eastAsiaTheme="minorHAnsi" w:cstheme="minorBidi"/>
          <w:sz w:val="24"/>
          <w:szCs w:val="22"/>
          <w:lang w:val="en-GB" w:eastAsia="en-US"/>
        </w:rPr>
        <w:t xml:space="preserve"> t</w:t>
      </w:r>
      <w:r w:rsidR="00AC0726">
        <w:rPr>
          <w:rFonts w:eastAsiaTheme="minorHAnsi" w:cstheme="minorBidi"/>
          <w:sz w:val="24"/>
          <w:szCs w:val="22"/>
          <w:lang w:val="en-GB" w:eastAsia="en-US"/>
        </w:rPr>
        <w:t>he prevention of criminal offenc</w:t>
      </w:r>
      <w:r w:rsidRPr="00540BFB">
        <w:rPr>
          <w:rFonts w:eastAsiaTheme="minorHAnsi" w:cstheme="minorBidi"/>
          <w:sz w:val="24"/>
          <w:szCs w:val="22"/>
          <w:lang w:val="en-GB" w:eastAsia="en-US"/>
        </w:rPr>
        <w:t xml:space="preserve">es, cooperation with </w:t>
      </w:r>
      <w:r w:rsidR="00DD7883">
        <w:rPr>
          <w:rFonts w:eastAsiaTheme="minorHAnsi" w:cstheme="minorBidi"/>
          <w:sz w:val="24"/>
          <w:szCs w:val="22"/>
          <w:lang w:val="en-GB" w:eastAsia="en-US"/>
        </w:rPr>
        <w:t>the police</w:t>
      </w:r>
      <w:r w:rsidR="003A2FE8">
        <w:rPr>
          <w:rFonts w:eastAsiaTheme="minorHAnsi" w:cstheme="minorBidi"/>
          <w:sz w:val="24"/>
          <w:szCs w:val="22"/>
          <w:lang w:val="en-GB" w:eastAsia="en-US"/>
        </w:rPr>
        <w:t>, defining the</w:t>
      </w:r>
      <w:r w:rsidR="00DD7883">
        <w:rPr>
          <w:rFonts w:eastAsiaTheme="minorHAnsi" w:cstheme="minorBidi"/>
          <w:sz w:val="24"/>
          <w:szCs w:val="22"/>
          <w:lang w:val="en-GB" w:eastAsia="en-US"/>
        </w:rPr>
        <w:t xml:space="preserve"> </w:t>
      </w:r>
      <w:r w:rsidRPr="00540BFB">
        <w:rPr>
          <w:rFonts w:eastAsiaTheme="minorHAnsi" w:cstheme="minorBidi"/>
          <w:sz w:val="24"/>
          <w:szCs w:val="22"/>
          <w:lang w:val="en-GB" w:eastAsia="en-US"/>
        </w:rPr>
        <w:t xml:space="preserve">target group, </w:t>
      </w:r>
      <w:r w:rsidR="00DD7883">
        <w:rPr>
          <w:rFonts w:eastAsiaTheme="minorHAnsi" w:cstheme="minorBidi"/>
          <w:sz w:val="24"/>
          <w:szCs w:val="22"/>
          <w:lang w:val="en-GB" w:eastAsia="en-US"/>
        </w:rPr>
        <w:t xml:space="preserve">the </w:t>
      </w:r>
      <w:r w:rsidRPr="00540BFB">
        <w:rPr>
          <w:rFonts w:eastAsiaTheme="minorHAnsi" w:cstheme="minorBidi"/>
          <w:sz w:val="24"/>
          <w:szCs w:val="22"/>
          <w:lang w:val="en-GB" w:eastAsia="en-US"/>
        </w:rPr>
        <w:t xml:space="preserve">presence of trained and qualified staff, and </w:t>
      </w:r>
      <w:r w:rsidR="00AC0726">
        <w:rPr>
          <w:rFonts w:eastAsiaTheme="minorHAnsi" w:cstheme="minorBidi"/>
          <w:sz w:val="24"/>
          <w:szCs w:val="22"/>
          <w:lang w:val="en-GB" w:eastAsia="en-US"/>
        </w:rPr>
        <w:t>monitoring and</w:t>
      </w:r>
      <w:r w:rsidRPr="00540BFB">
        <w:rPr>
          <w:rFonts w:eastAsiaTheme="minorHAnsi" w:cstheme="minorBidi"/>
          <w:sz w:val="24"/>
          <w:szCs w:val="22"/>
          <w:lang w:val="en-GB" w:eastAsia="en-US"/>
        </w:rPr>
        <w:t xml:space="preserve"> documentation</w:t>
      </w:r>
      <w:r w:rsidR="00DD7883">
        <w:rPr>
          <w:rFonts w:eastAsiaTheme="minorHAnsi" w:cstheme="minorBidi"/>
          <w:sz w:val="24"/>
          <w:szCs w:val="22"/>
          <w:lang w:val="en-GB" w:eastAsia="en-US"/>
        </w:rPr>
        <w:t xml:space="preserve">. </w:t>
      </w:r>
    </w:p>
    <w:p w:rsidR="00654B52" w:rsidRPr="00093352" w:rsidRDefault="00654B52" w:rsidP="001134E8">
      <w:pPr>
        <w:pStyle w:val="FormatvorlageTextkrperArial10ptBlock"/>
        <w:spacing w:line="360" w:lineRule="auto"/>
        <w:contextualSpacing/>
        <w:jc w:val="left"/>
        <w:rPr>
          <w:rFonts w:eastAsiaTheme="minorHAnsi" w:cstheme="minorBidi"/>
          <w:sz w:val="24"/>
          <w:szCs w:val="22"/>
          <w:lang w:val="en-GB" w:eastAsia="en-US"/>
        </w:rPr>
      </w:pPr>
    </w:p>
    <w:p w:rsidR="008F00B3" w:rsidRDefault="00DD7883" w:rsidP="001134E8">
      <w:pPr>
        <w:pStyle w:val="FormatvorlageTextkrperArial10ptBlock"/>
        <w:spacing w:line="360" w:lineRule="auto"/>
        <w:contextualSpacing/>
        <w:jc w:val="left"/>
        <w:rPr>
          <w:rFonts w:eastAsiaTheme="minorHAnsi" w:cstheme="minorBidi"/>
          <w:sz w:val="24"/>
          <w:szCs w:val="22"/>
          <w:lang w:val="en-GB" w:eastAsia="en-US"/>
        </w:rPr>
      </w:pPr>
      <w:r>
        <w:rPr>
          <w:rFonts w:eastAsiaTheme="minorHAnsi" w:cstheme="minorBidi"/>
          <w:sz w:val="24"/>
          <w:szCs w:val="22"/>
          <w:lang w:val="en-GB" w:eastAsia="en-US"/>
        </w:rPr>
        <w:t>A</w:t>
      </w:r>
      <w:r w:rsidR="000B63FA">
        <w:rPr>
          <w:rFonts w:eastAsiaTheme="minorHAnsi" w:cstheme="minorBidi"/>
          <w:sz w:val="24"/>
          <w:szCs w:val="22"/>
          <w:lang w:val="en-GB" w:eastAsia="en-US"/>
        </w:rPr>
        <w:t xml:space="preserve"> number of discrete</w:t>
      </w:r>
      <w:r w:rsidR="005E1598" w:rsidRPr="00540BFB">
        <w:rPr>
          <w:rFonts w:eastAsiaTheme="minorHAnsi" w:cstheme="minorBidi"/>
          <w:sz w:val="24"/>
          <w:szCs w:val="22"/>
          <w:lang w:val="en-GB" w:eastAsia="en-US"/>
        </w:rPr>
        <w:t xml:space="preserve"> reasons </w:t>
      </w:r>
      <w:r w:rsidR="00AC0726">
        <w:rPr>
          <w:rFonts w:eastAsiaTheme="minorHAnsi" w:cstheme="minorBidi"/>
          <w:sz w:val="24"/>
          <w:szCs w:val="22"/>
          <w:lang w:val="en-GB" w:eastAsia="en-US"/>
        </w:rPr>
        <w:t>le</w:t>
      </w:r>
      <w:r>
        <w:rPr>
          <w:rFonts w:eastAsiaTheme="minorHAnsi" w:cstheme="minorBidi"/>
          <w:sz w:val="24"/>
          <w:szCs w:val="22"/>
          <w:lang w:val="en-GB" w:eastAsia="en-US"/>
        </w:rPr>
        <w:t>d</w:t>
      </w:r>
      <w:r w:rsidR="00AC0726">
        <w:rPr>
          <w:rFonts w:eastAsiaTheme="minorHAnsi" w:cstheme="minorBidi"/>
          <w:sz w:val="24"/>
          <w:szCs w:val="22"/>
          <w:lang w:val="en-GB" w:eastAsia="en-US"/>
        </w:rPr>
        <w:t xml:space="preserve"> to the </w:t>
      </w:r>
      <w:r w:rsidR="003A2FE8">
        <w:rPr>
          <w:rFonts w:eastAsiaTheme="minorHAnsi" w:cstheme="minorBidi"/>
          <w:sz w:val="24"/>
          <w:szCs w:val="22"/>
          <w:lang w:val="en-GB" w:eastAsia="en-US"/>
        </w:rPr>
        <w:t>German acceptance of DCRs</w:t>
      </w:r>
      <w:r w:rsidR="005E1598" w:rsidRPr="00540BFB">
        <w:rPr>
          <w:rFonts w:eastAsiaTheme="minorHAnsi" w:cstheme="minorBidi"/>
          <w:sz w:val="24"/>
          <w:szCs w:val="22"/>
          <w:lang w:val="en-GB" w:eastAsia="en-US"/>
        </w:rPr>
        <w:t>. First</w:t>
      </w:r>
      <w:r w:rsidR="000A7341">
        <w:rPr>
          <w:rFonts w:eastAsiaTheme="minorHAnsi" w:cstheme="minorBidi"/>
          <w:sz w:val="24"/>
          <w:szCs w:val="22"/>
          <w:lang w:val="en-GB" w:eastAsia="en-US"/>
        </w:rPr>
        <w:t>,</w:t>
      </w:r>
      <w:r w:rsidR="005E1598" w:rsidRPr="00540BFB">
        <w:rPr>
          <w:rFonts w:eastAsiaTheme="minorHAnsi" w:cstheme="minorBidi"/>
          <w:sz w:val="24"/>
          <w:szCs w:val="22"/>
          <w:lang w:val="en-GB" w:eastAsia="en-US"/>
        </w:rPr>
        <w:t xml:space="preserve"> there was the spread of infectious diseases (HIV/AIDS and hepatitis) </w:t>
      </w:r>
      <w:r w:rsidR="00AC0726">
        <w:rPr>
          <w:rFonts w:eastAsiaTheme="minorHAnsi" w:cstheme="minorBidi"/>
          <w:sz w:val="24"/>
          <w:szCs w:val="22"/>
          <w:lang w:val="en-GB" w:eastAsia="en-US"/>
        </w:rPr>
        <w:t xml:space="preserve">among </w:t>
      </w:r>
      <w:r w:rsidR="004A3C72">
        <w:rPr>
          <w:rFonts w:eastAsiaTheme="minorHAnsi" w:cstheme="minorBidi"/>
          <w:sz w:val="24"/>
          <w:szCs w:val="22"/>
          <w:lang w:val="en-GB" w:eastAsia="en-US"/>
        </w:rPr>
        <w:t xml:space="preserve">PWID and </w:t>
      </w:r>
      <w:r w:rsidR="004A3C72">
        <w:rPr>
          <w:rFonts w:eastAsiaTheme="minorHAnsi" w:cstheme="minorBidi"/>
          <w:sz w:val="24"/>
          <w:szCs w:val="22"/>
          <w:lang w:val="en-GB" w:eastAsia="en-US"/>
        </w:rPr>
        <w:lastRenderedPageBreak/>
        <w:t xml:space="preserve">the </w:t>
      </w:r>
      <w:r w:rsidR="00E00FA2">
        <w:rPr>
          <w:rFonts w:eastAsiaTheme="minorHAnsi" w:cstheme="minorBidi"/>
          <w:sz w:val="24"/>
          <w:szCs w:val="22"/>
          <w:lang w:val="en-GB" w:eastAsia="en-US"/>
        </w:rPr>
        <w:t>high rate</w:t>
      </w:r>
      <w:r w:rsidR="005E1598" w:rsidRPr="00540BFB">
        <w:rPr>
          <w:rFonts w:eastAsiaTheme="minorHAnsi" w:cstheme="minorBidi"/>
          <w:sz w:val="24"/>
          <w:szCs w:val="22"/>
          <w:lang w:val="en-GB" w:eastAsia="en-US"/>
        </w:rPr>
        <w:t xml:space="preserve"> of drug-related deaths </w:t>
      </w:r>
      <w:r w:rsidR="009F3793">
        <w:rPr>
          <w:rFonts w:eastAsiaTheme="minorHAnsi" w:cstheme="minorBidi"/>
          <w:sz w:val="24"/>
          <w:szCs w:val="22"/>
          <w:lang w:val="en-GB" w:eastAsia="en-US"/>
        </w:rPr>
        <w:t xml:space="preserve">in Frankfurt, Hamburg and Berlin </w:t>
      </w:r>
      <w:r w:rsidR="00373FF3">
        <w:rPr>
          <w:rFonts w:eastAsiaTheme="minorHAnsi" w:cstheme="minorBidi"/>
          <w:sz w:val="24"/>
          <w:szCs w:val="22"/>
          <w:lang w:val="en-GB" w:eastAsia="en-US"/>
        </w:rPr>
        <w:t>over the 1980s</w:t>
      </w:r>
      <w:r>
        <w:rPr>
          <w:rFonts w:eastAsiaTheme="minorHAnsi" w:cstheme="minorBidi"/>
          <w:sz w:val="24"/>
          <w:szCs w:val="22"/>
          <w:lang w:val="en-GB" w:eastAsia="en-US"/>
        </w:rPr>
        <w:t xml:space="preserve">. </w:t>
      </w:r>
      <w:r w:rsidR="004A3C72">
        <w:rPr>
          <w:rFonts w:eastAsiaTheme="minorHAnsi" w:cstheme="minorBidi"/>
          <w:sz w:val="24"/>
          <w:szCs w:val="22"/>
          <w:lang w:val="en-GB" w:eastAsia="en-US"/>
        </w:rPr>
        <w:t>This led to the adoption of a harm reduction paradigm by drug service providers and the introduction of unofficial DCRs as described above</w:t>
      </w:r>
      <w:r w:rsidR="003A2FE8">
        <w:rPr>
          <w:rFonts w:eastAsiaTheme="minorHAnsi" w:cstheme="minorBidi"/>
          <w:sz w:val="24"/>
          <w:szCs w:val="22"/>
          <w:lang w:val="en-GB" w:eastAsia="en-US"/>
        </w:rPr>
        <w:t>.</w:t>
      </w:r>
      <w:r w:rsidR="005E1598" w:rsidRPr="00540BFB">
        <w:rPr>
          <w:rFonts w:eastAsiaTheme="minorHAnsi" w:cstheme="minorBidi"/>
          <w:sz w:val="24"/>
          <w:szCs w:val="22"/>
          <w:lang w:val="en-GB" w:eastAsia="en-US"/>
        </w:rPr>
        <w:t xml:space="preserve"> </w:t>
      </w:r>
      <w:r>
        <w:rPr>
          <w:rFonts w:eastAsiaTheme="minorHAnsi" w:cstheme="minorBidi"/>
          <w:sz w:val="24"/>
          <w:szCs w:val="22"/>
          <w:lang w:val="en-GB" w:eastAsia="en-US"/>
        </w:rPr>
        <w:t>However, p</w:t>
      </w:r>
      <w:r w:rsidR="0024701B">
        <w:rPr>
          <w:rFonts w:eastAsiaTheme="minorHAnsi" w:cstheme="minorBidi"/>
          <w:sz w:val="24"/>
          <w:szCs w:val="22"/>
          <w:lang w:val="en-GB" w:eastAsia="en-US"/>
        </w:rPr>
        <w:t>erhaps</w:t>
      </w:r>
      <w:r w:rsidR="00567A59">
        <w:rPr>
          <w:rFonts w:eastAsiaTheme="minorHAnsi" w:cstheme="minorBidi"/>
          <w:sz w:val="24"/>
          <w:szCs w:val="22"/>
          <w:lang w:val="en-GB" w:eastAsia="en-US"/>
        </w:rPr>
        <w:t xml:space="preserve"> the most important </w:t>
      </w:r>
      <w:r w:rsidR="008F00B3">
        <w:rPr>
          <w:rFonts w:eastAsiaTheme="minorHAnsi" w:cstheme="minorBidi"/>
          <w:sz w:val="24"/>
          <w:szCs w:val="22"/>
          <w:lang w:val="en-GB" w:eastAsia="en-US"/>
        </w:rPr>
        <w:t>influence was the appearance of open drug scenes</w:t>
      </w:r>
      <w:r w:rsidR="00FB7822">
        <w:rPr>
          <w:rFonts w:eastAsiaTheme="minorHAnsi" w:cstheme="minorBidi"/>
          <w:sz w:val="24"/>
          <w:szCs w:val="22"/>
          <w:lang w:val="en-GB" w:eastAsia="en-US"/>
        </w:rPr>
        <w:t>.</w:t>
      </w:r>
      <w:r w:rsidR="008F00B3">
        <w:rPr>
          <w:rFonts w:eastAsiaTheme="minorHAnsi" w:cstheme="minorBidi"/>
          <w:sz w:val="24"/>
          <w:szCs w:val="22"/>
          <w:lang w:val="en-GB" w:eastAsia="en-US"/>
        </w:rPr>
        <w:t xml:space="preserve"> </w:t>
      </w:r>
      <w:r w:rsidR="008F00B3" w:rsidRPr="008F00B3">
        <w:rPr>
          <w:rFonts w:eastAsiaTheme="minorHAnsi" w:cstheme="minorBidi"/>
          <w:sz w:val="24"/>
          <w:szCs w:val="22"/>
          <w:lang w:val="en-GB" w:eastAsia="en-US"/>
        </w:rPr>
        <w:t xml:space="preserve">In the late 1980s to early 1990s, </w:t>
      </w:r>
      <w:r w:rsidR="003A2FE8">
        <w:rPr>
          <w:rFonts w:eastAsiaTheme="minorHAnsi" w:cstheme="minorBidi"/>
          <w:sz w:val="24"/>
          <w:szCs w:val="22"/>
          <w:lang w:val="en-GB" w:eastAsia="en-US"/>
        </w:rPr>
        <w:t xml:space="preserve">open drug scenes developed </w:t>
      </w:r>
      <w:r w:rsidR="008F00B3" w:rsidRPr="008F00B3">
        <w:rPr>
          <w:rFonts w:eastAsiaTheme="minorHAnsi" w:cstheme="minorBidi"/>
          <w:sz w:val="24"/>
          <w:szCs w:val="22"/>
          <w:lang w:val="en-GB" w:eastAsia="en-US"/>
        </w:rPr>
        <w:t xml:space="preserve">in </w:t>
      </w:r>
      <w:r w:rsidR="00567A59">
        <w:rPr>
          <w:rFonts w:eastAsiaTheme="minorHAnsi" w:cstheme="minorBidi"/>
          <w:sz w:val="24"/>
          <w:szCs w:val="22"/>
          <w:lang w:val="en-GB" w:eastAsia="en-US"/>
        </w:rPr>
        <w:t>a number of</w:t>
      </w:r>
      <w:r w:rsidR="008F00B3" w:rsidRPr="008F00B3">
        <w:rPr>
          <w:rFonts w:eastAsiaTheme="minorHAnsi" w:cstheme="minorBidi"/>
          <w:sz w:val="24"/>
          <w:szCs w:val="22"/>
          <w:lang w:val="en-GB" w:eastAsia="en-US"/>
        </w:rPr>
        <w:t xml:space="preserve"> German cities</w:t>
      </w:r>
      <w:r w:rsidR="00567A59">
        <w:rPr>
          <w:rFonts w:eastAsiaTheme="minorHAnsi" w:cstheme="minorBidi"/>
          <w:sz w:val="24"/>
          <w:szCs w:val="22"/>
          <w:lang w:val="en-GB" w:eastAsia="en-US"/>
        </w:rPr>
        <w:t xml:space="preserve">, </w:t>
      </w:r>
      <w:r w:rsidR="003A2FE8">
        <w:rPr>
          <w:rFonts w:eastAsiaTheme="minorHAnsi" w:cstheme="minorBidi"/>
          <w:sz w:val="24"/>
          <w:szCs w:val="22"/>
          <w:lang w:val="en-GB" w:eastAsia="en-US"/>
        </w:rPr>
        <w:t xml:space="preserve">initially </w:t>
      </w:r>
      <w:r w:rsidR="00567A59">
        <w:rPr>
          <w:rFonts w:eastAsiaTheme="minorHAnsi" w:cstheme="minorBidi"/>
          <w:sz w:val="24"/>
          <w:szCs w:val="22"/>
          <w:lang w:val="en-GB" w:eastAsia="en-US"/>
        </w:rPr>
        <w:t xml:space="preserve">leading to </w:t>
      </w:r>
      <w:r w:rsidR="003A2FE8">
        <w:rPr>
          <w:rFonts w:eastAsiaTheme="minorHAnsi" w:cstheme="minorBidi"/>
          <w:sz w:val="24"/>
          <w:szCs w:val="22"/>
          <w:lang w:val="en-GB" w:eastAsia="en-US"/>
        </w:rPr>
        <w:t xml:space="preserve">ineffective </w:t>
      </w:r>
      <w:r w:rsidR="008F00B3" w:rsidRPr="008F00B3">
        <w:rPr>
          <w:rFonts w:eastAsiaTheme="minorHAnsi" w:cstheme="minorBidi"/>
          <w:sz w:val="24"/>
          <w:szCs w:val="22"/>
          <w:lang w:val="en-GB" w:eastAsia="en-US"/>
        </w:rPr>
        <w:t xml:space="preserve">public order responses. </w:t>
      </w:r>
      <w:r w:rsidR="003A2FE8">
        <w:rPr>
          <w:rFonts w:eastAsiaTheme="minorHAnsi" w:cstheme="minorBidi"/>
          <w:sz w:val="24"/>
          <w:szCs w:val="22"/>
          <w:lang w:val="en-GB" w:eastAsia="en-US"/>
        </w:rPr>
        <w:t>For example, i</w:t>
      </w:r>
      <w:r w:rsidR="003A2FE8" w:rsidRPr="008F00B3">
        <w:rPr>
          <w:rFonts w:eastAsiaTheme="minorHAnsi" w:cstheme="minorBidi"/>
          <w:sz w:val="24"/>
          <w:szCs w:val="22"/>
          <w:lang w:val="en-GB" w:eastAsia="en-US"/>
        </w:rPr>
        <w:t xml:space="preserve">n Frankfurt, the police chased the drug users from one end of a park </w:t>
      </w:r>
      <w:r w:rsidR="003A2FE8">
        <w:rPr>
          <w:rFonts w:eastAsiaTheme="minorHAnsi" w:cstheme="minorBidi"/>
          <w:sz w:val="24"/>
          <w:szCs w:val="22"/>
          <w:lang w:val="en-GB" w:eastAsia="en-US"/>
        </w:rPr>
        <w:t xml:space="preserve">to the other </w:t>
      </w:r>
      <w:r w:rsidR="003A2FE8" w:rsidRPr="008F00B3">
        <w:rPr>
          <w:rFonts w:eastAsiaTheme="minorHAnsi" w:cstheme="minorBidi"/>
          <w:sz w:val="24"/>
          <w:szCs w:val="22"/>
          <w:lang w:val="en-GB" w:eastAsia="en-US"/>
        </w:rPr>
        <w:t>(‘junkie-joggi</w:t>
      </w:r>
      <w:r w:rsidR="003A2FE8">
        <w:rPr>
          <w:rFonts w:eastAsiaTheme="minorHAnsi" w:cstheme="minorBidi"/>
          <w:sz w:val="24"/>
          <w:szCs w:val="22"/>
          <w:lang w:val="en-GB" w:eastAsia="en-US"/>
        </w:rPr>
        <w:t xml:space="preserve">ng’). </w:t>
      </w:r>
      <w:r w:rsidR="00567A59">
        <w:rPr>
          <w:rFonts w:eastAsiaTheme="minorHAnsi" w:cstheme="minorBidi"/>
          <w:sz w:val="24"/>
          <w:szCs w:val="22"/>
          <w:lang w:val="en-GB" w:eastAsia="en-US"/>
        </w:rPr>
        <w:t xml:space="preserve">Faced </w:t>
      </w:r>
      <w:r w:rsidR="003A2FE8">
        <w:rPr>
          <w:rFonts w:eastAsiaTheme="minorHAnsi" w:cstheme="minorBidi"/>
          <w:sz w:val="24"/>
          <w:szCs w:val="22"/>
          <w:lang w:val="en-GB" w:eastAsia="en-US"/>
        </w:rPr>
        <w:t>with the clear failure of enforcement efforts</w:t>
      </w:r>
      <w:r w:rsidR="00567A59">
        <w:rPr>
          <w:rFonts w:eastAsiaTheme="minorHAnsi" w:cstheme="minorBidi"/>
          <w:sz w:val="24"/>
          <w:szCs w:val="22"/>
          <w:lang w:val="en-GB" w:eastAsia="en-US"/>
        </w:rPr>
        <w:t xml:space="preserve">, </w:t>
      </w:r>
      <w:r w:rsidR="008F00B3" w:rsidRPr="008F00B3">
        <w:rPr>
          <w:rFonts w:eastAsiaTheme="minorHAnsi" w:cstheme="minorBidi"/>
          <w:sz w:val="24"/>
          <w:szCs w:val="22"/>
          <w:lang w:val="en-GB" w:eastAsia="en-US"/>
        </w:rPr>
        <w:t xml:space="preserve">public health responses were </w:t>
      </w:r>
      <w:r w:rsidR="003A2FE8">
        <w:rPr>
          <w:rFonts w:eastAsiaTheme="minorHAnsi" w:cstheme="minorBidi"/>
          <w:sz w:val="24"/>
          <w:szCs w:val="22"/>
          <w:lang w:val="en-GB" w:eastAsia="en-US"/>
        </w:rPr>
        <w:t>demanded</w:t>
      </w:r>
      <w:r w:rsidR="003A2FE8" w:rsidRPr="003A2FE8">
        <w:rPr>
          <w:rFonts w:eastAsiaTheme="minorHAnsi" w:cstheme="minorBidi"/>
          <w:sz w:val="24"/>
          <w:szCs w:val="22"/>
          <w:lang w:val="en-GB" w:eastAsia="en-US"/>
        </w:rPr>
        <w:t xml:space="preserve"> </w:t>
      </w:r>
      <w:r w:rsidR="003A2FE8" w:rsidRPr="008F00B3">
        <w:rPr>
          <w:rFonts w:eastAsiaTheme="minorHAnsi" w:cstheme="minorBidi"/>
          <w:sz w:val="24"/>
          <w:szCs w:val="22"/>
          <w:lang w:val="en-GB" w:eastAsia="en-US"/>
        </w:rPr>
        <w:t xml:space="preserve">vociferously </w:t>
      </w:r>
      <w:r w:rsidR="008F00B3" w:rsidRPr="008F00B3">
        <w:rPr>
          <w:rFonts w:eastAsiaTheme="minorHAnsi" w:cstheme="minorBidi"/>
          <w:sz w:val="24"/>
          <w:szCs w:val="22"/>
          <w:lang w:val="en-GB" w:eastAsia="en-US"/>
        </w:rPr>
        <w:t xml:space="preserve">and, crucially, supported by the police. </w:t>
      </w:r>
    </w:p>
    <w:p w:rsidR="00036EB9" w:rsidRPr="008F00B3" w:rsidRDefault="00036EB9" w:rsidP="001134E8">
      <w:pPr>
        <w:pStyle w:val="FormatvorlageTextkrperArial10ptBlock"/>
        <w:spacing w:line="360" w:lineRule="auto"/>
        <w:contextualSpacing/>
        <w:jc w:val="left"/>
        <w:rPr>
          <w:rFonts w:eastAsiaTheme="minorHAnsi" w:cstheme="minorBidi"/>
          <w:sz w:val="24"/>
          <w:szCs w:val="22"/>
          <w:lang w:val="en-GB" w:eastAsia="en-US"/>
        </w:rPr>
      </w:pPr>
    </w:p>
    <w:p w:rsidR="00036EB9" w:rsidRDefault="008F00B3" w:rsidP="001134E8">
      <w:pPr>
        <w:spacing w:line="360" w:lineRule="auto"/>
        <w:ind w:left="0"/>
        <w:contextualSpacing/>
      </w:pPr>
      <w:r>
        <w:t xml:space="preserve">The momentum to implement DCRs therefore appeared </w:t>
      </w:r>
      <w:r w:rsidR="006D4AAA">
        <w:t xml:space="preserve">primarily </w:t>
      </w:r>
      <w:r>
        <w:t xml:space="preserve">to come from the dynamics of open drug scenes: their visibility and their effects on the economy of a city. </w:t>
      </w:r>
      <w:r w:rsidR="003A2FE8">
        <w:t xml:space="preserve">Drug scenes </w:t>
      </w:r>
      <w:r>
        <w:t>tended to be located around central train stations or in shopping areas</w:t>
      </w:r>
      <w:r w:rsidR="006D4AAA">
        <w:t xml:space="preserve"> or </w:t>
      </w:r>
      <w:r>
        <w:t>parks</w:t>
      </w:r>
      <w:r w:rsidR="003A2FE8">
        <w:t xml:space="preserve">, </w:t>
      </w:r>
      <w:r w:rsidR="00C07BD4">
        <w:t>and s</w:t>
      </w:r>
      <w:r>
        <w:t>hop-</w:t>
      </w:r>
      <w:r w:rsidR="0024701B">
        <w:t xml:space="preserve">owners </w:t>
      </w:r>
      <w:r w:rsidR="00C07BD4">
        <w:t>and residents in these areas</w:t>
      </w:r>
      <w:r>
        <w:t xml:space="preserve"> demanded </w:t>
      </w:r>
      <w:r w:rsidR="003A2FE8">
        <w:t>action.</w:t>
      </w:r>
      <w:r>
        <w:t xml:space="preserve"> Local politicians in cities like Hanover</w:t>
      </w:r>
      <w:r w:rsidR="0024701B">
        <w:t xml:space="preserve">, Hamburg </w:t>
      </w:r>
      <w:r>
        <w:t xml:space="preserve">and Frankfurt </w:t>
      </w:r>
      <w:r w:rsidR="003A2FE8">
        <w:t xml:space="preserve">also </w:t>
      </w:r>
      <w:r>
        <w:t xml:space="preserve">viewed open drug scenes as tarnishing the image of their cities and feared that they would have a negative impact on tourism and business. </w:t>
      </w:r>
      <w:r w:rsidR="00C07BD4">
        <w:t xml:space="preserve">The </w:t>
      </w:r>
      <w:r>
        <w:t>Police s</w:t>
      </w:r>
      <w:r w:rsidR="00C07BD4">
        <w:t xml:space="preserve">aw </w:t>
      </w:r>
      <w:r>
        <w:t xml:space="preserve">DCRs </w:t>
      </w:r>
      <w:r w:rsidR="00C07BD4">
        <w:t xml:space="preserve">as </w:t>
      </w:r>
      <w:r>
        <w:t>holding the potential to end widespread</w:t>
      </w:r>
      <w:r w:rsidR="003A2FE8">
        <w:t>,</w:t>
      </w:r>
      <w:r w:rsidR="004073C0">
        <w:t xml:space="preserve"> </w:t>
      </w:r>
      <w:r w:rsidR="00542437">
        <w:t>drug-</w:t>
      </w:r>
      <w:r w:rsidR="00905F33">
        <w:t xml:space="preserve">related </w:t>
      </w:r>
      <w:r w:rsidR="004073C0">
        <w:t>public nuisance</w:t>
      </w:r>
      <w:r w:rsidR="00567A59">
        <w:t xml:space="preserve"> by taking drug users out of public spaces</w:t>
      </w:r>
      <w:r w:rsidR="00542437">
        <w:t xml:space="preserve">. </w:t>
      </w:r>
      <w:r w:rsidR="004766EE">
        <w:t xml:space="preserve">There was therefore a powerful coalition of support for DCRs, each ‘partner’ driven by rather different motivations: politicians, fearful for the image of their cities and associated economic impact; the police, who had run out of ideas on how to control public order problems; and treatment agencies, driven by the desire to prevent the spread of infectious diseases and overdose deaths.  </w:t>
      </w:r>
    </w:p>
    <w:p w:rsidR="00036EB9" w:rsidRDefault="00036EB9" w:rsidP="001134E8">
      <w:pPr>
        <w:spacing w:line="360" w:lineRule="auto"/>
        <w:ind w:left="0"/>
        <w:contextualSpacing/>
      </w:pPr>
    </w:p>
    <w:p w:rsidR="005E1598" w:rsidRDefault="00905F33" w:rsidP="001134E8">
      <w:pPr>
        <w:spacing w:line="360" w:lineRule="auto"/>
        <w:ind w:left="0"/>
        <w:contextualSpacing/>
      </w:pPr>
      <w:r>
        <w:t xml:space="preserve">The </w:t>
      </w:r>
      <w:r w:rsidR="00542437">
        <w:t xml:space="preserve">German </w:t>
      </w:r>
      <w:r>
        <w:t xml:space="preserve">mass media </w:t>
      </w:r>
      <w:r w:rsidR="004766EE">
        <w:t>r</w:t>
      </w:r>
      <w:r>
        <w:t xml:space="preserve">eported quite positively </w:t>
      </w:r>
      <w:r w:rsidR="00E00FA2">
        <w:t xml:space="preserve">on </w:t>
      </w:r>
      <w:r>
        <w:t>the</w:t>
      </w:r>
      <w:r w:rsidR="00E00FA2">
        <w:t xml:space="preserve"> implementation of DCRs. This was</w:t>
      </w:r>
      <w:r>
        <w:t xml:space="preserve"> remarkabl</w:t>
      </w:r>
      <w:r w:rsidR="00542437">
        <w:t>e</w:t>
      </w:r>
      <w:r>
        <w:t xml:space="preserve">, because </w:t>
      </w:r>
      <w:r w:rsidR="004A3C72">
        <w:t>there had been considerable previous criticism of</w:t>
      </w:r>
      <w:r w:rsidR="003A2FE8">
        <w:t xml:space="preserve"> </w:t>
      </w:r>
      <w:r>
        <w:t>drug services</w:t>
      </w:r>
      <w:r w:rsidR="00E00FA2">
        <w:t>.</w:t>
      </w:r>
      <w:r>
        <w:t xml:space="preserve"> DCRs </w:t>
      </w:r>
      <w:r w:rsidR="00E00FA2">
        <w:t xml:space="preserve">were </w:t>
      </w:r>
      <w:r>
        <w:t xml:space="preserve">perceived </w:t>
      </w:r>
      <w:r w:rsidR="004A3C72">
        <w:t xml:space="preserve">by the media </w:t>
      </w:r>
      <w:r>
        <w:t>as a professional resp</w:t>
      </w:r>
      <w:r w:rsidR="00B54B23">
        <w:t xml:space="preserve">onse to </w:t>
      </w:r>
      <w:r w:rsidR="003A2FE8">
        <w:t xml:space="preserve">socially </w:t>
      </w:r>
      <w:r w:rsidR="00B54B23">
        <w:t xml:space="preserve">damaging behaviour: a perception given legitimation by </w:t>
      </w:r>
      <w:r>
        <w:t>police support</w:t>
      </w:r>
      <w:r w:rsidR="00B54B23">
        <w:t xml:space="preserve"> for</w:t>
      </w:r>
      <w:r>
        <w:t xml:space="preserve"> these services</w:t>
      </w:r>
      <w:r w:rsidR="00B54B23">
        <w:t>.</w:t>
      </w:r>
      <w:r>
        <w:t xml:space="preserve">  </w:t>
      </w:r>
    </w:p>
    <w:p w:rsidR="001134E8" w:rsidRDefault="001134E8" w:rsidP="001134E8">
      <w:pPr>
        <w:spacing w:line="360" w:lineRule="auto"/>
        <w:ind w:left="0"/>
        <w:contextualSpacing/>
      </w:pPr>
    </w:p>
    <w:p w:rsidR="005E1598" w:rsidRDefault="00CB13C6" w:rsidP="001134E8">
      <w:pPr>
        <w:spacing w:line="360" w:lineRule="auto"/>
        <w:ind w:left="0"/>
        <w:contextualSpacing/>
      </w:pPr>
      <w:r>
        <w:t>Th</w:t>
      </w:r>
      <w:r w:rsidR="002C083E">
        <w:t xml:space="preserve">e implementation of DCRs in Frankfurt and Hamburg constituted </w:t>
      </w:r>
      <w:r>
        <w:t>the first wave of implementation</w:t>
      </w:r>
      <w:r w:rsidR="00B54B23">
        <w:t xml:space="preserve">. </w:t>
      </w:r>
      <w:r w:rsidR="0031200F">
        <w:t>In order to evaluate DCRs in Germany</w:t>
      </w:r>
      <w:r w:rsidR="003A2FE8">
        <w:t>,</w:t>
      </w:r>
      <w:r w:rsidR="0031200F">
        <w:t xml:space="preserve"> the Federal Ministry of Health </w:t>
      </w:r>
      <w:r w:rsidR="003A2FE8">
        <w:t xml:space="preserve">funded </w:t>
      </w:r>
      <w:r w:rsidR="0031200F">
        <w:t>a respective study. Results from th</w:t>
      </w:r>
      <w:r w:rsidR="004A3C72">
        <w:t>is</w:t>
      </w:r>
      <w:r w:rsidR="0031200F">
        <w:t xml:space="preserve"> evaluation confirmed that drug </w:t>
      </w:r>
      <w:r w:rsidR="0031200F">
        <w:lastRenderedPageBreak/>
        <w:t xml:space="preserve">consumption rooms </w:t>
      </w:r>
      <w:r w:rsidR="009F3793">
        <w:t>met</w:t>
      </w:r>
      <w:r w:rsidR="0031200F">
        <w:t xml:space="preserve"> their aims </w:t>
      </w:r>
      <w:r w:rsidR="009F3793">
        <w:t xml:space="preserve">in terms of reaching </w:t>
      </w:r>
      <w:r w:rsidR="0031200F">
        <w:t>the</w:t>
      </w:r>
      <w:r w:rsidR="009F3793">
        <w:t>ir</w:t>
      </w:r>
      <w:r w:rsidR="00654B52">
        <w:t xml:space="preserve"> main target groups </w:t>
      </w:r>
      <w:r w:rsidR="0031200F">
        <w:t>and contribut</w:t>
      </w:r>
      <w:r w:rsidR="00D27FEC">
        <w:t>ing</w:t>
      </w:r>
      <w:r w:rsidR="0031200F">
        <w:t xml:space="preserve"> to </w:t>
      </w:r>
      <w:r w:rsidR="00D27FEC">
        <w:t>the reduction of</w:t>
      </w:r>
      <w:r w:rsidR="003A2FE8">
        <w:t xml:space="preserve"> </w:t>
      </w:r>
      <w:r w:rsidR="0031200F">
        <w:t>drug-related deaths and emergency cases (ZEUS</w:t>
      </w:r>
      <w:r w:rsidR="00654B52">
        <w:t>,</w:t>
      </w:r>
      <w:r w:rsidR="0031200F">
        <w:t xml:space="preserve"> 2002). </w:t>
      </w:r>
      <w:r w:rsidR="00D27FEC">
        <w:t>S</w:t>
      </w:r>
      <w:r w:rsidR="00D27FEC" w:rsidRPr="00EE74C1">
        <w:t>ince 1999 more than 400,000 consum</w:t>
      </w:r>
      <w:r w:rsidR="00D27FEC">
        <w:t>p</w:t>
      </w:r>
      <w:r w:rsidR="00D27FEC" w:rsidRPr="00073A2B">
        <w:t xml:space="preserve">tion events had </w:t>
      </w:r>
      <w:r w:rsidR="00D27FEC">
        <w:t>taken place in DCRs</w:t>
      </w:r>
      <w:r w:rsidR="00D27FEC" w:rsidRPr="00EE74C1">
        <w:t xml:space="preserve"> each year</w:t>
      </w:r>
      <w:r w:rsidR="00D27FEC" w:rsidRPr="008C656A">
        <w:t xml:space="preserve"> (ZEUS</w:t>
      </w:r>
      <w:r w:rsidR="00D27FEC">
        <w:t>,</w:t>
      </w:r>
      <w:r w:rsidR="00D27FEC" w:rsidRPr="008C656A">
        <w:t xml:space="preserve"> 2002, p. 155</w:t>
      </w:r>
      <w:r w:rsidR="00D27FEC" w:rsidRPr="008C656A">
        <w:rPr>
          <w:lang w:val="en-US"/>
        </w:rPr>
        <w:t>).</w:t>
      </w:r>
      <w:r w:rsidR="00D27FEC">
        <w:rPr>
          <w:lang w:val="en-US"/>
        </w:rPr>
        <w:t xml:space="preserve"> </w:t>
      </w:r>
      <w:r w:rsidR="00D27FEC">
        <w:t xml:space="preserve">The 5,426 emergency cases that occurred between </w:t>
      </w:r>
      <w:r w:rsidR="0031200F">
        <w:t>1995</w:t>
      </w:r>
      <w:r w:rsidR="00D27FEC">
        <w:t xml:space="preserve"> and</w:t>
      </w:r>
      <w:r w:rsidR="003A2FE8">
        <w:t xml:space="preserve"> </w:t>
      </w:r>
      <w:r w:rsidR="0031200F">
        <w:t xml:space="preserve">2001 </w:t>
      </w:r>
      <w:r w:rsidR="00D27FEC">
        <w:t xml:space="preserve">were all successfully </w:t>
      </w:r>
      <w:r w:rsidR="0031200F">
        <w:t>managed</w:t>
      </w:r>
      <w:r w:rsidR="00654B52">
        <w:t xml:space="preserve">, including </w:t>
      </w:r>
      <w:r w:rsidR="0031200F">
        <w:t>resuscitation where needed</w:t>
      </w:r>
      <w:r w:rsidR="00F802D3">
        <w:t>. Only one drug-related death has ever been notified (January 2015 in Berlin)</w:t>
      </w:r>
      <w:r w:rsidR="0031200F">
        <w:t>. T</w:t>
      </w:r>
      <w:r w:rsidR="00301437">
        <w:t>he</w:t>
      </w:r>
      <w:r w:rsidR="00BA259B">
        <w:t xml:space="preserve">se positive results, alongside supportive </w:t>
      </w:r>
      <w:r>
        <w:t xml:space="preserve">arguments from </w:t>
      </w:r>
      <w:r w:rsidR="00301437">
        <w:t>professionals</w:t>
      </w:r>
      <w:r w:rsidR="00D27FEC">
        <w:t>,</w:t>
      </w:r>
      <w:r w:rsidR="00301437">
        <w:t xml:space="preserve"> </w:t>
      </w:r>
      <w:r>
        <w:t xml:space="preserve">led to the implementation </w:t>
      </w:r>
      <w:r w:rsidR="00301437">
        <w:t xml:space="preserve">of DCRs in other </w:t>
      </w:r>
      <w:r>
        <w:t xml:space="preserve">cities, where the </w:t>
      </w:r>
      <w:r w:rsidR="00D27FEC">
        <w:t xml:space="preserve">existence </w:t>
      </w:r>
      <w:r w:rsidR="00301437">
        <w:t>of open drug scenes was not so</w:t>
      </w:r>
      <w:r>
        <w:t xml:space="preserve"> </w:t>
      </w:r>
      <w:r w:rsidR="00D27FEC">
        <w:t xml:space="preserve">obvious </w:t>
      </w:r>
      <w:r w:rsidR="00373FF3">
        <w:t xml:space="preserve">(Jacob, </w:t>
      </w:r>
      <w:proofErr w:type="spellStart"/>
      <w:r w:rsidR="00373FF3">
        <w:t>Rottmann</w:t>
      </w:r>
      <w:proofErr w:type="spellEnd"/>
      <w:r w:rsidR="00373FF3">
        <w:t xml:space="preserve"> and </w:t>
      </w:r>
      <w:proofErr w:type="spellStart"/>
      <w:r w:rsidR="00373FF3">
        <w:t>Stöver</w:t>
      </w:r>
      <w:proofErr w:type="spellEnd"/>
      <w:r w:rsidR="00373FF3">
        <w:t>, 1999)</w:t>
      </w:r>
      <w:r>
        <w:t>.</w:t>
      </w:r>
      <w:r w:rsidR="00301437">
        <w:t xml:space="preserve"> </w:t>
      </w:r>
      <w:r w:rsidR="005E1598" w:rsidRPr="00540BFB">
        <w:t xml:space="preserve">In Germany, there are </w:t>
      </w:r>
      <w:r w:rsidR="00301437">
        <w:t xml:space="preserve">now </w:t>
      </w:r>
      <w:r w:rsidR="005E1598" w:rsidRPr="00540BFB">
        <w:t>2</w:t>
      </w:r>
      <w:r w:rsidR="002C083E">
        <w:t>4</w:t>
      </w:r>
      <w:r w:rsidR="005E1598" w:rsidRPr="00540BFB">
        <w:t xml:space="preserve"> drug </w:t>
      </w:r>
      <w:r w:rsidR="00D27FEC">
        <w:t xml:space="preserve">DCRs </w:t>
      </w:r>
      <w:r w:rsidR="005E1598" w:rsidRPr="00540BFB">
        <w:t>operating in 1</w:t>
      </w:r>
      <w:r w:rsidR="002C083E">
        <w:t>5</w:t>
      </w:r>
      <w:r w:rsidR="005E1598" w:rsidRPr="00540BFB">
        <w:t xml:space="preserve"> cities, </w:t>
      </w:r>
      <w:r w:rsidR="009F19EC">
        <w:t>in six</w:t>
      </w:r>
      <w:r w:rsidR="005E1598" w:rsidRPr="00540BFB">
        <w:t xml:space="preserve"> German states (Berlin, Hamburg, Hesse, Lower Saxony, North Rhine-Westphalia and Saarland). While Hamburg operates five and Frankfurt </w:t>
      </w:r>
      <w:proofErr w:type="gramStart"/>
      <w:r w:rsidR="005E1598" w:rsidRPr="00540BFB">
        <w:t>am</w:t>
      </w:r>
      <w:proofErr w:type="gramEnd"/>
      <w:r w:rsidR="005E1598" w:rsidRPr="00540BFB">
        <w:t xml:space="preserve"> Main four, many other cities have to manage with fewer facilities and also with considerably restricted opening hours. As such, two mobile consumption rooms each are operated in Berlin and Cologne. </w:t>
      </w:r>
      <w:r w:rsidR="00D27FEC">
        <w:t>T</w:t>
      </w:r>
      <w:r w:rsidR="005E1598" w:rsidRPr="00540BFB">
        <w:t xml:space="preserve">he other cities only run one </w:t>
      </w:r>
      <w:r w:rsidR="00D27FEC">
        <w:t>DCR</w:t>
      </w:r>
      <w:r w:rsidR="005E1598" w:rsidRPr="00540BFB">
        <w:t>.</w:t>
      </w:r>
    </w:p>
    <w:p w:rsidR="006C4D9F" w:rsidRDefault="004766EE" w:rsidP="00654B52">
      <w:pPr>
        <w:pStyle w:val="FormatvorlageTextkrperArial10ptBlock"/>
        <w:spacing w:line="360" w:lineRule="auto"/>
        <w:contextualSpacing/>
        <w:jc w:val="left"/>
        <w:rPr>
          <w:rFonts w:eastAsiaTheme="minorHAnsi" w:cstheme="minorBidi"/>
          <w:sz w:val="24"/>
          <w:szCs w:val="22"/>
          <w:lang w:val="en-GB" w:eastAsia="en-US"/>
        </w:rPr>
      </w:pPr>
      <w:r>
        <w:rPr>
          <w:rFonts w:eastAsiaTheme="minorHAnsi" w:cstheme="minorBidi"/>
          <w:sz w:val="24"/>
          <w:szCs w:val="22"/>
          <w:lang w:val="en-GB" w:eastAsia="en-US"/>
        </w:rPr>
        <w:t xml:space="preserve">A </w:t>
      </w:r>
      <w:r w:rsidR="005E1598" w:rsidRPr="00540BFB">
        <w:rPr>
          <w:rFonts w:eastAsiaTheme="minorHAnsi" w:cstheme="minorBidi"/>
          <w:sz w:val="24"/>
          <w:szCs w:val="22"/>
          <w:lang w:val="en-GB" w:eastAsia="en-US"/>
        </w:rPr>
        <w:t>major challenge</w:t>
      </w:r>
      <w:r>
        <w:rPr>
          <w:rFonts w:eastAsiaTheme="minorHAnsi" w:cstheme="minorBidi"/>
          <w:sz w:val="24"/>
          <w:szCs w:val="22"/>
          <w:lang w:val="en-GB" w:eastAsia="en-US"/>
        </w:rPr>
        <w:t xml:space="preserve"> that remains is the expansion of DCR provision</w:t>
      </w:r>
      <w:r w:rsidR="005E1598" w:rsidRPr="00540BFB">
        <w:rPr>
          <w:rFonts w:eastAsiaTheme="minorHAnsi" w:cstheme="minorBidi"/>
          <w:sz w:val="24"/>
          <w:szCs w:val="22"/>
          <w:lang w:val="en-GB" w:eastAsia="en-US"/>
        </w:rPr>
        <w:t xml:space="preserve"> in Germany. For instance, the service providers and </w:t>
      </w:r>
      <w:r w:rsidR="00905F33">
        <w:rPr>
          <w:rFonts w:eastAsiaTheme="minorHAnsi" w:cstheme="minorBidi"/>
          <w:sz w:val="24"/>
          <w:szCs w:val="22"/>
          <w:lang w:val="en-GB" w:eastAsia="en-US"/>
        </w:rPr>
        <w:t xml:space="preserve">some </w:t>
      </w:r>
      <w:r>
        <w:rPr>
          <w:rFonts w:eastAsiaTheme="minorHAnsi" w:cstheme="minorBidi"/>
          <w:sz w:val="24"/>
          <w:szCs w:val="22"/>
          <w:lang w:val="en-GB" w:eastAsia="en-US"/>
        </w:rPr>
        <w:t xml:space="preserve">(opposition) </w:t>
      </w:r>
      <w:r w:rsidR="005E1598" w:rsidRPr="00540BFB">
        <w:rPr>
          <w:rFonts w:eastAsiaTheme="minorHAnsi" w:cstheme="minorBidi"/>
          <w:sz w:val="24"/>
          <w:szCs w:val="22"/>
          <w:lang w:val="en-GB" w:eastAsia="en-US"/>
        </w:rPr>
        <w:t xml:space="preserve">political parties </w:t>
      </w:r>
      <w:r w:rsidR="00FB06B9">
        <w:rPr>
          <w:rFonts w:eastAsiaTheme="minorHAnsi" w:cstheme="minorBidi"/>
          <w:sz w:val="24"/>
          <w:szCs w:val="22"/>
          <w:lang w:val="en-GB" w:eastAsia="en-US"/>
        </w:rPr>
        <w:t xml:space="preserve">in </w:t>
      </w:r>
      <w:r w:rsidR="005E1598" w:rsidRPr="00540BFB">
        <w:rPr>
          <w:rFonts w:eastAsiaTheme="minorHAnsi" w:cstheme="minorBidi"/>
          <w:sz w:val="24"/>
          <w:szCs w:val="22"/>
          <w:lang w:val="en-GB" w:eastAsia="en-US"/>
        </w:rPr>
        <w:t xml:space="preserve">Bavaria </w:t>
      </w:r>
      <w:r w:rsidR="0059769F">
        <w:rPr>
          <w:rFonts w:eastAsiaTheme="minorHAnsi" w:cstheme="minorBidi"/>
          <w:sz w:val="24"/>
          <w:szCs w:val="22"/>
          <w:lang w:val="en-GB" w:eastAsia="en-US"/>
        </w:rPr>
        <w:t xml:space="preserve">have </w:t>
      </w:r>
      <w:r w:rsidR="00FB06B9">
        <w:rPr>
          <w:rFonts w:eastAsiaTheme="minorHAnsi" w:cstheme="minorBidi"/>
          <w:sz w:val="24"/>
          <w:szCs w:val="22"/>
          <w:lang w:val="en-GB" w:eastAsia="en-US"/>
        </w:rPr>
        <w:t xml:space="preserve">repeatedly </w:t>
      </w:r>
      <w:r w:rsidR="005E1598" w:rsidRPr="00540BFB">
        <w:rPr>
          <w:rFonts w:eastAsiaTheme="minorHAnsi" w:cstheme="minorBidi"/>
          <w:sz w:val="24"/>
          <w:szCs w:val="22"/>
          <w:lang w:val="en-GB" w:eastAsia="en-US"/>
        </w:rPr>
        <w:t>demand</w:t>
      </w:r>
      <w:r w:rsidR="0059769F">
        <w:rPr>
          <w:rFonts w:eastAsiaTheme="minorHAnsi" w:cstheme="minorBidi"/>
          <w:sz w:val="24"/>
          <w:szCs w:val="22"/>
          <w:lang w:val="en-GB" w:eastAsia="en-US"/>
        </w:rPr>
        <w:t>ed</w:t>
      </w:r>
      <w:r w:rsidR="005E1598" w:rsidRPr="00540BFB">
        <w:rPr>
          <w:rFonts w:eastAsiaTheme="minorHAnsi" w:cstheme="minorBidi"/>
          <w:sz w:val="24"/>
          <w:szCs w:val="22"/>
          <w:lang w:val="en-GB" w:eastAsia="en-US"/>
        </w:rPr>
        <w:t xml:space="preserve"> the introduction of DCRs </w:t>
      </w:r>
      <w:r w:rsidR="001134E8">
        <w:rPr>
          <w:rFonts w:eastAsiaTheme="minorHAnsi" w:cstheme="minorBidi"/>
          <w:sz w:val="24"/>
          <w:szCs w:val="22"/>
          <w:lang w:val="en-GB" w:eastAsia="en-US"/>
        </w:rPr>
        <w:t xml:space="preserve">over a number of years </w:t>
      </w:r>
      <w:r w:rsidR="005E1598" w:rsidRPr="00540BFB">
        <w:rPr>
          <w:rFonts w:eastAsiaTheme="minorHAnsi" w:cstheme="minorBidi"/>
          <w:sz w:val="24"/>
          <w:szCs w:val="22"/>
          <w:lang w:val="en-GB" w:eastAsia="en-US"/>
        </w:rPr>
        <w:t xml:space="preserve">but the state government </w:t>
      </w:r>
      <w:r w:rsidR="00FB06B9">
        <w:rPr>
          <w:rFonts w:eastAsiaTheme="minorHAnsi" w:cstheme="minorBidi"/>
          <w:sz w:val="24"/>
          <w:szCs w:val="22"/>
          <w:lang w:val="en-GB" w:eastAsia="en-US"/>
        </w:rPr>
        <w:t>has continued to</w:t>
      </w:r>
      <w:r w:rsidR="001134E8">
        <w:rPr>
          <w:rFonts w:eastAsiaTheme="minorHAnsi" w:cstheme="minorBidi"/>
          <w:sz w:val="24"/>
          <w:szCs w:val="22"/>
          <w:lang w:val="en-GB" w:eastAsia="en-US"/>
        </w:rPr>
        <w:t xml:space="preserve"> reject the idea (</w:t>
      </w:r>
      <w:proofErr w:type="spellStart"/>
      <w:r w:rsidR="008C61D7" w:rsidRPr="009A5F6F">
        <w:rPr>
          <w:rFonts w:eastAsiaTheme="minorHAnsi" w:cstheme="minorBidi"/>
          <w:sz w:val="24"/>
          <w:szCs w:val="22"/>
          <w:lang w:val="en-GB" w:eastAsia="en-US"/>
        </w:rPr>
        <w:t>Paritätischer</w:t>
      </w:r>
      <w:proofErr w:type="spellEnd"/>
      <w:r w:rsidR="008C61D7" w:rsidRPr="009A5F6F">
        <w:rPr>
          <w:rFonts w:eastAsiaTheme="minorHAnsi" w:cstheme="minorBidi"/>
          <w:sz w:val="24"/>
          <w:szCs w:val="22"/>
          <w:lang w:val="en-GB" w:eastAsia="en-US"/>
        </w:rPr>
        <w:t xml:space="preserve"> </w:t>
      </w:r>
      <w:proofErr w:type="spellStart"/>
      <w:r w:rsidR="008C61D7" w:rsidRPr="009A5F6F">
        <w:rPr>
          <w:rFonts w:eastAsiaTheme="minorHAnsi" w:cstheme="minorBidi"/>
          <w:sz w:val="24"/>
          <w:szCs w:val="22"/>
          <w:lang w:val="en-GB" w:eastAsia="en-US"/>
        </w:rPr>
        <w:t>Wohlfahrtsverband</w:t>
      </w:r>
      <w:proofErr w:type="spellEnd"/>
      <w:r w:rsidR="008C61D7" w:rsidRPr="009A5F6F">
        <w:rPr>
          <w:rFonts w:eastAsiaTheme="minorHAnsi" w:cstheme="minorBidi"/>
          <w:sz w:val="24"/>
          <w:szCs w:val="22"/>
          <w:lang w:val="en-GB" w:eastAsia="en-US"/>
        </w:rPr>
        <w:t xml:space="preserve"> 2010)</w:t>
      </w:r>
      <w:r w:rsidR="00654B52">
        <w:rPr>
          <w:rFonts w:eastAsiaTheme="minorHAnsi" w:cstheme="minorBidi"/>
          <w:sz w:val="24"/>
          <w:szCs w:val="22"/>
          <w:lang w:val="en-GB" w:eastAsia="en-US"/>
        </w:rPr>
        <w:t>.</w:t>
      </w:r>
    </w:p>
    <w:p w:rsidR="00654B52" w:rsidRPr="00654B52" w:rsidRDefault="00654B52" w:rsidP="00654B52">
      <w:pPr>
        <w:pStyle w:val="FormatvorlageTextkrperArial10ptBlock"/>
        <w:spacing w:line="360" w:lineRule="auto"/>
        <w:contextualSpacing/>
        <w:jc w:val="left"/>
        <w:rPr>
          <w:lang w:val="en-US"/>
        </w:rPr>
      </w:pPr>
    </w:p>
    <w:p w:rsidR="00405E04" w:rsidRPr="00093352" w:rsidRDefault="006C4D9F" w:rsidP="001134E8">
      <w:pPr>
        <w:autoSpaceDE w:val="0"/>
        <w:autoSpaceDN w:val="0"/>
        <w:adjustRightInd w:val="0"/>
        <w:spacing w:after="0" w:line="360" w:lineRule="auto"/>
        <w:ind w:left="0"/>
        <w:contextualSpacing/>
        <w:rPr>
          <w:b/>
          <w:i/>
        </w:rPr>
      </w:pPr>
      <w:r w:rsidRPr="00093352">
        <w:rPr>
          <w:b/>
          <w:i/>
        </w:rPr>
        <w:t>The UK story</w:t>
      </w:r>
    </w:p>
    <w:p w:rsidR="00405E04" w:rsidRDefault="006631C3" w:rsidP="001134E8">
      <w:pPr>
        <w:autoSpaceDE w:val="0"/>
        <w:autoSpaceDN w:val="0"/>
        <w:adjustRightInd w:val="0"/>
        <w:spacing w:after="0" w:line="360" w:lineRule="auto"/>
        <w:ind w:left="0"/>
        <w:contextualSpacing/>
      </w:pPr>
      <w:r>
        <w:t xml:space="preserve">In 2002 the </w:t>
      </w:r>
      <w:r w:rsidR="00FA3408">
        <w:t>Home Affairs Select</w:t>
      </w:r>
      <w:r w:rsidR="00405E04">
        <w:t xml:space="preserve"> Committee</w:t>
      </w:r>
      <w:r>
        <w:t xml:space="preserve"> (HASC)</w:t>
      </w:r>
      <w:r>
        <w:rPr>
          <w:rStyle w:val="FootnoteReference"/>
        </w:rPr>
        <w:footnoteReference w:id="3"/>
      </w:r>
      <w:r>
        <w:t xml:space="preserve"> recommended that:</w:t>
      </w:r>
      <w:r w:rsidR="00405E04" w:rsidRPr="00405E04">
        <w:t xml:space="preserve"> </w:t>
      </w:r>
    </w:p>
    <w:p w:rsidR="006631C3" w:rsidRPr="00405E04" w:rsidRDefault="006631C3" w:rsidP="001134E8">
      <w:pPr>
        <w:autoSpaceDE w:val="0"/>
        <w:autoSpaceDN w:val="0"/>
        <w:adjustRightInd w:val="0"/>
        <w:spacing w:after="0" w:line="360" w:lineRule="auto"/>
        <w:ind w:left="0"/>
        <w:contextualSpacing/>
      </w:pPr>
    </w:p>
    <w:p w:rsidR="00405E04" w:rsidRDefault="00405E04" w:rsidP="001134E8">
      <w:pPr>
        <w:spacing w:line="360" w:lineRule="auto"/>
        <w:contextualSpacing/>
      </w:pPr>
      <w:r w:rsidRPr="00405E04">
        <w:t xml:space="preserve">…an evaluated pilot programme of safe injecting houses for [illicit] heroin users is established without delay and that if, as we expect, this is successful, the programme </w:t>
      </w:r>
      <w:r>
        <w:t>is extended across the country.</w:t>
      </w:r>
    </w:p>
    <w:p w:rsidR="001134E8" w:rsidRDefault="001134E8" w:rsidP="001134E8">
      <w:pPr>
        <w:spacing w:line="360" w:lineRule="auto"/>
        <w:contextualSpacing/>
      </w:pPr>
    </w:p>
    <w:p w:rsidR="00405E04" w:rsidRDefault="006631C3" w:rsidP="001134E8">
      <w:pPr>
        <w:spacing w:line="360" w:lineRule="auto"/>
        <w:ind w:left="0"/>
        <w:contextualSpacing/>
      </w:pPr>
      <w:r>
        <w:t>However, t</w:t>
      </w:r>
      <w:r w:rsidR="00405E04" w:rsidRPr="00405E04">
        <w:t xml:space="preserve">he </w:t>
      </w:r>
      <w:r>
        <w:t xml:space="preserve">UK </w:t>
      </w:r>
      <w:r w:rsidR="00B2025D">
        <w:t xml:space="preserve">Home Office </w:t>
      </w:r>
      <w:r w:rsidR="00405E04" w:rsidRPr="00405E04">
        <w:t xml:space="preserve">had already made clear the Government’s opposition to DCRs (Home Affairs Committee, 2002): </w:t>
      </w:r>
    </w:p>
    <w:p w:rsidR="001134E8" w:rsidRPr="00405E04" w:rsidRDefault="001134E8" w:rsidP="001134E8">
      <w:pPr>
        <w:spacing w:line="360" w:lineRule="auto"/>
        <w:ind w:left="0"/>
        <w:contextualSpacing/>
      </w:pPr>
    </w:p>
    <w:p w:rsidR="00405E04" w:rsidRPr="00405E04" w:rsidRDefault="00405E04" w:rsidP="001134E8">
      <w:pPr>
        <w:numPr>
          <w:ilvl w:val="0"/>
          <w:numId w:val="1"/>
        </w:numPr>
        <w:spacing w:after="0" w:line="360" w:lineRule="auto"/>
        <w:contextualSpacing/>
      </w:pPr>
      <w:r w:rsidRPr="00405E04">
        <w:lastRenderedPageBreak/>
        <w:t>‘International legal position means that the rooms could be (but have not been) open to legal challenge.</w:t>
      </w:r>
    </w:p>
    <w:p w:rsidR="00405E04" w:rsidRPr="00405E04" w:rsidRDefault="00405E04" w:rsidP="001134E8">
      <w:pPr>
        <w:numPr>
          <w:ilvl w:val="0"/>
          <w:numId w:val="1"/>
        </w:numPr>
        <w:spacing w:after="0" w:line="360" w:lineRule="auto"/>
        <w:contextualSpacing/>
      </w:pPr>
      <w:r w:rsidRPr="00405E04">
        <w:t>The Government could be accused by the media and others of opening "drug dens".</w:t>
      </w:r>
    </w:p>
    <w:p w:rsidR="00405E04" w:rsidRPr="00405E04" w:rsidRDefault="00405E04" w:rsidP="001134E8">
      <w:pPr>
        <w:numPr>
          <w:ilvl w:val="0"/>
          <w:numId w:val="1"/>
        </w:numPr>
        <w:spacing w:after="0" w:line="360" w:lineRule="auto"/>
        <w:contextualSpacing/>
      </w:pPr>
      <w:r w:rsidRPr="00405E04">
        <w:t>No guarantee that public or political tolerance will be the same as Switzerland.</w:t>
      </w:r>
    </w:p>
    <w:p w:rsidR="00405E04" w:rsidRPr="00405E04" w:rsidRDefault="00405E04" w:rsidP="001134E8">
      <w:pPr>
        <w:numPr>
          <w:ilvl w:val="0"/>
          <w:numId w:val="1"/>
        </w:numPr>
        <w:spacing w:after="0" w:line="360" w:lineRule="auto"/>
        <w:contextualSpacing/>
      </w:pPr>
      <w:r w:rsidRPr="00405E04">
        <w:t>Will directly increase health service costs as they would be a new service provision requiring additional capital and revenue costs.</w:t>
      </w:r>
    </w:p>
    <w:p w:rsidR="00405E04" w:rsidRPr="00405E04" w:rsidRDefault="00405E04" w:rsidP="001134E8">
      <w:pPr>
        <w:numPr>
          <w:ilvl w:val="0"/>
          <w:numId w:val="1"/>
        </w:numPr>
        <w:spacing w:after="0" w:line="360" w:lineRule="auto"/>
        <w:contextualSpacing/>
      </w:pPr>
      <w:r w:rsidRPr="00405E04">
        <w:t>Still leave the possibility of unsafe injecting during the hours they are closed.</w:t>
      </w:r>
    </w:p>
    <w:p w:rsidR="00405E04" w:rsidRPr="00405E04" w:rsidRDefault="00405E04" w:rsidP="001134E8">
      <w:pPr>
        <w:numPr>
          <w:ilvl w:val="0"/>
          <w:numId w:val="1"/>
        </w:numPr>
        <w:spacing w:after="0" w:line="360" w:lineRule="auto"/>
        <w:contextualSpacing/>
      </w:pPr>
      <w:r w:rsidRPr="00405E04">
        <w:t>There may be problems in some areas on occasion with drug dealers congregating near to venues, leading to reduced local tolerance for the presence of injecting rooms in their neighbourhood.</w:t>
      </w:r>
    </w:p>
    <w:p w:rsidR="00405E04" w:rsidRDefault="00405E04" w:rsidP="001134E8">
      <w:pPr>
        <w:numPr>
          <w:ilvl w:val="0"/>
          <w:numId w:val="1"/>
        </w:numPr>
        <w:spacing w:after="0" w:line="360" w:lineRule="auto"/>
        <w:contextualSpacing/>
      </w:pPr>
      <w:r w:rsidRPr="00405E04">
        <w:t>Likely to raise the issue of policing low level dealing in the vicinity of injecting rooms.’</w:t>
      </w:r>
    </w:p>
    <w:p w:rsidR="00B2025D" w:rsidRPr="00405E04" w:rsidRDefault="00B2025D" w:rsidP="001134E8">
      <w:pPr>
        <w:spacing w:after="0" w:line="360" w:lineRule="auto"/>
        <w:ind w:left="1080"/>
        <w:contextualSpacing/>
      </w:pPr>
    </w:p>
    <w:p w:rsidR="0039382A" w:rsidRDefault="00405E04" w:rsidP="001134E8">
      <w:pPr>
        <w:spacing w:line="360" w:lineRule="auto"/>
        <w:ind w:left="0"/>
        <w:contextualSpacing/>
      </w:pPr>
      <w:r w:rsidRPr="00405E04">
        <w:t xml:space="preserve">The statement went on to explain that ‘the current Government position is that injecting rooms for illicit drugs should not be introduced in this country whilst we have no evaluations of those developed in other European countries.’ </w:t>
      </w:r>
      <w:r w:rsidR="00B2025D">
        <w:t>On th</w:t>
      </w:r>
      <w:r w:rsidR="00903FAD">
        <w:t xml:space="preserve">ese grounds, </w:t>
      </w:r>
      <w:r w:rsidRPr="00405E04">
        <w:t>the Government</w:t>
      </w:r>
      <w:r w:rsidR="00B2025D">
        <w:t xml:space="preserve"> rejected </w:t>
      </w:r>
      <w:r w:rsidRPr="00405E04">
        <w:t xml:space="preserve">the </w:t>
      </w:r>
      <w:r w:rsidR="005C74CD">
        <w:t xml:space="preserve">HASC </w:t>
      </w:r>
      <w:r w:rsidRPr="00405E04">
        <w:t xml:space="preserve">recommendation. </w:t>
      </w:r>
      <w:r w:rsidR="005C74CD">
        <w:t>M</w:t>
      </w:r>
      <w:r w:rsidR="0039382A">
        <w:t xml:space="preserve">any </w:t>
      </w:r>
      <w:r w:rsidR="00B2025D">
        <w:t>of these objections would apply elsew</w:t>
      </w:r>
      <w:r w:rsidR="0039382A">
        <w:t xml:space="preserve">here in Europe, including Germany. However, </w:t>
      </w:r>
      <w:r w:rsidR="00B2025D">
        <w:t xml:space="preserve">the </w:t>
      </w:r>
      <w:r w:rsidR="0039382A">
        <w:t xml:space="preserve">point </w:t>
      </w:r>
      <w:r w:rsidR="00B2025D">
        <w:t xml:space="preserve">that there might be </w:t>
      </w:r>
      <w:r w:rsidR="005C74CD">
        <w:t>less</w:t>
      </w:r>
      <w:r w:rsidR="00B2025D">
        <w:t xml:space="preserve"> public or political tolerance </w:t>
      </w:r>
      <w:r w:rsidR="0039382A">
        <w:t>in the UK as that found in Switzerland</w:t>
      </w:r>
      <w:r w:rsidR="00352B19">
        <w:rPr>
          <w:rStyle w:val="FootnoteReference"/>
        </w:rPr>
        <w:footnoteReference w:id="4"/>
      </w:r>
      <w:r w:rsidR="00352B19">
        <w:t xml:space="preserve"> </w:t>
      </w:r>
      <w:r w:rsidR="0039382A">
        <w:t xml:space="preserve">suggests that the UK Government </w:t>
      </w:r>
      <w:r w:rsidR="005C74CD">
        <w:t xml:space="preserve">feared </w:t>
      </w:r>
      <w:r w:rsidR="00177A49">
        <w:t xml:space="preserve">that British communities </w:t>
      </w:r>
      <w:r w:rsidR="005C74CD">
        <w:t xml:space="preserve">might </w:t>
      </w:r>
      <w:r w:rsidR="00177A49">
        <w:t xml:space="preserve">be particularly intolerant. </w:t>
      </w:r>
      <w:r w:rsidR="0039382A">
        <w:t xml:space="preserve">Likewise the </w:t>
      </w:r>
      <w:r w:rsidR="005C74CD">
        <w:t>concern</w:t>
      </w:r>
      <w:r w:rsidR="0039382A">
        <w:t xml:space="preserve"> that the Government might be accused by</w:t>
      </w:r>
      <w:r w:rsidR="0039382A" w:rsidRPr="00405E04">
        <w:t xml:space="preserve"> the media </w:t>
      </w:r>
      <w:r w:rsidR="00177A49">
        <w:t>of opening "drug dens"</w:t>
      </w:r>
      <w:r w:rsidR="0039382A">
        <w:t xml:space="preserve"> </w:t>
      </w:r>
      <w:r w:rsidR="00177A49">
        <w:t xml:space="preserve">may indicate fears about </w:t>
      </w:r>
      <w:r w:rsidR="0039382A">
        <w:t>the particularly stigmatising approach taken by the British media on drug issues</w:t>
      </w:r>
      <w:r w:rsidR="00177A49">
        <w:t xml:space="preserve"> (Lloyd, 2010, p.54)</w:t>
      </w:r>
      <w:r w:rsidR="0039382A">
        <w:t>.</w:t>
      </w:r>
    </w:p>
    <w:p w:rsidR="0039382A" w:rsidRDefault="0039382A" w:rsidP="001134E8">
      <w:pPr>
        <w:spacing w:line="360" w:lineRule="auto"/>
        <w:ind w:left="0"/>
        <w:contextualSpacing/>
      </w:pPr>
    </w:p>
    <w:p w:rsidR="00352B19" w:rsidRDefault="00177A49" w:rsidP="001134E8">
      <w:pPr>
        <w:autoSpaceDE w:val="0"/>
        <w:autoSpaceDN w:val="0"/>
        <w:adjustRightInd w:val="0"/>
        <w:spacing w:after="0" w:line="360" w:lineRule="auto"/>
        <w:ind w:left="0"/>
        <w:contextualSpacing/>
        <w:rPr>
          <w:rFonts w:ascii="Helvetica" w:hAnsi="Helvetica" w:cs="Helvetica"/>
          <w:szCs w:val="24"/>
        </w:rPr>
      </w:pPr>
      <w:r>
        <w:rPr>
          <w:rFonts w:ascii="Helvetica" w:hAnsi="Helvetica" w:cs="Helvetica"/>
          <w:szCs w:val="24"/>
        </w:rPr>
        <w:t>However, the</w:t>
      </w:r>
      <w:r w:rsidR="00903FAD">
        <w:rPr>
          <w:rFonts w:ascii="Helvetica" w:hAnsi="Helvetica" w:cs="Helvetica"/>
          <w:szCs w:val="24"/>
        </w:rPr>
        <w:t>se initial</w:t>
      </w:r>
      <w:r w:rsidR="00A819C0">
        <w:rPr>
          <w:rFonts w:ascii="Helvetica" w:hAnsi="Helvetica" w:cs="Helvetica"/>
          <w:szCs w:val="24"/>
        </w:rPr>
        <w:t xml:space="preserve"> </w:t>
      </w:r>
      <w:r>
        <w:rPr>
          <w:rFonts w:ascii="Helvetica" w:hAnsi="Helvetica" w:cs="Helvetica"/>
          <w:szCs w:val="24"/>
        </w:rPr>
        <w:t xml:space="preserve">objections listed above were not the only </w:t>
      </w:r>
      <w:r w:rsidR="00C24B4E">
        <w:rPr>
          <w:rFonts w:ascii="Helvetica" w:hAnsi="Helvetica" w:cs="Helvetica"/>
          <w:szCs w:val="24"/>
        </w:rPr>
        <w:t xml:space="preserve">ones offered. </w:t>
      </w:r>
      <w:r>
        <w:rPr>
          <w:rFonts w:ascii="Helvetica" w:hAnsi="Helvetica" w:cs="Helvetica"/>
          <w:szCs w:val="24"/>
        </w:rPr>
        <w:t>I</w:t>
      </w:r>
      <w:r w:rsidR="0059769F">
        <w:rPr>
          <w:rFonts w:ascii="Helvetica" w:hAnsi="Helvetica" w:cs="Helvetica"/>
          <w:szCs w:val="24"/>
        </w:rPr>
        <w:t>n a</w:t>
      </w:r>
      <w:r w:rsidR="00C24B4E">
        <w:rPr>
          <w:rFonts w:ascii="Helvetica" w:hAnsi="Helvetica" w:cs="Helvetica"/>
          <w:szCs w:val="24"/>
        </w:rPr>
        <w:t xml:space="preserve"> later</w:t>
      </w:r>
      <w:r w:rsidR="0059769F">
        <w:rPr>
          <w:rFonts w:ascii="Helvetica" w:hAnsi="Helvetica" w:cs="Helvetica"/>
          <w:szCs w:val="24"/>
        </w:rPr>
        <w:t xml:space="preserve"> interview with </w:t>
      </w:r>
      <w:proofErr w:type="spellStart"/>
      <w:r w:rsidR="0059769F">
        <w:rPr>
          <w:rFonts w:ascii="Helvetica" w:hAnsi="Helvetica" w:cs="Helvetica"/>
          <w:i/>
          <w:szCs w:val="24"/>
        </w:rPr>
        <w:t>Druglink</w:t>
      </w:r>
      <w:proofErr w:type="spellEnd"/>
      <w:r w:rsidR="0059769F">
        <w:rPr>
          <w:rFonts w:ascii="Helvetica" w:hAnsi="Helvetica" w:cs="Helvetica"/>
          <w:szCs w:val="24"/>
        </w:rPr>
        <w:t xml:space="preserve"> magazine</w:t>
      </w:r>
      <w:r>
        <w:rPr>
          <w:rFonts w:ascii="Helvetica" w:hAnsi="Helvetica" w:cs="Helvetica"/>
          <w:szCs w:val="24"/>
        </w:rPr>
        <w:t>, the then-Home Secretary, David Blunkett stated</w:t>
      </w:r>
      <w:r w:rsidR="00352B19">
        <w:rPr>
          <w:rFonts w:ascii="Helvetica" w:hAnsi="Helvetica" w:cs="Helvetica"/>
          <w:szCs w:val="24"/>
        </w:rPr>
        <w:t>:</w:t>
      </w:r>
    </w:p>
    <w:p w:rsidR="00352B19" w:rsidRDefault="00352B19" w:rsidP="001134E8">
      <w:pPr>
        <w:autoSpaceDE w:val="0"/>
        <w:autoSpaceDN w:val="0"/>
        <w:adjustRightInd w:val="0"/>
        <w:spacing w:after="0" w:line="360" w:lineRule="auto"/>
        <w:ind w:left="0"/>
        <w:contextualSpacing/>
        <w:rPr>
          <w:rFonts w:ascii="Helvetica" w:hAnsi="Helvetica" w:cs="Helvetica"/>
          <w:szCs w:val="24"/>
        </w:rPr>
      </w:pPr>
    </w:p>
    <w:p w:rsidR="00352B19" w:rsidRDefault="00352B19" w:rsidP="001134E8">
      <w:pPr>
        <w:autoSpaceDE w:val="0"/>
        <w:autoSpaceDN w:val="0"/>
        <w:adjustRightInd w:val="0"/>
        <w:spacing w:after="0" w:line="360" w:lineRule="auto"/>
        <w:contextualSpacing/>
        <w:rPr>
          <w:rFonts w:ascii="Helvetica" w:hAnsi="Helvetica" w:cs="Helvetica"/>
          <w:szCs w:val="24"/>
        </w:rPr>
      </w:pPr>
      <w:r>
        <w:rPr>
          <w:rFonts w:ascii="Helvetica" w:hAnsi="Helvetica" w:cs="Helvetica"/>
          <w:szCs w:val="24"/>
        </w:rPr>
        <w:lastRenderedPageBreak/>
        <w:t>Where there are ‘shooting galleries’ I am ruling those out</w:t>
      </w:r>
    </w:p>
    <w:p w:rsidR="00352B19" w:rsidRDefault="00352B19" w:rsidP="001134E8">
      <w:pPr>
        <w:autoSpaceDE w:val="0"/>
        <w:autoSpaceDN w:val="0"/>
        <w:adjustRightInd w:val="0"/>
        <w:spacing w:after="0" w:line="360" w:lineRule="auto"/>
        <w:contextualSpacing/>
        <w:rPr>
          <w:rFonts w:ascii="Helvetica" w:hAnsi="Helvetica" w:cs="Helvetica"/>
          <w:szCs w:val="24"/>
        </w:rPr>
      </w:pPr>
      <w:proofErr w:type="gramStart"/>
      <w:r>
        <w:rPr>
          <w:rFonts w:ascii="Helvetica" w:hAnsi="Helvetica" w:cs="Helvetica"/>
          <w:szCs w:val="24"/>
        </w:rPr>
        <w:t>because</w:t>
      </w:r>
      <w:proofErr w:type="gramEnd"/>
      <w:r>
        <w:rPr>
          <w:rFonts w:ascii="Helvetica" w:hAnsi="Helvetica" w:cs="Helvetica"/>
          <w:szCs w:val="24"/>
        </w:rPr>
        <w:t xml:space="preserve"> at the moment we need much stronger evidence that</w:t>
      </w:r>
    </w:p>
    <w:p w:rsidR="00352B19" w:rsidRDefault="00352B19" w:rsidP="001134E8">
      <w:pPr>
        <w:autoSpaceDE w:val="0"/>
        <w:autoSpaceDN w:val="0"/>
        <w:adjustRightInd w:val="0"/>
        <w:spacing w:after="0" w:line="360" w:lineRule="auto"/>
        <w:contextualSpacing/>
        <w:rPr>
          <w:rFonts w:ascii="Helvetica" w:hAnsi="Helvetica" w:cs="Helvetica"/>
          <w:szCs w:val="24"/>
        </w:rPr>
      </w:pPr>
      <w:proofErr w:type="gramStart"/>
      <w:r>
        <w:rPr>
          <w:rFonts w:ascii="Helvetica" w:hAnsi="Helvetica" w:cs="Helvetica"/>
          <w:szCs w:val="24"/>
        </w:rPr>
        <w:t>firstly</w:t>
      </w:r>
      <w:proofErr w:type="gramEnd"/>
      <w:r>
        <w:rPr>
          <w:rFonts w:ascii="Helvetica" w:hAnsi="Helvetica" w:cs="Helvetica"/>
          <w:szCs w:val="24"/>
        </w:rPr>
        <w:t>, they would ease the problem and secondly that they</w:t>
      </w:r>
    </w:p>
    <w:p w:rsidR="00352B19" w:rsidRDefault="00352B19" w:rsidP="001134E8">
      <w:pPr>
        <w:autoSpaceDE w:val="0"/>
        <w:autoSpaceDN w:val="0"/>
        <w:adjustRightInd w:val="0"/>
        <w:spacing w:after="0" w:line="360" w:lineRule="auto"/>
        <w:contextualSpacing/>
        <w:rPr>
          <w:rFonts w:ascii="Helvetica" w:hAnsi="Helvetica" w:cs="Helvetica"/>
          <w:szCs w:val="24"/>
        </w:rPr>
      </w:pPr>
      <w:proofErr w:type="gramStart"/>
      <w:r>
        <w:rPr>
          <w:rFonts w:ascii="Helvetica" w:hAnsi="Helvetica" w:cs="Helvetica"/>
          <w:szCs w:val="24"/>
        </w:rPr>
        <w:t>wouldn’t</w:t>
      </w:r>
      <w:proofErr w:type="gramEnd"/>
      <w:r>
        <w:rPr>
          <w:rFonts w:ascii="Helvetica" w:hAnsi="Helvetica" w:cs="Helvetica"/>
          <w:szCs w:val="24"/>
        </w:rPr>
        <w:t xml:space="preserve"> cause such a backlash and undermine our</w:t>
      </w:r>
    </w:p>
    <w:p w:rsidR="00352B19" w:rsidRDefault="00352B19" w:rsidP="001134E8">
      <w:pPr>
        <w:autoSpaceDE w:val="0"/>
        <w:autoSpaceDN w:val="0"/>
        <w:adjustRightInd w:val="0"/>
        <w:spacing w:after="0" w:line="360" w:lineRule="auto"/>
        <w:contextualSpacing/>
        <w:rPr>
          <w:rFonts w:ascii="Helvetica" w:hAnsi="Helvetica" w:cs="Helvetica"/>
          <w:szCs w:val="24"/>
        </w:rPr>
      </w:pPr>
      <w:proofErr w:type="gramStart"/>
      <w:r>
        <w:rPr>
          <w:rFonts w:ascii="Helvetica" w:hAnsi="Helvetica" w:cs="Helvetica"/>
          <w:szCs w:val="24"/>
        </w:rPr>
        <w:t>progressive</w:t>
      </w:r>
      <w:proofErr w:type="gramEnd"/>
      <w:r>
        <w:rPr>
          <w:rFonts w:ascii="Helvetica" w:hAnsi="Helvetica" w:cs="Helvetica"/>
          <w:szCs w:val="24"/>
        </w:rPr>
        <w:t xml:space="preserve"> step-by-step policy in terms of prescribing. And</w:t>
      </w:r>
    </w:p>
    <w:p w:rsidR="00352B19" w:rsidRDefault="00352B19" w:rsidP="001134E8">
      <w:pPr>
        <w:autoSpaceDE w:val="0"/>
        <w:autoSpaceDN w:val="0"/>
        <w:adjustRightInd w:val="0"/>
        <w:spacing w:after="0" w:line="360" w:lineRule="auto"/>
        <w:contextualSpacing/>
        <w:rPr>
          <w:rFonts w:ascii="Helvetica" w:hAnsi="Helvetica" w:cs="Helvetica"/>
          <w:szCs w:val="24"/>
        </w:rPr>
      </w:pPr>
      <w:proofErr w:type="gramStart"/>
      <w:r>
        <w:rPr>
          <w:rFonts w:ascii="Helvetica" w:hAnsi="Helvetica" w:cs="Helvetica"/>
          <w:szCs w:val="24"/>
        </w:rPr>
        <w:t>thirdly</w:t>
      </w:r>
      <w:proofErr w:type="gramEnd"/>
      <w:r>
        <w:rPr>
          <w:rFonts w:ascii="Helvetica" w:hAnsi="Helvetica" w:cs="Helvetica"/>
          <w:szCs w:val="24"/>
        </w:rPr>
        <w:t>, that people wouldn’t try and develop these as a type of</w:t>
      </w:r>
    </w:p>
    <w:p w:rsidR="00352B19" w:rsidRDefault="00352B19" w:rsidP="001134E8">
      <w:pPr>
        <w:autoSpaceDE w:val="0"/>
        <w:autoSpaceDN w:val="0"/>
        <w:adjustRightInd w:val="0"/>
        <w:spacing w:after="0" w:line="360" w:lineRule="auto"/>
        <w:contextualSpacing/>
        <w:rPr>
          <w:rFonts w:ascii="Helvetica" w:hAnsi="Helvetica" w:cs="Helvetica"/>
          <w:szCs w:val="24"/>
        </w:rPr>
      </w:pPr>
      <w:proofErr w:type="gramStart"/>
      <w:r>
        <w:rPr>
          <w:rFonts w:ascii="Helvetica" w:hAnsi="Helvetica" w:cs="Helvetica"/>
          <w:szCs w:val="24"/>
        </w:rPr>
        <w:t>attraction</w:t>
      </w:r>
      <w:proofErr w:type="gramEnd"/>
      <w:r>
        <w:rPr>
          <w:rFonts w:ascii="Helvetica" w:hAnsi="Helvetica" w:cs="Helvetica"/>
          <w:szCs w:val="24"/>
        </w:rPr>
        <w:t xml:space="preserve"> (</w:t>
      </w:r>
      <w:proofErr w:type="spellStart"/>
      <w:r>
        <w:rPr>
          <w:rFonts w:ascii="Helvetica" w:hAnsi="Helvetica" w:cs="Helvetica"/>
          <w:szCs w:val="24"/>
        </w:rPr>
        <w:t>Druglink</w:t>
      </w:r>
      <w:proofErr w:type="spellEnd"/>
      <w:r>
        <w:rPr>
          <w:rFonts w:ascii="Helvetica" w:hAnsi="Helvetica" w:cs="Helvetica"/>
          <w:sz w:val="26"/>
          <w:szCs w:val="26"/>
        </w:rPr>
        <w:t xml:space="preserve">, </w:t>
      </w:r>
      <w:r>
        <w:rPr>
          <w:rFonts w:ascii="Helvetica" w:hAnsi="Helvetica" w:cs="Helvetica"/>
          <w:szCs w:val="24"/>
        </w:rPr>
        <w:t>2003, p. 10)</w:t>
      </w:r>
    </w:p>
    <w:p w:rsidR="00A5130A" w:rsidRDefault="00A5130A" w:rsidP="001134E8">
      <w:pPr>
        <w:autoSpaceDE w:val="0"/>
        <w:autoSpaceDN w:val="0"/>
        <w:adjustRightInd w:val="0"/>
        <w:spacing w:after="0" w:line="360" w:lineRule="auto"/>
        <w:ind w:left="0"/>
        <w:contextualSpacing/>
        <w:rPr>
          <w:rFonts w:ascii="Helvetica" w:hAnsi="Helvetica" w:cs="Helvetica"/>
          <w:szCs w:val="24"/>
        </w:rPr>
      </w:pPr>
    </w:p>
    <w:p w:rsidR="003673D3" w:rsidRDefault="00224D3C" w:rsidP="001134E8">
      <w:pPr>
        <w:autoSpaceDE w:val="0"/>
        <w:autoSpaceDN w:val="0"/>
        <w:adjustRightInd w:val="0"/>
        <w:spacing w:after="0" w:line="360" w:lineRule="auto"/>
        <w:ind w:left="0"/>
        <w:contextualSpacing/>
        <w:rPr>
          <w:rFonts w:ascii="Helvetica" w:hAnsi="Helvetica" w:cs="Helvetica"/>
          <w:szCs w:val="24"/>
        </w:rPr>
      </w:pPr>
      <w:r>
        <w:rPr>
          <w:rFonts w:ascii="Helvetica" w:hAnsi="Helvetica" w:cs="Helvetica"/>
          <w:szCs w:val="24"/>
        </w:rPr>
        <w:t>T</w:t>
      </w:r>
      <w:r w:rsidR="00524207">
        <w:rPr>
          <w:rFonts w:ascii="Helvetica" w:hAnsi="Helvetica" w:cs="Helvetica"/>
          <w:szCs w:val="24"/>
        </w:rPr>
        <w:t xml:space="preserve">he need to avoid undermining </w:t>
      </w:r>
      <w:r>
        <w:rPr>
          <w:rFonts w:ascii="Helvetica" w:hAnsi="Helvetica" w:cs="Helvetica"/>
          <w:szCs w:val="24"/>
        </w:rPr>
        <w:t xml:space="preserve">the </w:t>
      </w:r>
      <w:r w:rsidR="00524207">
        <w:rPr>
          <w:rFonts w:ascii="Helvetica" w:hAnsi="Helvetica" w:cs="Helvetica"/>
          <w:szCs w:val="24"/>
        </w:rPr>
        <w:t>policy on prescribing</w:t>
      </w:r>
      <w:r>
        <w:rPr>
          <w:rFonts w:ascii="Helvetica" w:hAnsi="Helvetica" w:cs="Helvetica"/>
          <w:szCs w:val="24"/>
        </w:rPr>
        <w:t xml:space="preserve"> </w:t>
      </w:r>
      <w:r w:rsidR="009475BC">
        <w:rPr>
          <w:rFonts w:ascii="Helvetica" w:hAnsi="Helvetica" w:cs="Helvetica"/>
          <w:szCs w:val="24"/>
        </w:rPr>
        <w:t xml:space="preserve">refers </w:t>
      </w:r>
      <w:r w:rsidR="00524207">
        <w:rPr>
          <w:rFonts w:ascii="Helvetica" w:hAnsi="Helvetica" w:cs="Helvetica"/>
          <w:szCs w:val="24"/>
        </w:rPr>
        <w:t xml:space="preserve">to the Home Office’s plans to trial heroin prescription, which were eventually realised in the </w:t>
      </w:r>
      <w:r w:rsidR="003673D3">
        <w:rPr>
          <w:rFonts w:ascii="Helvetica" w:hAnsi="Helvetica" w:cs="Helvetica"/>
          <w:szCs w:val="24"/>
        </w:rPr>
        <w:t>RIOTT trial (</w:t>
      </w:r>
      <w:proofErr w:type="spellStart"/>
      <w:r w:rsidR="003673D3">
        <w:rPr>
          <w:rFonts w:ascii="Helvetica" w:hAnsi="Helvetica" w:cs="Helvetica"/>
          <w:szCs w:val="24"/>
        </w:rPr>
        <w:t>Strang</w:t>
      </w:r>
      <w:proofErr w:type="spellEnd"/>
      <w:r w:rsidR="003673D3">
        <w:rPr>
          <w:rFonts w:ascii="Helvetica" w:hAnsi="Helvetica" w:cs="Helvetica"/>
          <w:szCs w:val="24"/>
        </w:rPr>
        <w:t xml:space="preserve"> </w:t>
      </w:r>
      <w:r w:rsidR="003673D3">
        <w:rPr>
          <w:rFonts w:ascii="Helvetica" w:hAnsi="Helvetica" w:cs="Helvetica"/>
          <w:i/>
          <w:szCs w:val="24"/>
        </w:rPr>
        <w:t>et al.</w:t>
      </w:r>
      <w:r w:rsidR="003673D3">
        <w:rPr>
          <w:rFonts w:ascii="Helvetica" w:hAnsi="Helvetica" w:cs="Helvetica"/>
          <w:szCs w:val="24"/>
        </w:rPr>
        <w:t xml:space="preserve">, 2010). The UK Government </w:t>
      </w:r>
      <w:r w:rsidR="00E9527C">
        <w:rPr>
          <w:rFonts w:ascii="Helvetica" w:hAnsi="Helvetica" w:cs="Helvetica"/>
          <w:szCs w:val="24"/>
        </w:rPr>
        <w:t xml:space="preserve">of the time </w:t>
      </w:r>
      <w:r w:rsidR="003673D3">
        <w:rPr>
          <w:rFonts w:ascii="Helvetica" w:hAnsi="Helvetica" w:cs="Helvetica"/>
          <w:szCs w:val="24"/>
        </w:rPr>
        <w:t>clearly did not want any confusion over ‘shooting galleries’ to underm</w:t>
      </w:r>
      <w:r w:rsidR="00E9120F">
        <w:rPr>
          <w:rFonts w:ascii="Helvetica" w:hAnsi="Helvetica" w:cs="Helvetica"/>
          <w:szCs w:val="24"/>
        </w:rPr>
        <w:t xml:space="preserve">ine these plans </w:t>
      </w:r>
      <w:r>
        <w:rPr>
          <w:rFonts w:ascii="Helvetica" w:hAnsi="Helvetica" w:cs="Helvetica"/>
          <w:szCs w:val="24"/>
        </w:rPr>
        <w:t>which</w:t>
      </w:r>
      <w:r w:rsidR="00E9120F">
        <w:rPr>
          <w:rFonts w:ascii="Helvetica" w:hAnsi="Helvetica" w:cs="Helvetica"/>
          <w:szCs w:val="24"/>
        </w:rPr>
        <w:t xml:space="preserve">, unlike DCRs, </w:t>
      </w:r>
      <w:r>
        <w:rPr>
          <w:rFonts w:ascii="Helvetica" w:hAnsi="Helvetica" w:cs="Helvetica"/>
          <w:szCs w:val="24"/>
        </w:rPr>
        <w:t>carried the potential to contribute to New Labour’s crime reduction agenda</w:t>
      </w:r>
      <w:r w:rsidR="00654B52">
        <w:rPr>
          <w:rFonts w:ascii="Helvetica" w:hAnsi="Helvetica" w:cs="Helvetica"/>
          <w:szCs w:val="24"/>
        </w:rPr>
        <w:t xml:space="preserve"> (Lloyd </w:t>
      </w:r>
      <w:r w:rsidR="00654B52">
        <w:rPr>
          <w:sz w:val="23"/>
          <w:szCs w:val="23"/>
        </w:rPr>
        <w:t xml:space="preserve">&amp; </w:t>
      </w:r>
      <w:proofErr w:type="spellStart"/>
      <w:r w:rsidR="00E9120F">
        <w:rPr>
          <w:rFonts w:ascii="Helvetica" w:hAnsi="Helvetica" w:cs="Helvetica"/>
          <w:szCs w:val="24"/>
        </w:rPr>
        <w:t>McKeganey</w:t>
      </w:r>
      <w:proofErr w:type="spellEnd"/>
      <w:r w:rsidR="00E9120F">
        <w:rPr>
          <w:rFonts w:ascii="Helvetica" w:hAnsi="Helvetica" w:cs="Helvetica"/>
          <w:szCs w:val="24"/>
        </w:rPr>
        <w:t>, 2010)</w:t>
      </w:r>
      <w:r w:rsidR="003673D3">
        <w:rPr>
          <w:rFonts w:ascii="Helvetica" w:hAnsi="Helvetica" w:cs="Helvetica"/>
          <w:szCs w:val="24"/>
        </w:rPr>
        <w:t xml:space="preserve">. </w:t>
      </w:r>
      <w:proofErr w:type="gramStart"/>
      <w:r w:rsidR="009475BC">
        <w:rPr>
          <w:rFonts w:ascii="Helvetica" w:hAnsi="Helvetica" w:cs="Helvetica"/>
          <w:szCs w:val="24"/>
        </w:rPr>
        <w:t xml:space="preserve">The term ‘shooting galleries’ has dogged </w:t>
      </w:r>
      <w:r w:rsidR="00583E4E">
        <w:rPr>
          <w:rFonts w:ascii="Helvetica" w:hAnsi="Helvetica" w:cs="Helvetica"/>
          <w:szCs w:val="24"/>
        </w:rPr>
        <w:t xml:space="preserve">public </w:t>
      </w:r>
      <w:r w:rsidR="009475BC">
        <w:rPr>
          <w:rFonts w:ascii="Helvetica" w:hAnsi="Helvetica" w:cs="Helvetica"/>
          <w:szCs w:val="24"/>
        </w:rPr>
        <w:t>discussion of DCRs in the UK</w:t>
      </w:r>
      <w:r w:rsidR="00583E4E">
        <w:rPr>
          <w:rFonts w:ascii="Helvetica" w:hAnsi="Helvetica" w:cs="Helvetica"/>
          <w:szCs w:val="24"/>
        </w:rPr>
        <w:t>.</w:t>
      </w:r>
      <w:proofErr w:type="gramEnd"/>
      <w:r w:rsidR="00583E4E">
        <w:rPr>
          <w:rFonts w:ascii="Helvetica" w:hAnsi="Helvetica" w:cs="Helvetica"/>
          <w:szCs w:val="24"/>
        </w:rPr>
        <w:t xml:space="preserve"> </w:t>
      </w:r>
      <w:r w:rsidR="00E9120F">
        <w:rPr>
          <w:rFonts w:ascii="Helvetica" w:hAnsi="Helvetica" w:cs="Helvetica"/>
          <w:szCs w:val="24"/>
        </w:rPr>
        <w:t xml:space="preserve">It is a phrase that immediately conjures up </w:t>
      </w:r>
      <w:r w:rsidR="008D4E6C">
        <w:rPr>
          <w:rFonts w:ascii="Helvetica" w:hAnsi="Helvetica" w:cs="Helvetica"/>
          <w:szCs w:val="24"/>
        </w:rPr>
        <w:t>negative associations and its use by a Government minister was presumably calculated to have just this effect. Finally, t</w:t>
      </w:r>
      <w:r w:rsidR="009475BC">
        <w:rPr>
          <w:rFonts w:ascii="Helvetica" w:hAnsi="Helvetica" w:cs="Helvetica"/>
          <w:szCs w:val="24"/>
        </w:rPr>
        <w:t xml:space="preserve">he idea that DCRs might be used as ‘a type of attraction’ is confusing. Clearly </w:t>
      </w:r>
      <w:r w:rsidR="00583E4E">
        <w:rPr>
          <w:rFonts w:ascii="Helvetica" w:hAnsi="Helvetica" w:cs="Helvetica"/>
          <w:szCs w:val="24"/>
        </w:rPr>
        <w:t xml:space="preserve">the </w:t>
      </w:r>
      <w:r w:rsidR="00583E4E">
        <w:rPr>
          <w:rFonts w:ascii="Helvetica" w:hAnsi="Helvetica" w:cs="Helvetica"/>
          <w:i/>
          <w:szCs w:val="24"/>
        </w:rPr>
        <w:t xml:space="preserve">raison </w:t>
      </w:r>
      <w:proofErr w:type="spellStart"/>
      <w:r w:rsidR="00583E4E">
        <w:rPr>
          <w:rFonts w:ascii="Helvetica" w:hAnsi="Helvetica" w:cs="Helvetica"/>
          <w:i/>
          <w:szCs w:val="24"/>
        </w:rPr>
        <w:t>d’ȇtre</w:t>
      </w:r>
      <w:proofErr w:type="spellEnd"/>
      <w:r w:rsidR="00583E4E">
        <w:rPr>
          <w:rFonts w:ascii="Helvetica" w:hAnsi="Helvetica" w:cs="Helvetica"/>
          <w:i/>
          <w:szCs w:val="24"/>
        </w:rPr>
        <w:t xml:space="preserve"> </w:t>
      </w:r>
      <w:r w:rsidR="00583E4E" w:rsidRPr="00816522">
        <w:rPr>
          <w:rFonts w:ascii="Helvetica" w:hAnsi="Helvetica" w:cs="Helvetica"/>
          <w:szCs w:val="24"/>
        </w:rPr>
        <w:t xml:space="preserve">of </w:t>
      </w:r>
      <w:r w:rsidR="009475BC">
        <w:rPr>
          <w:rFonts w:ascii="Helvetica" w:hAnsi="Helvetica" w:cs="Helvetica"/>
          <w:szCs w:val="24"/>
        </w:rPr>
        <w:t xml:space="preserve">DCRs </w:t>
      </w:r>
      <w:r w:rsidR="00583E4E">
        <w:rPr>
          <w:rFonts w:ascii="Helvetica" w:hAnsi="Helvetica" w:cs="Helvetica"/>
          <w:szCs w:val="24"/>
        </w:rPr>
        <w:t xml:space="preserve">is </w:t>
      </w:r>
      <w:r w:rsidR="009475BC">
        <w:rPr>
          <w:rFonts w:ascii="Helvetica" w:hAnsi="Helvetica" w:cs="Helvetica"/>
          <w:szCs w:val="24"/>
        </w:rPr>
        <w:t xml:space="preserve">to attract </w:t>
      </w:r>
      <w:r w:rsidR="00C24B4E">
        <w:rPr>
          <w:rFonts w:ascii="Helvetica" w:hAnsi="Helvetica" w:cs="Helvetica"/>
          <w:szCs w:val="24"/>
        </w:rPr>
        <w:t>PWID</w:t>
      </w:r>
      <w:r w:rsidR="00583E4E">
        <w:rPr>
          <w:rFonts w:ascii="Helvetica" w:hAnsi="Helvetica" w:cs="Helvetica"/>
          <w:szCs w:val="24"/>
        </w:rPr>
        <w:t>.</w:t>
      </w:r>
    </w:p>
    <w:p w:rsidR="00A819C0" w:rsidRDefault="00A819C0" w:rsidP="001134E8">
      <w:pPr>
        <w:autoSpaceDE w:val="0"/>
        <w:autoSpaceDN w:val="0"/>
        <w:adjustRightInd w:val="0"/>
        <w:spacing w:after="0" w:line="360" w:lineRule="auto"/>
        <w:ind w:left="0"/>
        <w:contextualSpacing/>
        <w:rPr>
          <w:rFonts w:ascii="Helvetica" w:hAnsi="Helvetica" w:cs="Helvetica"/>
          <w:szCs w:val="24"/>
        </w:rPr>
      </w:pPr>
    </w:p>
    <w:p w:rsidR="00524207" w:rsidRDefault="00C24B4E" w:rsidP="001134E8">
      <w:pPr>
        <w:autoSpaceDE w:val="0"/>
        <w:autoSpaceDN w:val="0"/>
        <w:adjustRightInd w:val="0"/>
        <w:spacing w:after="0" w:line="360" w:lineRule="auto"/>
        <w:ind w:left="0"/>
        <w:contextualSpacing/>
        <w:rPr>
          <w:rFonts w:ascii="Helvetica" w:hAnsi="Helvetica" w:cs="Helvetica"/>
          <w:szCs w:val="24"/>
        </w:rPr>
      </w:pPr>
      <w:r>
        <w:rPr>
          <w:rFonts w:ascii="Helvetica" w:hAnsi="Helvetica" w:cs="Helvetica"/>
          <w:szCs w:val="24"/>
        </w:rPr>
        <w:t>In t</w:t>
      </w:r>
      <w:r w:rsidR="008D4E6C">
        <w:rPr>
          <w:rFonts w:ascii="Helvetica" w:hAnsi="Helvetica" w:cs="Helvetica"/>
          <w:szCs w:val="24"/>
        </w:rPr>
        <w:t>he following year</w:t>
      </w:r>
      <w:r w:rsidR="00524207">
        <w:rPr>
          <w:rFonts w:ascii="Helvetica" w:hAnsi="Helvetica" w:cs="Helvetica"/>
          <w:szCs w:val="24"/>
        </w:rPr>
        <w:t xml:space="preserve">, the Home Office </w:t>
      </w:r>
      <w:r w:rsidR="008D4E6C">
        <w:rPr>
          <w:rFonts w:ascii="Helvetica" w:hAnsi="Helvetica" w:cs="Helvetica"/>
          <w:szCs w:val="24"/>
        </w:rPr>
        <w:t>revisit</w:t>
      </w:r>
      <w:r w:rsidR="00583E4E">
        <w:rPr>
          <w:rFonts w:ascii="Helvetica" w:hAnsi="Helvetica" w:cs="Helvetica"/>
          <w:szCs w:val="24"/>
        </w:rPr>
        <w:t>ed</w:t>
      </w:r>
      <w:r w:rsidR="008D4E6C">
        <w:rPr>
          <w:rFonts w:ascii="Helvetica" w:hAnsi="Helvetica" w:cs="Helvetica"/>
          <w:szCs w:val="24"/>
        </w:rPr>
        <w:t xml:space="preserve"> the legal issues. </w:t>
      </w:r>
      <w:r w:rsidR="00583E4E">
        <w:rPr>
          <w:rFonts w:ascii="Helvetica" w:hAnsi="Helvetica" w:cs="Helvetica"/>
          <w:szCs w:val="24"/>
        </w:rPr>
        <w:t>Its</w:t>
      </w:r>
      <w:r w:rsidR="008D4E6C">
        <w:rPr>
          <w:rFonts w:ascii="Helvetica" w:hAnsi="Helvetica" w:cs="Helvetica"/>
          <w:szCs w:val="24"/>
        </w:rPr>
        <w:t xml:space="preserve"> response to the HASC had allowed that while DCRs could be open to legal challenge, they had not been</w:t>
      </w:r>
      <w:r w:rsidR="00DB3A79">
        <w:rPr>
          <w:rFonts w:ascii="Helvetica" w:hAnsi="Helvetica" w:cs="Helvetica"/>
          <w:szCs w:val="24"/>
        </w:rPr>
        <w:t xml:space="preserve"> hitherto</w:t>
      </w:r>
      <w:r w:rsidR="008D4E6C">
        <w:rPr>
          <w:rFonts w:ascii="Helvetica" w:hAnsi="Helvetica" w:cs="Helvetica"/>
          <w:szCs w:val="24"/>
        </w:rPr>
        <w:t xml:space="preserve">. However, in commenting </w:t>
      </w:r>
      <w:r w:rsidR="00524207">
        <w:rPr>
          <w:rFonts w:ascii="Helvetica" w:hAnsi="Helvetica" w:cs="Helvetica"/>
          <w:szCs w:val="24"/>
        </w:rPr>
        <w:t>on plans for a proposed mobile DCR in Cardiff</w:t>
      </w:r>
      <w:r w:rsidR="008D4E6C">
        <w:rPr>
          <w:rFonts w:ascii="Helvetica" w:hAnsi="Helvetica" w:cs="Helvetica"/>
          <w:szCs w:val="24"/>
        </w:rPr>
        <w:t>, the Home Office stated that:</w:t>
      </w:r>
    </w:p>
    <w:p w:rsidR="00524207" w:rsidRDefault="00524207" w:rsidP="001134E8">
      <w:pPr>
        <w:autoSpaceDE w:val="0"/>
        <w:autoSpaceDN w:val="0"/>
        <w:adjustRightInd w:val="0"/>
        <w:spacing w:after="0" w:line="360" w:lineRule="auto"/>
        <w:ind w:left="0"/>
        <w:contextualSpacing/>
        <w:rPr>
          <w:rFonts w:ascii="Helvetica" w:hAnsi="Helvetica" w:cs="Helvetica"/>
          <w:szCs w:val="24"/>
        </w:rPr>
      </w:pPr>
    </w:p>
    <w:p w:rsidR="00524207" w:rsidRDefault="00524207" w:rsidP="001134E8">
      <w:pPr>
        <w:autoSpaceDE w:val="0"/>
        <w:autoSpaceDN w:val="0"/>
        <w:adjustRightInd w:val="0"/>
        <w:spacing w:after="0" w:line="360" w:lineRule="auto"/>
        <w:contextualSpacing/>
        <w:rPr>
          <w:rFonts w:ascii="Helvetica" w:hAnsi="Helvetica" w:cs="Helvetica"/>
          <w:szCs w:val="24"/>
        </w:rPr>
      </w:pPr>
      <w:r>
        <w:rPr>
          <w:rFonts w:ascii="Helvetica" w:hAnsi="Helvetica" w:cs="Helvetica"/>
          <w:szCs w:val="24"/>
        </w:rPr>
        <w:t>The UK will not contravene or undermine UN conventions or</w:t>
      </w:r>
    </w:p>
    <w:p w:rsidR="00524207" w:rsidRDefault="00524207" w:rsidP="001134E8">
      <w:pPr>
        <w:autoSpaceDE w:val="0"/>
        <w:autoSpaceDN w:val="0"/>
        <w:adjustRightInd w:val="0"/>
        <w:spacing w:after="0" w:line="360" w:lineRule="auto"/>
        <w:contextualSpacing/>
        <w:rPr>
          <w:rFonts w:ascii="Helvetica" w:hAnsi="Helvetica" w:cs="Helvetica"/>
          <w:szCs w:val="24"/>
        </w:rPr>
      </w:pPr>
      <w:proofErr w:type="gramStart"/>
      <w:r>
        <w:rPr>
          <w:rFonts w:ascii="Helvetica" w:hAnsi="Helvetica" w:cs="Helvetica"/>
          <w:szCs w:val="24"/>
        </w:rPr>
        <w:t>the</w:t>
      </w:r>
      <w:proofErr w:type="gramEnd"/>
      <w:r>
        <w:rPr>
          <w:rFonts w:ascii="Helvetica" w:hAnsi="Helvetica" w:cs="Helvetica"/>
          <w:szCs w:val="24"/>
        </w:rPr>
        <w:t xml:space="preserve"> Misuse of Drugs Act. We believe facilities for supervising</w:t>
      </w:r>
    </w:p>
    <w:p w:rsidR="00524207" w:rsidRDefault="00524207" w:rsidP="001134E8">
      <w:pPr>
        <w:autoSpaceDE w:val="0"/>
        <w:autoSpaceDN w:val="0"/>
        <w:adjustRightInd w:val="0"/>
        <w:spacing w:after="0" w:line="360" w:lineRule="auto"/>
        <w:contextualSpacing/>
        <w:rPr>
          <w:rFonts w:ascii="Helvetica" w:hAnsi="Helvetica" w:cs="Helvetica"/>
          <w:szCs w:val="24"/>
        </w:rPr>
      </w:pPr>
      <w:proofErr w:type="gramStart"/>
      <w:r>
        <w:rPr>
          <w:rFonts w:ascii="Helvetica" w:hAnsi="Helvetica" w:cs="Helvetica"/>
          <w:szCs w:val="24"/>
        </w:rPr>
        <w:t>the</w:t>
      </w:r>
      <w:proofErr w:type="gramEnd"/>
      <w:r>
        <w:rPr>
          <w:rFonts w:ascii="Helvetica" w:hAnsi="Helvetica" w:cs="Helvetica"/>
          <w:szCs w:val="24"/>
        </w:rPr>
        <w:t xml:space="preserve"> consumption of illegal drugs would fall foul of these.</w:t>
      </w:r>
    </w:p>
    <w:p w:rsidR="00524207" w:rsidRDefault="00524207" w:rsidP="001134E8">
      <w:pPr>
        <w:autoSpaceDE w:val="0"/>
        <w:autoSpaceDN w:val="0"/>
        <w:adjustRightInd w:val="0"/>
        <w:spacing w:after="0" w:line="360" w:lineRule="auto"/>
        <w:contextualSpacing/>
        <w:rPr>
          <w:rFonts w:ascii="Helvetica" w:hAnsi="Helvetica" w:cs="Helvetica"/>
          <w:szCs w:val="24"/>
        </w:rPr>
      </w:pPr>
      <w:r>
        <w:rPr>
          <w:rFonts w:ascii="Helvetica" w:hAnsi="Helvetica" w:cs="Helvetica"/>
          <w:szCs w:val="24"/>
        </w:rPr>
        <w:t>Therefore, no authority could be given to the piloting of</w:t>
      </w:r>
    </w:p>
    <w:p w:rsidR="00524207" w:rsidRDefault="00524207" w:rsidP="001134E8">
      <w:pPr>
        <w:autoSpaceDE w:val="0"/>
        <w:autoSpaceDN w:val="0"/>
        <w:adjustRightInd w:val="0"/>
        <w:spacing w:after="0" w:line="360" w:lineRule="auto"/>
        <w:contextualSpacing/>
        <w:rPr>
          <w:rFonts w:ascii="Helvetica" w:hAnsi="Helvetica" w:cs="Helvetica"/>
          <w:szCs w:val="24"/>
        </w:rPr>
      </w:pPr>
      <w:proofErr w:type="gramStart"/>
      <w:r>
        <w:rPr>
          <w:rFonts w:ascii="Helvetica" w:hAnsi="Helvetica" w:cs="Helvetica"/>
          <w:szCs w:val="24"/>
        </w:rPr>
        <w:t>initiatives</w:t>
      </w:r>
      <w:proofErr w:type="gramEnd"/>
      <w:r>
        <w:rPr>
          <w:rFonts w:ascii="Helvetica" w:hAnsi="Helvetica" w:cs="Helvetica"/>
          <w:szCs w:val="24"/>
        </w:rPr>
        <w:t xml:space="preserve"> to supervise the consumption of illegal drugs.</w:t>
      </w:r>
    </w:p>
    <w:p w:rsidR="00352B19" w:rsidRDefault="00524207" w:rsidP="001134E8">
      <w:pPr>
        <w:autoSpaceDE w:val="0"/>
        <w:autoSpaceDN w:val="0"/>
        <w:adjustRightInd w:val="0"/>
        <w:spacing w:after="0" w:line="360" w:lineRule="auto"/>
        <w:contextualSpacing/>
        <w:rPr>
          <w:rFonts w:ascii="Helvetica" w:hAnsi="Helvetica" w:cs="Helvetica"/>
          <w:szCs w:val="24"/>
        </w:rPr>
      </w:pPr>
      <w:r>
        <w:rPr>
          <w:rFonts w:ascii="Helvetica" w:hAnsi="Helvetica" w:cs="Helvetica"/>
          <w:szCs w:val="24"/>
        </w:rPr>
        <w:t>(</w:t>
      </w:r>
      <w:hyperlink r:id="rId10" w:history="1">
        <w:r w:rsidRPr="000C7205">
          <w:rPr>
            <w:rStyle w:val="Hyperlink"/>
            <w:rFonts w:ascii="Helvetica" w:hAnsi="Helvetica" w:cs="Helvetica"/>
            <w:szCs w:val="24"/>
          </w:rPr>
          <w:t>http://news.bbc.co.uk/1/hi/wales/4053921.stm</w:t>
        </w:r>
      </w:hyperlink>
      <w:r>
        <w:rPr>
          <w:rFonts w:ascii="Helvetica" w:hAnsi="Helvetica" w:cs="Helvetica"/>
          <w:szCs w:val="24"/>
        </w:rPr>
        <w:t>)</w:t>
      </w:r>
    </w:p>
    <w:p w:rsidR="00524207" w:rsidRDefault="00524207" w:rsidP="001134E8">
      <w:pPr>
        <w:autoSpaceDE w:val="0"/>
        <w:autoSpaceDN w:val="0"/>
        <w:adjustRightInd w:val="0"/>
        <w:spacing w:after="0" w:line="360" w:lineRule="auto"/>
        <w:ind w:left="0"/>
        <w:contextualSpacing/>
        <w:rPr>
          <w:rFonts w:ascii="Helvetica" w:hAnsi="Helvetica" w:cs="Helvetica"/>
          <w:szCs w:val="24"/>
        </w:rPr>
      </w:pPr>
    </w:p>
    <w:p w:rsidR="00524207" w:rsidRDefault="00524207" w:rsidP="001134E8">
      <w:pPr>
        <w:autoSpaceDE w:val="0"/>
        <w:autoSpaceDN w:val="0"/>
        <w:adjustRightInd w:val="0"/>
        <w:spacing w:after="0" w:line="360" w:lineRule="auto"/>
        <w:ind w:left="0"/>
        <w:contextualSpacing/>
        <w:rPr>
          <w:rFonts w:ascii="Helvetica" w:hAnsi="Helvetica" w:cs="Helvetica"/>
          <w:szCs w:val="24"/>
        </w:rPr>
      </w:pPr>
      <w:r>
        <w:rPr>
          <w:rFonts w:ascii="Helvetica" w:hAnsi="Helvetica" w:cs="Helvetica"/>
          <w:szCs w:val="24"/>
        </w:rPr>
        <w:t xml:space="preserve">These same words were used </w:t>
      </w:r>
      <w:r w:rsidR="00583E4E">
        <w:rPr>
          <w:rFonts w:ascii="Helvetica" w:hAnsi="Helvetica" w:cs="Helvetica"/>
          <w:szCs w:val="24"/>
        </w:rPr>
        <w:t xml:space="preserve">in </w:t>
      </w:r>
      <w:r>
        <w:rPr>
          <w:rFonts w:ascii="Helvetica" w:hAnsi="Helvetica" w:cs="Helvetica"/>
          <w:szCs w:val="24"/>
        </w:rPr>
        <w:t>the Government’s progress report on the HASC’s recommend</w:t>
      </w:r>
      <w:r w:rsidR="00796F3F">
        <w:rPr>
          <w:rFonts w:ascii="Helvetica" w:hAnsi="Helvetica" w:cs="Helvetica"/>
          <w:szCs w:val="24"/>
        </w:rPr>
        <w:t>ations (House of Commons, 2005). However</w:t>
      </w:r>
      <w:r w:rsidR="00DB3A79">
        <w:rPr>
          <w:rFonts w:ascii="Helvetica" w:hAnsi="Helvetica" w:cs="Helvetica"/>
          <w:szCs w:val="24"/>
        </w:rPr>
        <w:t xml:space="preserve">, with regard to </w:t>
      </w:r>
      <w:r w:rsidR="00796F3F">
        <w:rPr>
          <w:rFonts w:ascii="Helvetica" w:hAnsi="Helvetica" w:cs="Helvetica"/>
          <w:szCs w:val="24"/>
        </w:rPr>
        <w:t xml:space="preserve">the evidence </w:t>
      </w:r>
      <w:r w:rsidR="00796F3F">
        <w:rPr>
          <w:rFonts w:ascii="Helvetica" w:hAnsi="Helvetica" w:cs="Helvetica"/>
          <w:szCs w:val="24"/>
        </w:rPr>
        <w:lastRenderedPageBreak/>
        <w:t xml:space="preserve">base, </w:t>
      </w:r>
      <w:r w:rsidR="00DB3A79">
        <w:rPr>
          <w:rFonts w:ascii="Helvetica" w:hAnsi="Helvetica" w:cs="Helvetica"/>
          <w:szCs w:val="24"/>
        </w:rPr>
        <w:t>this progress report</w:t>
      </w:r>
      <w:r w:rsidR="00796F3F">
        <w:rPr>
          <w:rFonts w:ascii="Helvetica" w:hAnsi="Helvetica" w:cs="Helvetica"/>
          <w:szCs w:val="24"/>
        </w:rPr>
        <w:t xml:space="preserve"> admitted that ‘</w:t>
      </w:r>
      <w:r>
        <w:rPr>
          <w:rFonts w:ascii="Helvetica" w:hAnsi="Helvetica" w:cs="Helvetica"/>
          <w:szCs w:val="24"/>
        </w:rPr>
        <w:t>early evaluation does seem to indicate that such facilities</w:t>
      </w:r>
      <w:r w:rsidR="00796F3F">
        <w:rPr>
          <w:rFonts w:ascii="Helvetica" w:hAnsi="Helvetica" w:cs="Helvetica"/>
          <w:szCs w:val="24"/>
        </w:rPr>
        <w:t xml:space="preserve"> </w:t>
      </w:r>
      <w:r>
        <w:rPr>
          <w:rFonts w:ascii="Helvetica" w:hAnsi="Helvetica" w:cs="Helvetica"/>
          <w:szCs w:val="24"/>
        </w:rPr>
        <w:t>can prevent overdose fatalities and reduce harm to drug</w:t>
      </w:r>
      <w:r w:rsidR="00796F3F">
        <w:rPr>
          <w:rFonts w:ascii="Helvetica" w:hAnsi="Helvetica" w:cs="Helvetica"/>
          <w:szCs w:val="24"/>
        </w:rPr>
        <w:t xml:space="preserve"> </w:t>
      </w:r>
      <w:r>
        <w:rPr>
          <w:rFonts w:ascii="Helvetica" w:hAnsi="Helvetica" w:cs="Helvetica"/>
          <w:szCs w:val="24"/>
        </w:rPr>
        <w:t>misusers.</w:t>
      </w:r>
      <w:r w:rsidR="00796F3F">
        <w:rPr>
          <w:rFonts w:ascii="Helvetica" w:hAnsi="Helvetica" w:cs="Helvetica"/>
          <w:szCs w:val="24"/>
        </w:rPr>
        <w:t>’</w:t>
      </w:r>
      <w:r>
        <w:rPr>
          <w:rFonts w:ascii="Helvetica" w:hAnsi="Helvetica" w:cs="Helvetica"/>
          <w:szCs w:val="24"/>
        </w:rPr>
        <w:t xml:space="preserve"> </w:t>
      </w:r>
    </w:p>
    <w:p w:rsidR="00796F3F" w:rsidRDefault="00796F3F" w:rsidP="001134E8">
      <w:pPr>
        <w:autoSpaceDE w:val="0"/>
        <w:autoSpaceDN w:val="0"/>
        <w:adjustRightInd w:val="0"/>
        <w:spacing w:after="0" w:line="360" w:lineRule="auto"/>
        <w:ind w:left="0"/>
        <w:contextualSpacing/>
        <w:rPr>
          <w:rFonts w:ascii="Helvetica" w:hAnsi="Helvetica" w:cs="Helvetica"/>
          <w:szCs w:val="24"/>
        </w:rPr>
      </w:pPr>
    </w:p>
    <w:p w:rsidR="00417827" w:rsidRDefault="00E67EE0" w:rsidP="001134E8">
      <w:pPr>
        <w:autoSpaceDE w:val="0"/>
        <w:autoSpaceDN w:val="0"/>
        <w:adjustRightInd w:val="0"/>
        <w:spacing w:after="0" w:line="360" w:lineRule="auto"/>
        <w:ind w:left="0"/>
        <w:contextualSpacing/>
        <w:rPr>
          <w:rFonts w:ascii="Helvetica" w:hAnsi="Helvetica" w:cs="Helvetica"/>
          <w:szCs w:val="24"/>
        </w:rPr>
      </w:pPr>
      <w:r>
        <w:rPr>
          <w:rFonts w:ascii="Helvetica" w:hAnsi="Helvetica" w:cs="Helvetica"/>
          <w:szCs w:val="24"/>
        </w:rPr>
        <w:t xml:space="preserve">The grounds for rejecting DCRs therefore changed appreciably over the period 2002 to 2005. </w:t>
      </w:r>
      <w:r w:rsidR="00A771E7">
        <w:rPr>
          <w:rFonts w:ascii="Helvetica" w:hAnsi="Helvetica" w:cs="Helvetica"/>
          <w:szCs w:val="24"/>
        </w:rPr>
        <w:t xml:space="preserve">There were new concerns expressed about the legal situation and the need to distinguish DCRs from supervised heroin prescription. By contrast, concerns about the evidence base </w:t>
      </w:r>
      <w:r w:rsidR="00796F3F">
        <w:rPr>
          <w:rFonts w:ascii="Helvetica" w:hAnsi="Helvetica" w:cs="Helvetica"/>
          <w:szCs w:val="24"/>
        </w:rPr>
        <w:t xml:space="preserve">appeared to have subsided. </w:t>
      </w:r>
      <w:r>
        <w:rPr>
          <w:rFonts w:ascii="Helvetica" w:hAnsi="Helvetica" w:cs="Helvetica"/>
          <w:szCs w:val="24"/>
        </w:rPr>
        <w:t>By this point, the evidence base on DCRs had grown appreciably</w:t>
      </w:r>
      <w:r w:rsidR="00DB3A79">
        <w:rPr>
          <w:rFonts w:ascii="Helvetica" w:hAnsi="Helvetica" w:cs="Helvetica"/>
          <w:szCs w:val="24"/>
        </w:rPr>
        <w:t>: i</w:t>
      </w:r>
      <w:r>
        <w:rPr>
          <w:rFonts w:ascii="Helvetica" w:hAnsi="Helvetica" w:cs="Helvetica"/>
          <w:szCs w:val="24"/>
        </w:rPr>
        <w:t xml:space="preserve">n particular, an authoritative review of the evidence had been </w:t>
      </w:r>
      <w:r w:rsidR="00A819C0">
        <w:rPr>
          <w:rFonts w:ascii="Helvetica" w:hAnsi="Helvetica" w:cs="Helvetica"/>
          <w:szCs w:val="24"/>
        </w:rPr>
        <w:t xml:space="preserve">published by </w:t>
      </w:r>
      <w:r>
        <w:rPr>
          <w:rFonts w:ascii="Helvetica" w:hAnsi="Helvetica" w:cs="Helvetica"/>
          <w:szCs w:val="24"/>
        </w:rPr>
        <w:t xml:space="preserve">the </w:t>
      </w:r>
      <w:r w:rsidR="00583E4E">
        <w:rPr>
          <w:rFonts w:ascii="Helvetica" w:hAnsi="Helvetica" w:cs="Helvetica"/>
          <w:szCs w:val="24"/>
        </w:rPr>
        <w:t>EMCDDA</w:t>
      </w:r>
      <w:r>
        <w:rPr>
          <w:rFonts w:ascii="Helvetica" w:hAnsi="Helvetica" w:cs="Helvetica"/>
          <w:szCs w:val="24"/>
        </w:rPr>
        <w:t xml:space="preserve"> (</w:t>
      </w:r>
      <w:proofErr w:type="spellStart"/>
      <w:r>
        <w:rPr>
          <w:rFonts w:ascii="Helvetica" w:hAnsi="Helvetica" w:cs="Helvetica"/>
          <w:szCs w:val="24"/>
        </w:rPr>
        <w:t>Hedrich</w:t>
      </w:r>
      <w:proofErr w:type="spellEnd"/>
      <w:r>
        <w:rPr>
          <w:rFonts w:ascii="Helvetica" w:hAnsi="Helvetica" w:cs="Helvetica"/>
          <w:szCs w:val="24"/>
        </w:rPr>
        <w:t>, 2004). A number of important publications had also emerge</w:t>
      </w:r>
      <w:r w:rsidR="00583E4E">
        <w:rPr>
          <w:rFonts w:ascii="Helvetica" w:hAnsi="Helvetica" w:cs="Helvetica"/>
          <w:szCs w:val="24"/>
        </w:rPr>
        <w:t>d</w:t>
      </w:r>
      <w:r>
        <w:rPr>
          <w:rFonts w:ascii="Helvetica" w:hAnsi="Helvetica" w:cs="Helvetica"/>
          <w:szCs w:val="24"/>
        </w:rPr>
        <w:t xml:space="preserve"> from the well-conducted evaluations of the facilities in Sydney and Vancouver. </w:t>
      </w:r>
    </w:p>
    <w:p w:rsidR="00417827" w:rsidRDefault="00417827" w:rsidP="001134E8">
      <w:pPr>
        <w:autoSpaceDE w:val="0"/>
        <w:autoSpaceDN w:val="0"/>
        <w:adjustRightInd w:val="0"/>
        <w:spacing w:after="0" w:line="360" w:lineRule="auto"/>
        <w:ind w:left="0"/>
        <w:contextualSpacing/>
        <w:rPr>
          <w:rFonts w:ascii="Helvetica" w:hAnsi="Helvetica" w:cs="Helvetica"/>
          <w:szCs w:val="24"/>
        </w:rPr>
      </w:pPr>
    </w:p>
    <w:p w:rsidR="003673D3" w:rsidRDefault="003673D3" w:rsidP="001134E8">
      <w:pPr>
        <w:autoSpaceDE w:val="0"/>
        <w:autoSpaceDN w:val="0"/>
        <w:adjustRightInd w:val="0"/>
        <w:spacing w:after="0" w:line="360" w:lineRule="auto"/>
        <w:ind w:left="0"/>
        <w:contextualSpacing/>
        <w:rPr>
          <w:rFonts w:ascii="Helvetica" w:hAnsi="Helvetica" w:cs="Helvetica"/>
          <w:szCs w:val="24"/>
        </w:rPr>
      </w:pPr>
      <w:r>
        <w:rPr>
          <w:rFonts w:ascii="Helvetica" w:hAnsi="Helvetica" w:cs="Helvetica"/>
          <w:szCs w:val="24"/>
        </w:rPr>
        <w:t>Reflecting th</w:t>
      </w:r>
      <w:r w:rsidR="00417827">
        <w:rPr>
          <w:rFonts w:ascii="Helvetica" w:hAnsi="Helvetica" w:cs="Helvetica"/>
          <w:szCs w:val="24"/>
        </w:rPr>
        <w:t>is</w:t>
      </w:r>
      <w:r>
        <w:rPr>
          <w:rFonts w:ascii="Helvetica" w:hAnsi="Helvetica" w:cs="Helvetica"/>
          <w:szCs w:val="24"/>
        </w:rPr>
        <w:t xml:space="preserve"> growing evidence</w:t>
      </w:r>
      <w:r w:rsidR="00417827">
        <w:rPr>
          <w:rFonts w:ascii="Helvetica" w:hAnsi="Helvetica" w:cs="Helvetica"/>
          <w:szCs w:val="24"/>
        </w:rPr>
        <w:t>-</w:t>
      </w:r>
      <w:r w:rsidR="00A819C0">
        <w:rPr>
          <w:rFonts w:ascii="Helvetica" w:hAnsi="Helvetica" w:cs="Helvetica"/>
          <w:szCs w:val="24"/>
        </w:rPr>
        <w:t>base</w:t>
      </w:r>
      <w:r>
        <w:rPr>
          <w:rFonts w:ascii="Helvetica" w:hAnsi="Helvetica" w:cs="Helvetica"/>
          <w:szCs w:val="24"/>
        </w:rPr>
        <w:t>, t</w:t>
      </w:r>
      <w:r w:rsidR="00796F3F">
        <w:rPr>
          <w:rFonts w:ascii="Helvetica" w:hAnsi="Helvetica" w:cs="Helvetica"/>
          <w:szCs w:val="24"/>
        </w:rPr>
        <w:t>he Joseph Rowntree Foundation (</w:t>
      </w:r>
      <w:r>
        <w:rPr>
          <w:rFonts w:ascii="Helvetica" w:hAnsi="Helvetica" w:cs="Helvetica"/>
          <w:szCs w:val="24"/>
        </w:rPr>
        <w:t xml:space="preserve">a </w:t>
      </w:r>
      <w:r w:rsidR="00796F3F">
        <w:rPr>
          <w:rFonts w:ascii="Helvetica" w:hAnsi="Helvetica" w:cs="Helvetica"/>
          <w:szCs w:val="24"/>
        </w:rPr>
        <w:t>UK</w:t>
      </w:r>
      <w:r w:rsidR="00417827">
        <w:rPr>
          <w:rFonts w:ascii="Helvetica" w:hAnsi="Helvetica" w:cs="Helvetica"/>
          <w:szCs w:val="24"/>
        </w:rPr>
        <w:t xml:space="preserve"> charity</w:t>
      </w:r>
      <w:r w:rsidR="00796F3F">
        <w:rPr>
          <w:rFonts w:ascii="Helvetica" w:hAnsi="Helvetica" w:cs="Helvetica"/>
          <w:szCs w:val="24"/>
        </w:rPr>
        <w:t xml:space="preserve">) </w:t>
      </w:r>
      <w:r>
        <w:rPr>
          <w:rFonts w:ascii="Helvetica" w:hAnsi="Helvetica" w:cs="Helvetica"/>
          <w:szCs w:val="24"/>
        </w:rPr>
        <w:t xml:space="preserve">supported the setting up of an Independent Working Group on Drug Consumption Rooms (IWG, 2006). </w:t>
      </w:r>
      <w:r w:rsidR="00A771E7">
        <w:rPr>
          <w:rFonts w:ascii="Helvetica" w:hAnsi="Helvetica" w:cs="Helvetica"/>
          <w:szCs w:val="24"/>
        </w:rPr>
        <w:t xml:space="preserve">The IWG was set up to review </w:t>
      </w:r>
      <w:r w:rsidR="00417827">
        <w:rPr>
          <w:rFonts w:ascii="Helvetica" w:hAnsi="Helvetica" w:cs="Helvetica"/>
          <w:szCs w:val="24"/>
        </w:rPr>
        <w:t xml:space="preserve">the evidence on </w:t>
      </w:r>
      <w:r w:rsidR="00A771E7">
        <w:rPr>
          <w:rFonts w:ascii="Helvetica" w:hAnsi="Helvetica" w:cs="Helvetica"/>
          <w:szCs w:val="24"/>
        </w:rPr>
        <w:t>th</w:t>
      </w:r>
      <w:r w:rsidR="00417827">
        <w:rPr>
          <w:rFonts w:ascii="Helvetica" w:hAnsi="Helvetica" w:cs="Helvetica"/>
          <w:szCs w:val="24"/>
        </w:rPr>
        <w:t>e effectiveness of DCRs, relevant need in the UK</w:t>
      </w:r>
      <w:r w:rsidR="00A819C0">
        <w:rPr>
          <w:rFonts w:ascii="Helvetica" w:hAnsi="Helvetica" w:cs="Helvetica"/>
          <w:szCs w:val="24"/>
        </w:rPr>
        <w:t xml:space="preserve"> </w:t>
      </w:r>
      <w:r w:rsidR="00A771E7">
        <w:rPr>
          <w:rFonts w:ascii="Helvetica" w:hAnsi="Helvetica" w:cs="Helvetica"/>
          <w:szCs w:val="24"/>
        </w:rPr>
        <w:t>and obstacles</w:t>
      </w:r>
      <w:r w:rsidR="00417827">
        <w:rPr>
          <w:rFonts w:ascii="Helvetica" w:hAnsi="Helvetica" w:cs="Helvetica"/>
          <w:szCs w:val="24"/>
        </w:rPr>
        <w:t xml:space="preserve"> to </w:t>
      </w:r>
      <w:r w:rsidR="0003119D">
        <w:rPr>
          <w:rFonts w:ascii="Helvetica" w:hAnsi="Helvetica" w:cs="Helvetica"/>
          <w:szCs w:val="24"/>
        </w:rPr>
        <w:t xml:space="preserve">DCR implementation. </w:t>
      </w:r>
      <w:r w:rsidR="00A771E7">
        <w:rPr>
          <w:rFonts w:ascii="Helvetica" w:hAnsi="Helvetica" w:cs="Helvetica"/>
          <w:szCs w:val="24"/>
        </w:rPr>
        <w:t xml:space="preserve">The IWG </w:t>
      </w:r>
      <w:r w:rsidR="00417827">
        <w:rPr>
          <w:rFonts w:ascii="Helvetica" w:hAnsi="Helvetica" w:cs="Helvetica"/>
          <w:szCs w:val="24"/>
        </w:rPr>
        <w:t xml:space="preserve">membership </w:t>
      </w:r>
      <w:r w:rsidR="0096612D">
        <w:rPr>
          <w:rFonts w:ascii="Helvetica" w:hAnsi="Helvetica" w:cs="Helvetica"/>
          <w:szCs w:val="24"/>
        </w:rPr>
        <w:t>included senior police officers, professors</w:t>
      </w:r>
      <w:r w:rsidR="0003119D">
        <w:rPr>
          <w:rFonts w:ascii="Helvetica" w:hAnsi="Helvetica" w:cs="Helvetica"/>
          <w:szCs w:val="24"/>
        </w:rPr>
        <w:t xml:space="preserve"> and</w:t>
      </w:r>
      <w:r w:rsidR="0096612D">
        <w:rPr>
          <w:rFonts w:ascii="Helvetica" w:hAnsi="Helvetica" w:cs="Helvetica"/>
          <w:szCs w:val="24"/>
        </w:rPr>
        <w:t xml:space="preserve"> a barrister</w:t>
      </w:r>
      <w:r w:rsidR="00A819C0">
        <w:rPr>
          <w:rFonts w:ascii="Helvetica" w:hAnsi="Helvetica" w:cs="Helvetica"/>
          <w:szCs w:val="24"/>
        </w:rPr>
        <w:t xml:space="preserve">, </w:t>
      </w:r>
      <w:r w:rsidR="00417827">
        <w:rPr>
          <w:rFonts w:ascii="Helvetica" w:hAnsi="Helvetica" w:cs="Helvetica"/>
          <w:szCs w:val="24"/>
        </w:rPr>
        <w:t xml:space="preserve">and </w:t>
      </w:r>
      <w:r w:rsidR="0096612D">
        <w:rPr>
          <w:rFonts w:ascii="Helvetica" w:hAnsi="Helvetica" w:cs="Helvetica"/>
          <w:szCs w:val="24"/>
        </w:rPr>
        <w:t xml:space="preserve">was chaired by Dame Ruth </w:t>
      </w:r>
      <w:proofErr w:type="spellStart"/>
      <w:r w:rsidR="0096612D">
        <w:rPr>
          <w:rFonts w:ascii="Helvetica" w:hAnsi="Helvetica" w:cs="Helvetica"/>
          <w:szCs w:val="24"/>
        </w:rPr>
        <w:t>Runciman</w:t>
      </w:r>
      <w:proofErr w:type="spellEnd"/>
      <w:r w:rsidR="0096612D">
        <w:rPr>
          <w:rFonts w:ascii="Helvetica" w:hAnsi="Helvetica" w:cs="Helvetica"/>
          <w:szCs w:val="24"/>
        </w:rPr>
        <w:t>, a widely-respected figure in the drug field</w:t>
      </w:r>
      <w:r w:rsidR="00417827">
        <w:rPr>
          <w:rFonts w:ascii="Helvetica" w:hAnsi="Helvetica" w:cs="Helvetica"/>
          <w:szCs w:val="24"/>
        </w:rPr>
        <w:t>.</w:t>
      </w:r>
      <w:r w:rsidR="0096612D">
        <w:rPr>
          <w:rFonts w:ascii="Helvetica" w:hAnsi="Helvetica" w:cs="Helvetica"/>
          <w:szCs w:val="24"/>
        </w:rPr>
        <w:t xml:space="preserve"> The IWG’s report</w:t>
      </w:r>
      <w:r w:rsidR="00417827">
        <w:rPr>
          <w:rFonts w:ascii="Helvetica" w:hAnsi="Helvetica" w:cs="Helvetica"/>
          <w:szCs w:val="24"/>
        </w:rPr>
        <w:t xml:space="preserve"> (IWG, 2006)</w:t>
      </w:r>
      <w:r w:rsidR="00922DD3">
        <w:rPr>
          <w:rFonts w:ascii="Helvetica" w:hAnsi="Helvetica" w:cs="Helvetica"/>
          <w:szCs w:val="24"/>
        </w:rPr>
        <w:t xml:space="preserve"> </w:t>
      </w:r>
      <w:r w:rsidR="00417827">
        <w:rPr>
          <w:rFonts w:ascii="Helvetica" w:hAnsi="Helvetica" w:cs="Helvetica"/>
          <w:szCs w:val="24"/>
        </w:rPr>
        <w:t>recommended</w:t>
      </w:r>
      <w:r w:rsidR="00922DD3">
        <w:rPr>
          <w:rFonts w:ascii="Helvetica" w:hAnsi="Helvetica" w:cs="Helvetica"/>
          <w:szCs w:val="24"/>
        </w:rPr>
        <w:t xml:space="preserve"> that DCR pilots should be set up and evaluated in the UK. The national debate that followed the report represented the highest profile that the idea has attained</w:t>
      </w:r>
      <w:r w:rsidR="009475BC">
        <w:rPr>
          <w:rFonts w:ascii="Helvetica" w:hAnsi="Helvetica" w:cs="Helvetica"/>
          <w:szCs w:val="24"/>
        </w:rPr>
        <w:t xml:space="preserve"> in the UK</w:t>
      </w:r>
      <w:r w:rsidR="00922DD3">
        <w:rPr>
          <w:rFonts w:ascii="Helvetica" w:hAnsi="Helvetica" w:cs="Helvetica"/>
          <w:szCs w:val="24"/>
        </w:rPr>
        <w:t xml:space="preserve">. Articles were included in </w:t>
      </w:r>
      <w:proofErr w:type="gramStart"/>
      <w:r w:rsidR="00922DD3">
        <w:rPr>
          <w:rFonts w:ascii="Helvetica" w:hAnsi="Helvetica" w:cs="Helvetica"/>
          <w:szCs w:val="24"/>
        </w:rPr>
        <w:t>all the</w:t>
      </w:r>
      <w:proofErr w:type="gramEnd"/>
      <w:r w:rsidR="00922DD3">
        <w:rPr>
          <w:rFonts w:ascii="Helvetica" w:hAnsi="Helvetica" w:cs="Helvetica"/>
          <w:szCs w:val="24"/>
        </w:rPr>
        <w:t xml:space="preserve"> n</w:t>
      </w:r>
      <w:r w:rsidR="009475BC">
        <w:rPr>
          <w:rFonts w:ascii="Helvetica" w:hAnsi="Helvetica" w:cs="Helvetica"/>
          <w:szCs w:val="24"/>
        </w:rPr>
        <w:t>ational</w:t>
      </w:r>
      <w:r w:rsidR="00A819C0">
        <w:rPr>
          <w:rFonts w:ascii="Helvetica" w:hAnsi="Helvetica" w:cs="Helvetica"/>
          <w:szCs w:val="24"/>
        </w:rPr>
        <w:t>,</w:t>
      </w:r>
      <w:r w:rsidR="009475BC">
        <w:rPr>
          <w:rFonts w:ascii="Helvetica" w:hAnsi="Helvetica" w:cs="Helvetica"/>
          <w:szCs w:val="24"/>
        </w:rPr>
        <w:t xml:space="preserve"> and many of the local</w:t>
      </w:r>
      <w:r w:rsidR="00A819C0">
        <w:rPr>
          <w:rFonts w:ascii="Helvetica" w:hAnsi="Helvetica" w:cs="Helvetica"/>
          <w:szCs w:val="24"/>
        </w:rPr>
        <w:t>,</w:t>
      </w:r>
      <w:r w:rsidR="00922DD3">
        <w:rPr>
          <w:rFonts w:ascii="Helvetica" w:hAnsi="Helvetica" w:cs="Helvetica"/>
          <w:szCs w:val="24"/>
        </w:rPr>
        <w:t xml:space="preserve"> newspapers and the story was covered on television and radio news bulletins.</w:t>
      </w:r>
    </w:p>
    <w:p w:rsidR="00922DD3" w:rsidRDefault="00922DD3" w:rsidP="001134E8">
      <w:pPr>
        <w:autoSpaceDE w:val="0"/>
        <w:autoSpaceDN w:val="0"/>
        <w:adjustRightInd w:val="0"/>
        <w:spacing w:after="0" w:line="360" w:lineRule="auto"/>
        <w:ind w:left="0"/>
        <w:contextualSpacing/>
        <w:rPr>
          <w:rFonts w:ascii="Helvetica" w:hAnsi="Helvetica" w:cs="Helvetica"/>
          <w:szCs w:val="24"/>
        </w:rPr>
      </w:pPr>
    </w:p>
    <w:p w:rsidR="00093352" w:rsidRDefault="006829FD" w:rsidP="001134E8">
      <w:pPr>
        <w:autoSpaceDE w:val="0"/>
        <w:autoSpaceDN w:val="0"/>
        <w:adjustRightInd w:val="0"/>
        <w:spacing w:after="0" w:line="360" w:lineRule="auto"/>
        <w:ind w:left="0"/>
        <w:contextualSpacing/>
        <w:rPr>
          <w:rFonts w:ascii="Helvetica" w:hAnsi="Helvetica" w:cs="Helvetica"/>
          <w:szCs w:val="24"/>
        </w:rPr>
      </w:pPr>
      <w:r>
        <w:rPr>
          <w:rFonts w:ascii="Helvetica" w:hAnsi="Helvetica" w:cs="Helvetica"/>
          <w:szCs w:val="24"/>
        </w:rPr>
        <w:t>T</w:t>
      </w:r>
      <w:r w:rsidR="00922DD3">
        <w:rPr>
          <w:rFonts w:ascii="Helvetica" w:hAnsi="Helvetica" w:cs="Helvetica"/>
          <w:szCs w:val="24"/>
        </w:rPr>
        <w:t xml:space="preserve">he Home Office </w:t>
      </w:r>
      <w:r w:rsidR="00093352">
        <w:rPr>
          <w:rFonts w:ascii="Helvetica" w:hAnsi="Helvetica" w:cs="Helvetica"/>
          <w:szCs w:val="24"/>
        </w:rPr>
        <w:t>rejected the idea</w:t>
      </w:r>
      <w:r w:rsidR="0003119D">
        <w:rPr>
          <w:rFonts w:ascii="Helvetica" w:hAnsi="Helvetica" w:cs="Helvetica"/>
          <w:szCs w:val="24"/>
        </w:rPr>
        <w:t xml:space="preserve"> </w:t>
      </w:r>
      <w:r w:rsidR="00A819C0">
        <w:rPr>
          <w:rFonts w:ascii="Helvetica" w:hAnsi="Helvetica" w:cs="Helvetica"/>
          <w:szCs w:val="24"/>
        </w:rPr>
        <w:t>immediately</w:t>
      </w:r>
      <w:r>
        <w:rPr>
          <w:rFonts w:ascii="Helvetica" w:hAnsi="Helvetica" w:cs="Helvetica"/>
          <w:szCs w:val="24"/>
        </w:rPr>
        <w:t xml:space="preserve"> but</w:t>
      </w:r>
      <w:r w:rsidR="00A819C0">
        <w:rPr>
          <w:rFonts w:ascii="Helvetica" w:hAnsi="Helvetica" w:cs="Helvetica"/>
          <w:szCs w:val="24"/>
        </w:rPr>
        <w:t xml:space="preserve"> </w:t>
      </w:r>
      <w:r w:rsidR="00922DD3">
        <w:rPr>
          <w:rFonts w:ascii="Helvetica" w:hAnsi="Helvetica" w:cs="Helvetica"/>
          <w:szCs w:val="24"/>
        </w:rPr>
        <w:t>the then-opposition leader, David Cameron</w:t>
      </w:r>
      <w:r>
        <w:rPr>
          <w:rFonts w:ascii="Helvetica" w:hAnsi="Helvetica" w:cs="Helvetica"/>
          <w:szCs w:val="24"/>
        </w:rPr>
        <w:t>,</w:t>
      </w:r>
      <w:r w:rsidR="00922DD3">
        <w:rPr>
          <w:rFonts w:ascii="Helvetica" w:hAnsi="Helvetica" w:cs="Helvetica"/>
          <w:szCs w:val="24"/>
        </w:rPr>
        <w:t xml:space="preserve"> was more supportive</w:t>
      </w:r>
      <w:r w:rsidR="00093352">
        <w:rPr>
          <w:rFonts w:ascii="Helvetica" w:hAnsi="Helvetica" w:cs="Helvetica"/>
          <w:szCs w:val="24"/>
        </w:rPr>
        <w:t xml:space="preserve">: </w:t>
      </w:r>
    </w:p>
    <w:p w:rsidR="00093352" w:rsidRDefault="00093352" w:rsidP="001134E8">
      <w:pPr>
        <w:autoSpaceDE w:val="0"/>
        <w:autoSpaceDN w:val="0"/>
        <w:adjustRightInd w:val="0"/>
        <w:spacing w:after="0" w:line="360" w:lineRule="auto"/>
        <w:ind w:left="0"/>
        <w:contextualSpacing/>
        <w:rPr>
          <w:rFonts w:ascii="Helvetica" w:hAnsi="Helvetica" w:cs="Helvetica"/>
          <w:szCs w:val="24"/>
        </w:rPr>
      </w:pPr>
    </w:p>
    <w:p w:rsidR="00093352" w:rsidRDefault="00093352" w:rsidP="001134E8">
      <w:pPr>
        <w:autoSpaceDE w:val="0"/>
        <w:autoSpaceDN w:val="0"/>
        <w:adjustRightInd w:val="0"/>
        <w:spacing w:after="0" w:line="360" w:lineRule="auto"/>
        <w:ind w:left="0"/>
        <w:contextualSpacing/>
        <w:rPr>
          <w:rFonts w:ascii="Helvetica" w:hAnsi="Helvetica" w:cs="Helvetica"/>
          <w:szCs w:val="24"/>
        </w:rPr>
      </w:pPr>
      <w:r w:rsidRPr="00093352">
        <w:rPr>
          <w:rFonts w:ascii="Helvetica" w:hAnsi="Helvetica" w:cs="Helvetica"/>
          <w:i/>
          <w:iCs/>
          <w:szCs w:val="24"/>
        </w:rPr>
        <w:t xml:space="preserve">I certainly wouldn’t rule them out because anything that helps us </w:t>
      </w:r>
      <w:proofErr w:type="gramStart"/>
      <w:r w:rsidRPr="00093352">
        <w:rPr>
          <w:rFonts w:ascii="Helvetica" w:hAnsi="Helvetica" w:cs="Helvetica"/>
          <w:i/>
          <w:iCs/>
          <w:szCs w:val="24"/>
        </w:rPr>
        <w:t>get</w:t>
      </w:r>
      <w:proofErr w:type="gramEnd"/>
      <w:r w:rsidRPr="00093352">
        <w:rPr>
          <w:rFonts w:ascii="Helvetica" w:hAnsi="Helvetica" w:cs="Helvetica"/>
          <w:i/>
          <w:iCs/>
          <w:szCs w:val="24"/>
        </w:rPr>
        <w:t xml:space="preserve"> users off the streets and in touch with agencies that provide treatment is worth looking at.’</w:t>
      </w:r>
    </w:p>
    <w:p w:rsidR="00093352" w:rsidRDefault="00093352" w:rsidP="001134E8">
      <w:pPr>
        <w:autoSpaceDE w:val="0"/>
        <w:autoSpaceDN w:val="0"/>
        <w:adjustRightInd w:val="0"/>
        <w:spacing w:after="0" w:line="360" w:lineRule="auto"/>
        <w:ind w:left="0"/>
        <w:contextualSpacing/>
        <w:rPr>
          <w:rFonts w:ascii="Helvetica" w:hAnsi="Helvetica" w:cs="Helvetica"/>
          <w:szCs w:val="24"/>
        </w:rPr>
      </w:pPr>
    </w:p>
    <w:p w:rsidR="00922DD3" w:rsidRDefault="00922DD3" w:rsidP="001134E8">
      <w:pPr>
        <w:autoSpaceDE w:val="0"/>
        <w:autoSpaceDN w:val="0"/>
        <w:adjustRightInd w:val="0"/>
        <w:spacing w:after="0" w:line="360" w:lineRule="auto"/>
        <w:ind w:left="0"/>
        <w:contextualSpacing/>
        <w:rPr>
          <w:rFonts w:ascii="Helvetica" w:hAnsi="Helvetica" w:cs="Helvetica"/>
          <w:szCs w:val="24"/>
        </w:rPr>
      </w:pPr>
      <w:r>
        <w:rPr>
          <w:rFonts w:ascii="Helvetica" w:hAnsi="Helvetica" w:cs="Helvetica"/>
          <w:szCs w:val="24"/>
        </w:rPr>
        <w:t xml:space="preserve">Reasons for the </w:t>
      </w:r>
      <w:r w:rsidR="00093352">
        <w:rPr>
          <w:rFonts w:ascii="Helvetica" w:hAnsi="Helvetica" w:cs="Helvetica"/>
          <w:szCs w:val="24"/>
        </w:rPr>
        <w:t xml:space="preserve">Government’s </w:t>
      </w:r>
      <w:r>
        <w:rPr>
          <w:rFonts w:ascii="Helvetica" w:hAnsi="Helvetica" w:cs="Helvetica"/>
          <w:szCs w:val="24"/>
        </w:rPr>
        <w:t>negative response are likely to include the problems faced by the Labour Government at the time of the report’s release</w:t>
      </w:r>
      <w:r w:rsidR="00654B52">
        <w:rPr>
          <w:rFonts w:ascii="Helvetica" w:hAnsi="Helvetica" w:cs="Helvetica"/>
          <w:szCs w:val="24"/>
        </w:rPr>
        <w:t xml:space="preserve">. As Hunt </w:t>
      </w:r>
      <w:r w:rsidR="00654B52">
        <w:rPr>
          <w:sz w:val="23"/>
          <w:szCs w:val="23"/>
        </w:rPr>
        <w:t xml:space="preserve">&amp; </w:t>
      </w:r>
      <w:r w:rsidR="007C4F7B">
        <w:rPr>
          <w:rFonts w:ascii="Helvetica" w:hAnsi="Helvetica" w:cs="Helvetica"/>
          <w:szCs w:val="24"/>
        </w:rPr>
        <w:t>Lloyd (2008)</w:t>
      </w:r>
      <w:r w:rsidR="00C81654">
        <w:rPr>
          <w:rFonts w:ascii="Helvetica" w:hAnsi="Helvetica" w:cs="Helvetica"/>
          <w:szCs w:val="24"/>
        </w:rPr>
        <w:t xml:space="preserve"> </w:t>
      </w:r>
      <w:r w:rsidR="007C4F7B">
        <w:rPr>
          <w:rFonts w:ascii="Helvetica" w:hAnsi="Helvetica" w:cs="Helvetica"/>
          <w:szCs w:val="24"/>
        </w:rPr>
        <w:t xml:space="preserve">have pointed out, the Government was ‘reeling from one high-profile crisis to the next…not an ideal time for endorsing new initiatives that are likely to produce </w:t>
      </w:r>
      <w:r w:rsidR="007C4F7B">
        <w:rPr>
          <w:rFonts w:ascii="Helvetica" w:hAnsi="Helvetica" w:cs="Helvetica"/>
          <w:szCs w:val="24"/>
        </w:rPr>
        <w:lastRenderedPageBreak/>
        <w:t>more controversy’ (p.99).</w:t>
      </w:r>
      <w:r>
        <w:rPr>
          <w:rFonts w:ascii="Helvetica" w:hAnsi="Helvetica" w:cs="Helvetica"/>
          <w:szCs w:val="24"/>
        </w:rPr>
        <w:t xml:space="preserve"> While </w:t>
      </w:r>
      <w:r w:rsidR="0003119D">
        <w:rPr>
          <w:rFonts w:ascii="Helvetica" w:hAnsi="Helvetica" w:cs="Helvetica"/>
          <w:szCs w:val="24"/>
        </w:rPr>
        <w:t xml:space="preserve">preparatory </w:t>
      </w:r>
      <w:r>
        <w:rPr>
          <w:rFonts w:ascii="Helvetica" w:hAnsi="Helvetica" w:cs="Helvetica"/>
          <w:szCs w:val="24"/>
        </w:rPr>
        <w:t xml:space="preserve">meetings in Westminster before the report’s release suggested that a </w:t>
      </w:r>
      <w:r w:rsidR="008761B2">
        <w:rPr>
          <w:rFonts w:ascii="Helvetica" w:hAnsi="Helvetica" w:cs="Helvetica"/>
          <w:szCs w:val="24"/>
        </w:rPr>
        <w:t xml:space="preserve">policy </w:t>
      </w:r>
      <w:r>
        <w:rPr>
          <w:rFonts w:ascii="Helvetica" w:hAnsi="Helvetica" w:cs="Helvetica"/>
          <w:szCs w:val="24"/>
        </w:rPr>
        <w:t xml:space="preserve">window </w:t>
      </w:r>
      <w:r w:rsidR="008761B2">
        <w:rPr>
          <w:rFonts w:ascii="Helvetica" w:hAnsi="Helvetica" w:cs="Helvetica"/>
          <w:szCs w:val="24"/>
        </w:rPr>
        <w:t>(</w:t>
      </w:r>
      <w:proofErr w:type="spellStart"/>
      <w:r w:rsidR="008761B2">
        <w:rPr>
          <w:rFonts w:ascii="Helvetica" w:hAnsi="Helvetica" w:cs="Helvetica"/>
          <w:szCs w:val="24"/>
        </w:rPr>
        <w:t>Kingdon</w:t>
      </w:r>
      <w:proofErr w:type="spellEnd"/>
      <w:r w:rsidR="008761B2">
        <w:rPr>
          <w:rFonts w:ascii="Helvetica" w:hAnsi="Helvetica" w:cs="Helvetica"/>
          <w:szCs w:val="24"/>
        </w:rPr>
        <w:t xml:space="preserve">, </w:t>
      </w:r>
      <w:r w:rsidR="00CC1526">
        <w:rPr>
          <w:rFonts w:ascii="Helvetica" w:hAnsi="Helvetica" w:cs="Helvetica"/>
          <w:szCs w:val="24"/>
        </w:rPr>
        <w:t xml:space="preserve">1995) </w:t>
      </w:r>
      <w:r>
        <w:rPr>
          <w:rFonts w:ascii="Helvetica" w:hAnsi="Helvetica" w:cs="Helvetica"/>
          <w:szCs w:val="24"/>
        </w:rPr>
        <w:t xml:space="preserve">may </w:t>
      </w:r>
      <w:r w:rsidR="007C4F7B">
        <w:rPr>
          <w:rFonts w:ascii="Helvetica" w:hAnsi="Helvetica" w:cs="Helvetica"/>
          <w:szCs w:val="24"/>
        </w:rPr>
        <w:t xml:space="preserve">have been </w:t>
      </w:r>
      <w:r>
        <w:rPr>
          <w:rFonts w:ascii="Helvetica" w:hAnsi="Helvetica" w:cs="Helvetica"/>
          <w:szCs w:val="24"/>
        </w:rPr>
        <w:t>opening, by the time of the report’s release this window had slammed shut.</w:t>
      </w:r>
    </w:p>
    <w:p w:rsidR="00DF2333" w:rsidRDefault="00DF2333" w:rsidP="001134E8">
      <w:pPr>
        <w:autoSpaceDE w:val="0"/>
        <w:autoSpaceDN w:val="0"/>
        <w:adjustRightInd w:val="0"/>
        <w:spacing w:after="0" w:line="360" w:lineRule="auto"/>
        <w:ind w:left="0"/>
        <w:contextualSpacing/>
        <w:rPr>
          <w:rFonts w:ascii="Helvetica" w:hAnsi="Helvetica" w:cs="Helvetica"/>
          <w:szCs w:val="24"/>
        </w:rPr>
      </w:pPr>
    </w:p>
    <w:p w:rsidR="006C4D9F" w:rsidRDefault="00DF2333" w:rsidP="001134E8">
      <w:pPr>
        <w:autoSpaceDE w:val="0"/>
        <w:autoSpaceDN w:val="0"/>
        <w:adjustRightInd w:val="0"/>
        <w:spacing w:after="0" w:line="360" w:lineRule="auto"/>
        <w:ind w:left="0"/>
        <w:contextualSpacing/>
      </w:pPr>
      <w:r>
        <w:rPr>
          <w:rFonts w:ascii="Helvetica" w:hAnsi="Helvetica" w:cs="Helvetica"/>
          <w:szCs w:val="24"/>
        </w:rPr>
        <w:t xml:space="preserve">Since the IWG report, </w:t>
      </w:r>
      <w:r w:rsidR="006829FD">
        <w:rPr>
          <w:rFonts w:ascii="Helvetica" w:hAnsi="Helvetica" w:cs="Helvetica"/>
          <w:szCs w:val="24"/>
        </w:rPr>
        <w:t xml:space="preserve">a number of </w:t>
      </w:r>
      <w:r w:rsidR="0048232D">
        <w:rPr>
          <w:rFonts w:ascii="Helvetica" w:hAnsi="Helvetica" w:cs="Helvetica"/>
          <w:szCs w:val="24"/>
        </w:rPr>
        <w:t xml:space="preserve">individual cities </w:t>
      </w:r>
      <w:r w:rsidR="006829FD">
        <w:rPr>
          <w:rFonts w:ascii="Helvetica" w:hAnsi="Helvetica" w:cs="Helvetica"/>
          <w:szCs w:val="24"/>
        </w:rPr>
        <w:t xml:space="preserve">have </w:t>
      </w:r>
      <w:r w:rsidR="0003119D">
        <w:rPr>
          <w:rFonts w:ascii="Helvetica" w:hAnsi="Helvetica" w:cs="Helvetica"/>
          <w:szCs w:val="24"/>
        </w:rPr>
        <w:t xml:space="preserve">identified a </w:t>
      </w:r>
      <w:r w:rsidR="0048232D">
        <w:rPr>
          <w:rFonts w:ascii="Helvetica" w:hAnsi="Helvetica" w:cs="Helvetica"/>
          <w:szCs w:val="24"/>
        </w:rPr>
        <w:t xml:space="preserve">need for a </w:t>
      </w:r>
      <w:r w:rsidR="0048232D">
        <w:t xml:space="preserve">DCR and, in some cases plans </w:t>
      </w:r>
      <w:r w:rsidR="006829FD">
        <w:t xml:space="preserve">have progressed to </w:t>
      </w:r>
      <w:r w:rsidR="00C81654">
        <w:t xml:space="preserve">the identification of </w:t>
      </w:r>
      <w:r w:rsidR="0048232D">
        <w:t xml:space="preserve">a potential site and source of funding. However, such plans have </w:t>
      </w:r>
      <w:r w:rsidR="006829FD">
        <w:t xml:space="preserve">hitherto </w:t>
      </w:r>
      <w:r w:rsidR="0048232D">
        <w:t xml:space="preserve">floundered, </w:t>
      </w:r>
      <w:r w:rsidR="006829FD">
        <w:t>usually</w:t>
      </w:r>
      <w:r w:rsidR="0048232D">
        <w:t xml:space="preserve"> due to local police pressure (in some cases reflecting Home Office pressure on them). At the time of writing, a recommendation for the setting up of a DCR in Brighton, following an independent review of </w:t>
      </w:r>
      <w:r w:rsidR="007C4F7B">
        <w:t>drug strategy for the area (Independent Drugs Commission for Brighton and Hove, 2013)</w:t>
      </w:r>
      <w:r w:rsidR="00CE43B9">
        <w:t xml:space="preserve"> has been recently rejected</w:t>
      </w:r>
      <w:r w:rsidR="0048232D">
        <w:t xml:space="preserve">. </w:t>
      </w:r>
    </w:p>
    <w:p w:rsidR="006D3C64" w:rsidRDefault="006D3C64" w:rsidP="001134E8">
      <w:pPr>
        <w:autoSpaceDE w:val="0"/>
        <w:autoSpaceDN w:val="0"/>
        <w:adjustRightInd w:val="0"/>
        <w:spacing w:after="0" w:line="360" w:lineRule="auto"/>
        <w:ind w:left="0"/>
        <w:contextualSpacing/>
      </w:pPr>
    </w:p>
    <w:p w:rsidR="0048232D" w:rsidRPr="00036EB9" w:rsidRDefault="00CB13C6" w:rsidP="001134E8">
      <w:pPr>
        <w:autoSpaceDE w:val="0"/>
        <w:autoSpaceDN w:val="0"/>
        <w:adjustRightInd w:val="0"/>
        <w:spacing w:after="0" w:line="360" w:lineRule="auto"/>
        <w:ind w:left="0"/>
        <w:contextualSpacing/>
        <w:rPr>
          <w:b/>
        </w:rPr>
      </w:pPr>
      <w:r w:rsidRPr="00CB13C6">
        <w:rPr>
          <w:b/>
        </w:rPr>
        <w:t>Conclusions: e</w:t>
      </w:r>
      <w:r w:rsidR="006D3C64" w:rsidRPr="00CB13C6">
        <w:rPr>
          <w:b/>
        </w:rPr>
        <w:t>xplanations for diverging pathways</w:t>
      </w:r>
    </w:p>
    <w:p w:rsidR="00CE43B9" w:rsidRDefault="006829FD" w:rsidP="001134E8">
      <w:pPr>
        <w:autoSpaceDE w:val="0"/>
        <w:autoSpaceDN w:val="0"/>
        <w:adjustRightInd w:val="0"/>
        <w:spacing w:after="0" w:line="360" w:lineRule="auto"/>
        <w:ind w:left="0"/>
        <w:contextualSpacing/>
      </w:pPr>
      <w:r>
        <w:t>G</w:t>
      </w:r>
      <w:r w:rsidR="00036EB9">
        <w:t xml:space="preserve">iven broadly similar problems at national level in Germany and the UK, why have there been such diverging pathways in terms of the utilisation of DCRs as a response to such problems? </w:t>
      </w:r>
      <w:r w:rsidR="006D3C64">
        <w:t xml:space="preserve">With regard to the </w:t>
      </w:r>
      <w:r w:rsidR="0048232D">
        <w:t xml:space="preserve">British experience, </w:t>
      </w:r>
      <w:r>
        <w:t xml:space="preserve">one </w:t>
      </w:r>
      <w:r w:rsidR="00BB3244">
        <w:t xml:space="preserve">feature has been the consideration of the idea at </w:t>
      </w:r>
      <w:r w:rsidR="004766EE">
        <w:rPr>
          <w:i/>
        </w:rPr>
        <w:t xml:space="preserve">central </w:t>
      </w:r>
      <w:r w:rsidR="00BB3244">
        <w:t xml:space="preserve">UK government level. From a national perspective, </w:t>
      </w:r>
      <w:r w:rsidR="00A819C0">
        <w:t xml:space="preserve">introducing </w:t>
      </w:r>
      <w:r w:rsidR="00BB3244">
        <w:t xml:space="preserve">DCRs </w:t>
      </w:r>
      <w:r>
        <w:t xml:space="preserve">may </w:t>
      </w:r>
      <w:r w:rsidR="00BB3244">
        <w:t xml:space="preserve">not </w:t>
      </w:r>
      <w:r>
        <w:t xml:space="preserve">be </w:t>
      </w:r>
      <w:r w:rsidR="00BB3244">
        <w:t>a</w:t>
      </w:r>
      <w:r w:rsidR="00A819C0">
        <w:t xml:space="preserve">n </w:t>
      </w:r>
      <w:r w:rsidR="00BB3244">
        <w:t>attractive prospect for any govern</w:t>
      </w:r>
      <w:r w:rsidR="004766EE">
        <w:t>ment. The candid</w:t>
      </w:r>
      <w:r w:rsidR="00BB3244">
        <w:t xml:space="preserve"> response to the HASC from the </w:t>
      </w:r>
      <w:r>
        <w:t xml:space="preserve">UK </w:t>
      </w:r>
      <w:r w:rsidR="00BB3244">
        <w:t xml:space="preserve">Government of the time </w:t>
      </w:r>
      <w:r w:rsidR="00A03D85">
        <w:t xml:space="preserve">demonstrates </w:t>
      </w:r>
      <w:r w:rsidR="00BB3244">
        <w:t xml:space="preserve">how </w:t>
      </w:r>
      <w:r w:rsidR="00A03D85">
        <w:t xml:space="preserve">politicians feared being accused by the media of </w:t>
      </w:r>
      <w:r w:rsidR="004766EE" w:rsidRPr="00405E04">
        <w:t>opening "drug dens"</w:t>
      </w:r>
      <w:r w:rsidR="0090414D">
        <w:t xml:space="preserve">. </w:t>
      </w:r>
      <w:r w:rsidR="00BB3244">
        <w:t xml:space="preserve">While the stated premises for rejection may have varied in the years that followed, it seems likely that the underlying problem has been </w:t>
      </w:r>
      <w:r w:rsidR="007C4F7B">
        <w:t xml:space="preserve">(and continues to be) </w:t>
      </w:r>
      <w:r w:rsidR="0090414D">
        <w:t xml:space="preserve">the </w:t>
      </w:r>
      <w:r w:rsidR="00BB3244">
        <w:t xml:space="preserve">perceived unpopularity </w:t>
      </w:r>
      <w:r w:rsidR="00685C33">
        <w:t xml:space="preserve">of such an approach </w:t>
      </w:r>
      <w:r w:rsidR="00BB3244">
        <w:t xml:space="preserve">and the </w:t>
      </w:r>
      <w:r w:rsidR="006C311B">
        <w:t xml:space="preserve">associated </w:t>
      </w:r>
      <w:r w:rsidR="00BB3244">
        <w:t>political consequences.</w:t>
      </w:r>
      <w:r w:rsidR="00B97B80">
        <w:t xml:space="preserve"> </w:t>
      </w:r>
      <w:r w:rsidR="007C4F7B">
        <w:t xml:space="preserve">By comparison, the German experience has been one of </w:t>
      </w:r>
      <w:r w:rsidR="007C4F7B" w:rsidRPr="0090414D">
        <w:rPr>
          <w:i/>
        </w:rPr>
        <w:t>local</w:t>
      </w:r>
      <w:r w:rsidR="007C4F7B">
        <w:t xml:space="preserve"> developments that have eventually gained support through federal law. Many of the debates about DCRs have played out </w:t>
      </w:r>
      <w:r w:rsidR="006C311B">
        <w:t xml:space="preserve">accordingly </w:t>
      </w:r>
      <w:r w:rsidR="007C4F7B">
        <w:t>at the local level, rather than in the national media and federal government.</w:t>
      </w:r>
      <w:r w:rsidR="000E4B4B">
        <w:t xml:space="preserve"> </w:t>
      </w:r>
      <w:r w:rsidR="00A03D85">
        <w:t xml:space="preserve">While there have been </w:t>
      </w:r>
      <w:r w:rsidR="000E4B4B">
        <w:t>local</w:t>
      </w:r>
      <w:r w:rsidR="00B97B80">
        <w:t xml:space="preserve"> developments in cities around the UK</w:t>
      </w:r>
      <w:r w:rsidR="00870856">
        <w:t>, hitherto</w:t>
      </w:r>
      <w:r w:rsidR="0090414D">
        <w:t xml:space="preserve"> </w:t>
      </w:r>
      <w:r w:rsidR="00B97B80">
        <w:t>the</w:t>
      </w:r>
      <w:r w:rsidR="00A03D85">
        <w:t xml:space="preserve">y </w:t>
      </w:r>
      <w:r w:rsidR="00B97B80">
        <w:t xml:space="preserve">have come to nothing. This may reflect the limited local powers </w:t>
      </w:r>
      <w:r w:rsidR="00151FA6">
        <w:t xml:space="preserve">and autonomy </w:t>
      </w:r>
      <w:r w:rsidR="00B97B80">
        <w:t xml:space="preserve">in the UK, compared to the situation </w:t>
      </w:r>
      <w:r w:rsidR="000E4B4B">
        <w:t>in Germany</w:t>
      </w:r>
      <w:r w:rsidR="00151FA6">
        <w:t xml:space="preserve">. </w:t>
      </w:r>
    </w:p>
    <w:p w:rsidR="00A819C0" w:rsidRDefault="00A819C0" w:rsidP="001134E8">
      <w:pPr>
        <w:autoSpaceDE w:val="0"/>
        <w:autoSpaceDN w:val="0"/>
        <w:adjustRightInd w:val="0"/>
        <w:spacing w:after="0" w:line="360" w:lineRule="auto"/>
        <w:ind w:left="0"/>
        <w:contextualSpacing/>
      </w:pPr>
    </w:p>
    <w:p w:rsidR="003D5B33" w:rsidRDefault="00C46C3C" w:rsidP="001134E8">
      <w:pPr>
        <w:spacing w:line="360" w:lineRule="auto"/>
        <w:ind w:left="0"/>
        <w:contextualSpacing/>
      </w:pPr>
      <w:r>
        <w:t xml:space="preserve">Another </w:t>
      </w:r>
      <w:r w:rsidR="0090414D">
        <w:t xml:space="preserve">highly </w:t>
      </w:r>
      <w:r>
        <w:t xml:space="preserve">significant difference between these two accounts is the presence of </w:t>
      </w:r>
      <w:r w:rsidR="0090414D">
        <w:t>large</w:t>
      </w:r>
      <w:r w:rsidR="00A5344F">
        <w:t xml:space="preserve"> </w:t>
      </w:r>
      <w:r>
        <w:t xml:space="preserve">open drug scenes in Germany, which appear to have had no counterpart in the UK. Germany, and a number of other countries such as Switzerland, </w:t>
      </w:r>
      <w:proofErr w:type="gramStart"/>
      <w:r>
        <w:t>have</w:t>
      </w:r>
      <w:proofErr w:type="gramEnd"/>
      <w:r>
        <w:t xml:space="preserve"> </w:t>
      </w:r>
      <w:r w:rsidR="00870856">
        <w:t>e</w:t>
      </w:r>
      <w:r>
        <w:t xml:space="preserve">xperienced the colonisation of parts of their cities by </w:t>
      </w:r>
      <w:r w:rsidR="0090414D">
        <w:t>drug users</w:t>
      </w:r>
      <w:r>
        <w:t xml:space="preserve">. These gatherings </w:t>
      </w:r>
      <w:r>
        <w:lastRenderedPageBreak/>
        <w:t xml:space="preserve">have been associated with serious health and public order problems and have played a </w:t>
      </w:r>
      <w:r w:rsidR="0090414D">
        <w:t xml:space="preserve">pivotal </w:t>
      </w:r>
      <w:r>
        <w:t xml:space="preserve">role in persuading communities </w:t>
      </w:r>
      <w:r w:rsidR="00BB0E31">
        <w:t xml:space="preserve">and local politicians </w:t>
      </w:r>
      <w:r>
        <w:t>that something had to be done to move users into services such as DCRs. Why such drug scenes have not developed in the UK is not immediately clear: it could reflect different approaches to policing. It might also reflect the British climate.</w:t>
      </w:r>
    </w:p>
    <w:p w:rsidR="00796F3F" w:rsidRDefault="00796F3F" w:rsidP="001134E8">
      <w:pPr>
        <w:spacing w:line="360" w:lineRule="auto"/>
        <w:ind w:left="0"/>
        <w:contextualSpacing/>
      </w:pPr>
    </w:p>
    <w:p w:rsidR="0090414D" w:rsidRDefault="0090414D" w:rsidP="001134E8">
      <w:pPr>
        <w:spacing w:line="360" w:lineRule="auto"/>
        <w:ind w:left="0"/>
        <w:contextualSpacing/>
      </w:pPr>
      <w:r>
        <w:t>The police are crucial to the successful operation of a DCR (</w:t>
      </w:r>
      <w:r w:rsidR="00AE50E7">
        <w:t xml:space="preserve">e.g. IWG, 2006): </w:t>
      </w:r>
      <w:r w:rsidR="00DB739C">
        <w:t>in refraining from arresting DCR service users on the way to the facility and in working in partnership with DCR staff to ensure public order is maintained in the area immediately surrounding a DCR. The police response to the idea of DCRs in Germany has b</w:t>
      </w:r>
      <w:r w:rsidR="00870856">
        <w:t>een broadly positive,</w:t>
      </w:r>
      <w:r w:rsidR="00DB739C">
        <w:t xml:space="preserve"> in </w:t>
      </w:r>
      <w:r w:rsidR="00BB0E31">
        <w:t xml:space="preserve">marked </w:t>
      </w:r>
      <w:r w:rsidR="00DB739C">
        <w:t xml:space="preserve">contrast to the response of </w:t>
      </w:r>
      <w:r w:rsidR="00BB0E31">
        <w:t xml:space="preserve">most </w:t>
      </w:r>
      <w:r w:rsidR="00DB739C">
        <w:t xml:space="preserve">police chiefs in the UK. This may reflect differences in the level of autonomy (as discussed above) or differences in philosophy or approach. </w:t>
      </w:r>
      <w:r w:rsidR="00CB13C6">
        <w:t xml:space="preserve">It may also be that the initial support of German police forces was </w:t>
      </w:r>
      <w:r w:rsidR="00CB13C6">
        <w:rPr>
          <w:i/>
        </w:rPr>
        <w:t>in extremis</w:t>
      </w:r>
      <w:r w:rsidR="00CB13C6">
        <w:t xml:space="preserve"> – i.e. the overriding </w:t>
      </w:r>
      <w:r w:rsidR="00BB0E31">
        <w:t xml:space="preserve">need to </w:t>
      </w:r>
      <w:r w:rsidR="00CB13C6">
        <w:t>control open drug scenes forced them to accept DCRs as a potentially effective</w:t>
      </w:r>
      <w:r w:rsidR="00BB0E31">
        <w:t>,</w:t>
      </w:r>
      <w:r w:rsidR="00CB13C6">
        <w:t xml:space="preserve"> if unpalatable</w:t>
      </w:r>
      <w:r w:rsidR="00BB0E31">
        <w:t>,</w:t>
      </w:r>
      <w:r w:rsidR="00CB13C6">
        <w:t xml:space="preserve"> solution.</w:t>
      </w:r>
    </w:p>
    <w:p w:rsidR="00036EB9" w:rsidRPr="00CB13C6" w:rsidRDefault="00036EB9" w:rsidP="001134E8">
      <w:pPr>
        <w:spacing w:line="360" w:lineRule="auto"/>
        <w:ind w:left="0"/>
        <w:contextualSpacing/>
      </w:pPr>
    </w:p>
    <w:p w:rsidR="00B561FF" w:rsidRDefault="003D5B33" w:rsidP="001134E8">
      <w:pPr>
        <w:spacing w:line="360" w:lineRule="auto"/>
        <w:ind w:left="0"/>
        <w:contextualSpacing/>
      </w:pPr>
      <w:r>
        <w:t xml:space="preserve">A further interesting difference concerns direct action. </w:t>
      </w:r>
      <w:r w:rsidR="00A5344F">
        <w:t xml:space="preserve">The Non-Government Organisations running the </w:t>
      </w:r>
      <w:r>
        <w:t>German projects</w:t>
      </w:r>
      <w:r w:rsidR="00A5344F">
        <w:t xml:space="preserve"> </w:t>
      </w:r>
      <w:r w:rsidR="00BB0E31">
        <w:t xml:space="preserve">in the 1980s </w:t>
      </w:r>
      <w:r>
        <w:t>initially took the risk of allowing drug use</w:t>
      </w:r>
      <w:r w:rsidR="00CB13C6">
        <w:t>rs to inject</w:t>
      </w:r>
      <w:r>
        <w:t xml:space="preserve"> on their premises, despite the lack of legal safeguards. </w:t>
      </w:r>
      <w:r w:rsidR="00BB0E31">
        <w:t>T</w:t>
      </w:r>
      <w:r>
        <w:t xml:space="preserve">his does not appear to have happened in any systematic way in the UK. </w:t>
      </w:r>
      <w:r w:rsidR="00CB13C6">
        <w:t xml:space="preserve">At least in part, this may reflect </w:t>
      </w:r>
      <w:r>
        <w:t>a w</w:t>
      </w:r>
      <w:r w:rsidR="000B63FA">
        <w:t>idespread misunderstanding o</w:t>
      </w:r>
      <w:r w:rsidR="00BB0E31">
        <w:t>f</w:t>
      </w:r>
      <w:r>
        <w:t xml:space="preserve"> the legal situation in the UK: in particular</w:t>
      </w:r>
      <w:r w:rsidR="00BB0E31">
        <w:t>,</w:t>
      </w:r>
      <w:r>
        <w:t xml:space="preserve"> the </w:t>
      </w:r>
      <w:r w:rsidR="00CB13C6">
        <w:t xml:space="preserve">extent </w:t>
      </w:r>
      <w:r>
        <w:t xml:space="preserve">to </w:t>
      </w:r>
      <w:r w:rsidR="00CB13C6">
        <w:t>which the manager of a DCR can</w:t>
      </w:r>
      <w:r>
        <w:t xml:space="preserve"> be prosecuted </w:t>
      </w:r>
      <w:r w:rsidR="00BB0E31">
        <w:t xml:space="preserve">under the Misuse of Drugs Act (1971) </w:t>
      </w:r>
      <w:r>
        <w:t>for allowing drug consumption to take place on the premises</w:t>
      </w:r>
      <w:r w:rsidR="00BB0E31">
        <w:t>.</w:t>
      </w:r>
      <w:r w:rsidR="00C81654">
        <w:t xml:space="preserve"> </w:t>
      </w:r>
    </w:p>
    <w:p w:rsidR="00036EB9" w:rsidRDefault="00036EB9" w:rsidP="001134E8">
      <w:pPr>
        <w:spacing w:line="360" w:lineRule="auto"/>
        <w:ind w:left="0"/>
        <w:contextualSpacing/>
      </w:pPr>
    </w:p>
    <w:p w:rsidR="00036EB9" w:rsidRDefault="003D5B33" w:rsidP="00DD5AB4">
      <w:pPr>
        <w:autoSpaceDE w:val="0"/>
        <w:autoSpaceDN w:val="0"/>
        <w:adjustRightInd w:val="0"/>
        <w:spacing w:line="360" w:lineRule="auto"/>
        <w:ind w:left="0"/>
      </w:pPr>
      <w:r>
        <w:t>The way that DCRs have been debated in the media appears to have been very different between the two countries. In the UK, whenever the issue has been discussed, much of the reporting has been negative</w:t>
      </w:r>
      <w:r w:rsidR="00BB0E31">
        <w:t xml:space="preserve">, with frequent references to </w:t>
      </w:r>
      <w:r>
        <w:t xml:space="preserve">‘shooting galleries’, with all the stigma </w:t>
      </w:r>
      <w:r w:rsidR="00685C33">
        <w:t xml:space="preserve">and confusion </w:t>
      </w:r>
      <w:r>
        <w:t>that that term</w:t>
      </w:r>
      <w:r w:rsidR="00685C33">
        <w:t xml:space="preserve"> induces</w:t>
      </w:r>
      <w:r>
        <w:t>.</w:t>
      </w:r>
      <w:r w:rsidR="00CE43B9">
        <w:t xml:space="preserve"> </w:t>
      </w:r>
      <w:r w:rsidR="00DD5AB4">
        <w:t xml:space="preserve">This undoubtedly reflects the historical tendency of the British press to stoke up fears around drug use and drug users. As </w:t>
      </w:r>
      <w:proofErr w:type="spellStart"/>
      <w:r w:rsidR="00DD5AB4">
        <w:t>Reinarman</w:t>
      </w:r>
      <w:proofErr w:type="spellEnd"/>
      <w:r w:rsidR="00DD5AB4">
        <w:t xml:space="preserve"> (1997) </w:t>
      </w:r>
      <w:r w:rsidR="00D41BAF">
        <w:t>said of the, similar American situation</w:t>
      </w:r>
      <w:r w:rsidR="00DD5AB4">
        <w:t xml:space="preserve">, </w:t>
      </w:r>
      <w:r w:rsidR="00DD5AB4" w:rsidRPr="00DD5AB4">
        <w:t>“the mass media has engaged in … the routinization of</w:t>
      </w:r>
      <w:r w:rsidR="00DD5AB4">
        <w:t xml:space="preserve"> </w:t>
      </w:r>
      <w:r w:rsidR="00DD5AB4" w:rsidRPr="00DD5AB4">
        <w:t>caricature – rhetorically recrafting worst cases into typical cases and the episodic into</w:t>
      </w:r>
      <w:r w:rsidR="00DD5AB4">
        <w:t xml:space="preserve"> </w:t>
      </w:r>
      <w:r w:rsidR="00DD5AB4" w:rsidRPr="00DD5AB4">
        <w:t xml:space="preserve">the </w:t>
      </w:r>
      <w:r w:rsidR="00DD5AB4" w:rsidRPr="00DD5AB4">
        <w:lastRenderedPageBreak/>
        <w:t>epidemic” (p.101).</w:t>
      </w:r>
      <w:r w:rsidR="00D41BAF">
        <w:t xml:space="preserve"> </w:t>
      </w:r>
      <w:r w:rsidR="00BB0E31">
        <w:t>Indeed, these</w:t>
      </w:r>
      <w:r w:rsidR="00D41BAF">
        <w:t xml:space="preserve"> tendencies were explicitly cited by the UK Government in rejecting t</w:t>
      </w:r>
      <w:r w:rsidR="00AE50E7">
        <w:t xml:space="preserve">he HASC recommendation in 2002. </w:t>
      </w:r>
      <w:r w:rsidR="00373FF3">
        <w:t>By comparison</w:t>
      </w:r>
      <w:r w:rsidR="00BB0E31">
        <w:t>,</w:t>
      </w:r>
      <w:r w:rsidR="00373FF3">
        <w:t xml:space="preserve"> in most cases, the mass media in Germany have responded positively to the implementation of DCRs, viewin</w:t>
      </w:r>
      <w:r w:rsidR="00BB0E31">
        <w:t>g</w:t>
      </w:r>
      <w:r w:rsidR="00373FF3">
        <w:t xml:space="preserve"> them as professional </w:t>
      </w:r>
      <w:r w:rsidR="00EB1DE2">
        <w:t>services</w:t>
      </w:r>
      <w:r w:rsidR="00373FF3">
        <w:t xml:space="preserve"> aimed at easing the problematic </w:t>
      </w:r>
      <w:r w:rsidR="00EB1DE2">
        <w:t xml:space="preserve">and sometimes </w:t>
      </w:r>
      <w:r w:rsidR="00373FF3">
        <w:t xml:space="preserve"> devastating</w:t>
      </w:r>
      <w:r w:rsidR="00EB1DE2">
        <w:t>,</w:t>
      </w:r>
      <w:r w:rsidR="00373FF3">
        <w:t xml:space="preserve"> living conditions of drug users. Furthermore, the </w:t>
      </w:r>
      <w:r w:rsidR="00EB1DE2">
        <w:t>achievements</w:t>
      </w:r>
      <w:r w:rsidR="00373FF3">
        <w:t xml:space="preserve"> of DCRs have successfully b</w:t>
      </w:r>
      <w:r w:rsidR="00654B52">
        <w:t xml:space="preserve">een brought to the foreground, </w:t>
      </w:r>
      <w:r w:rsidR="00373FF3">
        <w:t xml:space="preserve">in terms of the reduction of infectious diseases, mortality and especially the bridging function of DCRs into other drug services (e.g. Frankfurter </w:t>
      </w:r>
      <w:proofErr w:type="spellStart"/>
      <w:r w:rsidR="00373FF3">
        <w:t>Rundschau</w:t>
      </w:r>
      <w:proofErr w:type="spellEnd"/>
      <w:r w:rsidR="00373FF3">
        <w:t xml:space="preserve"> 23.1.1999, page 32). </w:t>
      </w:r>
    </w:p>
    <w:p w:rsidR="00DD5AB4" w:rsidRDefault="00DD5AB4" w:rsidP="00DD5AB4">
      <w:pPr>
        <w:spacing w:line="360" w:lineRule="auto"/>
        <w:ind w:left="0"/>
        <w:contextualSpacing/>
      </w:pPr>
    </w:p>
    <w:p w:rsidR="00A5130A" w:rsidRDefault="00EB1DE2" w:rsidP="00DD5AB4">
      <w:pPr>
        <w:spacing w:line="360" w:lineRule="auto"/>
        <w:ind w:left="0"/>
        <w:contextualSpacing/>
      </w:pPr>
      <w:r>
        <w:t xml:space="preserve">Finally, </w:t>
      </w:r>
      <w:r w:rsidR="00D90715">
        <w:t>there is also the role of chance or s</w:t>
      </w:r>
      <w:r w:rsidR="00A5130A">
        <w:t>erendipity</w:t>
      </w:r>
      <w:r w:rsidR="00D90715">
        <w:t>. The UK appeared to come very close to a DCR trial i</w:t>
      </w:r>
      <w:r w:rsidR="00CA2C05">
        <w:t>n 2006 but at the critical moment</w:t>
      </w:r>
      <w:r w:rsidR="00D90715">
        <w:t>, the winds of political fortune changed and a once-confident Government was in turmoil</w:t>
      </w:r>
      <w:r w:rsidR="00654B52">
        <w:t xml:space="preserve"> (Hunt </w:t>
      </w:r>
      <w:r w:rsidR="00654B52">
        <w:rPr>
          <w:sz w:val="23"/>
          <w:szCs w:val="23"/>
        </w:rPr>
        <w:t xml:space="preserve">&amp; </w:t>
      </w:r>
      <w:r w:rsidR="00363250">
        <w:t>Lloyd, 2008)</w:t>
      </w:r>
      <w:r w:rsidR="00D90715">
        <w:t xml:space="preserve">. Drug policy is rarely the central priority of any European government and drug policy decisions often reflect wider political goals and </w:t>
      </w:r>
      <w:r w:rsidR="00363250">
        <w:t>pressures: especially when they are made at central government level.</w:t>
      </w:r>
    </w:p>
    <w:p w:rsidR="00796F3F" w:rsidRPr="008C656A" w:rsidRDefault="00796F3F" w:rsidP="001134E8">
      <w:pPr>
        <w:spacing w:line="360" w:lineRule="auto"/>
        <w:ind w:left="0"/>
        <w:contextualSpacing/>
        <w:rPr>
          <w:b/>
          <w:lang w:val="en-US"/>
        </w:rPr>
      </w:pPr>
    </w:p>
    <w:p w:rsidR="00286EFC" w:rsidRPr="00036EB9" w:rsidRDefault="0076257B" w:rsidP="001134E8">
      <w:pPr>
        <w:spacing w:line="360" w:lineRule="auto"/>
        <w:ind w:left="0"/>
        <w:contextualSpacing/>
      </w:pPr>
      <w:r w:rsidRPr="008C656A">
        <w:rPr>
          <w:b/>
          <w:lang w:val="en-US"/>
        </w:rPr>
        <w:t>References</w:t>
      </w:r>
    </w:p>
    <w:p w:rsidR="00286EFC" w:rsidRPr="008C656A" w:rsidRDefault="00286EFC" w:rsidP="001134E8">
      <w:pPr>
        <w:autoSpaceDE w:val="0"/>
        <w:autoSpaceDN w:val="0"/>
        <w:adjustRightInd w:val="0"/>
        <w:spacing w:after="0" w:line="360" w:lineRule="auto"/>
        <w:ind w:left="0"/>
        <w:contextualSpacing/>
        <w:rPr>
          <w:b/>
          <w:lang w:val="en-US"/>
        </w:rPr>
      </w:pPr>
    </w:p>
    <w:p w:rsidR="00DF29B0" w:rsidRPr="009A5F6F" w:rsidRDefault="00DF29B0" w:rsidP="0045088D">
      <w:pPr>
        <w:autoSpaceDE w:val="0"/>
        <w:autoSpaceDN w:val="0"/>
        <w:adjustRightInd w:val="0"/>
        <w:spacing w:before="120" w:line="360" w:lineRule="auto"/>
        <w:ind w:left="284" w:hanging="284"/>
        <w:contextualSpacing/>
        <w:rPr>
          <w:i/>
        </w:rPr>
      </w:pPr>
      <w:proofErr w:type="spellStart"/>
      <w:r>
        <w:t>A</w:t>
      </w:r>
      <w:r w:rsidR="00036EB9" w:rsidRPr="005E1598">
        <w:t>kzept</w:t>
      </w:r>
      <w:proofErr w:type="spellEnd"/>
      <w:r>
        <w:t>,</w:t>
      </w:r>
      <w:r w:rsidR="00036EB9" w:rsidRPr="005E1598">
        <w:t xml:space="preserve"> </w:t>
      </w:r>
      <w:proofErr w:type="spellStart"/>
      <w:r w:rsidR="00036EB9" w:rsidRPr="005E1598">
        <w:t>e.V</w:t>
      </w:r>
      <w:proofErr w:type="spellEnd"/>
      <w:r w:rsidR="00036EB9" w:rsidRPr="005E1598">
        <w:t xml:space="preserve">. (1999): </w:t>
      </w:r>
      <w:r w:rsidR="00036EB9" w:rsidRPr="009A5F6F">
        <w:rPr>
          <w:i/>
        </w:rPr>
        <w:t>Guidelines for the operatio</w:t>
      </w:r>
      <w:r w:rsidRPr="009A5F6F">
        <w:rPr>
          <w:i/>
        </w:rPr>
        <w:t>n and use of Consumption Rooms.</w:t>
      </w:r>
    </w:p>
    <w:p w:rsidR="00DF29B0" w:rsidRPr="009A5F6F" w:rsidRDefault="00036EB9" w:rsidP="0045088D">
      <w:pPr>
        <w:autoSpaceDE w:val="0"/>
        <w:autoSpaceDN w:val="0"/>
        <w:adjustRightInd w:val="0"/>
        <w:spacing w:before="120" w:line="360" w:lineRule="auto"/>
        <w:ind w:left="284" w:hanging="284"/>
        <w:contextualSpacing/>
        <w:rPr>
          <w:i/>
        </w:rPr>
      </w:pPr>
      <w:r w:rsidRPr="009A5F6F">
        <w:rPr>
          <w:i/>
        </w:rPr>
        <w:t>Consumption rooms as a professional service in a</w:t>
      </w:r>
      <w:r w:rsidR="00DF29B0" w:rsidRPr="009A5F6F">
        <w:rPr>
          <w:i/>
        </w:rPr>
        <w:t>ddictions-health: International</w:t>
      </w:r>
    </w:p>
    <w:p w:rsidR="00DF29B0" w:rsidRPr="008C656A" w:rsidRDefault="00036EB9" w:rsidP="0045088D">
      <w:pPr>
        <w:autoSpaceDE w:val="0"/>
        <w:autoSpaceDN w:val="0"/>
        <w:adjustRightInd w:val="0"/>
        <w:spacing w:before="120" w:line="360" w:lineRule="auto"/>
        <w:ind w:left="284" w:hanging="284"/>
        <w:contextualSpacing/>
        <w:rPr>
          <w:lang w:val="en-US"/>
        </w:rPr>
      </w:pPr>
      <w:proofErr w:type="gramStart"/>
      <w:r w:rsidRPr="009A5F6F">
        <w:rPr>
          <w:i/>
        </w:rPr>
        <w:t>conference</w:t>
      </w:r>
      <w:proofErr w:type="gramEnd"/>
      <w:r w:rsidRPr="009A5F6F">
        <w:rPr>
          <w:i/>
        </w:rPr>
        <w:t xml:space="preserve"> for the development of guidelines.</w:t>
      </w:r>
      <w:r w:rsidRPr="005E1598">
        <w:t xml:space="preserve"> </w:t>
      </w:r>
      <w:r w:rsidRPr="008C656A">
        <w:rPr>
          <w:lang w:val="en-US"/>
        </w:rPr>
        <w:t>Han</w:t>
      </w:r>
      <w:r w:rsidR="00DF29B0" w:rsidRPr="008C656A">
        <w:rPr>
          <w:lang w:val="en-US"/>
        </w:rPr>
        <w:t>nover/Germany: Carl von</w:t>
      </w:r>
    </w:p>
    <w:p w:rsidR="00DF29B0" w:rsidRPr="008C656A" w:rsidRDefault="00036EB9" w:rsidP="0045088D">
      <w:pPr>
        <w:autoSpaceDE w:val="0"/>
        <w:autoSpaceDN w:val="0"/>
        <w:adjustRightInd w:val="0"/>
        <w:spacing w:before="120" w:line="360" w:lineRule="auto"/>
        <w:ind w:left="284" w:hanging="284"/>
        <w:contextualSpacing/>
        <w:rPr>
          <w:lang w:val="en-US"/>
        </w:rPr>
      </w:pPr>
      <w:r w:rsidRPr="008C656A">
        <w:rPr>
          <w:lang w:val="en-US"/>
        </w:rPr>
        <w:t>Ossietzky University, Oldenburg, Faculty of Addict</w:t>
      </w:r>
      <w:r w:rsidR="00DF29B0" w:rsidRPr="008C656A">
        <w:rPr>
          <w:lang w:val="en-US"/>
        </w:rPr>
        <w:t xml:space="preserve">ion &amp; Drug Research and </w:t>
      </w:r>
      <w:proofErr w:type="spellStart"/>
      <w:r w:rsidR="00DF29B0" w:rsidRPr="008C656A">
        <w:rPr>
          <w:lang w:val="en-US"/>
        </w:rPr>
        <w:t>akzept</w:t>
      </w:r>
      <w:proofErr w:type="spellEnd"/>
      <w:r w:rsidR="00DF29B0" w:rsidRPr="008C656A">
        <w:rPr>
          <w:lang w:val="en-US"/>
        </w:rPr>
        <w:t>-</w:t>
      </w:r>
    </w:p>
    <w:p w:rsidR="00036EB9" w:rsidRPr="00A31A8D" w:rsidRDefault="00036EB9" w:rsidP="0045088D">
      <w:pPr>
        <w:autoSpaceDE w:val="0"/>
        <w:autoSpaceDN w:val="0"/>
        <w:adjustRightInd w:val="0"/>
        <w:spacing w:before="120" w:line="360" w:lineRule="auto"/>
        <w:ind w:left="284" w:hanging="284"/>
        <w:contextualSpacing/>
        <w:rPr>
          <w:lang w:val="de-DE"/>
        </w:rPr>
      </w:pPr>
      <w:r w:rsidRPr="0076257B">
        <w:rPr>
          <w:lang w:val="de-DE"/>
        </w:rPr>
        <w:t>Bundesverband für akzeptierende Drogenarbeit und humane Drogenpolitik.</w:t>
      </w:r>
    </w:p>
    <w:p w:rsidR="006B5C3D" w:rsidRPr="008C656A" w:rsidRDefault="006B5C3D" w:rsidP="0045088D">
      <w:pPr>
        <w:autoSpaceDE w:val="0"/>
        <w:autoSpaceDN w:val="0"/>
        <w:adjustRightInd w:val="0"/>
        <w:spacing w:after="0" w:line="360" w:lineRule="auto"/>
        <w:ind w:left="0"/>
        <w:contextualSpacing/>
        <w:rPr>
          <w:lang w:val="de-DE"/>
        </w:rPr>
      </w:pPr>
    </w:p>
    <w:p w:rsidR="006B5C3D" w:rsidRDefault="00654B52" w:rsidP="0045088D">
      <w:pPr>
        <w:autoSpaceDE w:val="0"/>
        <w:autoSpaceDN w:val="0"/>
        <w:adjustRightInd w:val="0"/>
        <w:spacing w:after="0" w:line="360" w:lineRule="auto"/>
        <w:ind w:left="0"/>
        <w:contextualSpacing/>
      </w:pPr>
      <w:proofErr w:type="spellStart"/>
      <w:proofErr w:type="gramStart"/>
      <w:r>
        <w:t>Andreson</w:t>
      </w:r>
      <w:proofErr w:type="spellEnd"/>
      <w:r>
        <w:t xml:space="preserve">, M.A. </w:t>
      </w:r>
      <w:r>
        <w:rPr>
          <w:sz w:val="23"/>
          <w:szCs w:val="23"/>
        </w:rPr>
        <w:t xml:space="preserve">&amp; </w:t>
      </w:r>
      <w:r w:rsidR="006B5C3D">
        <w:t>Boyd, N. (2010).</w:t>
      </w:r>
      <w:proofErr w:type="gramEnd"/>
      <w:r w:rsidR="006B5C3D">
        <w:t xml:space="preserve"> </w:t>
      </w:r>
      <w:proofErr w:type="gramStart"/>
      <w:r w:rsidR="006B5C3D">
        <w:t>A cost-benefit and cost-effectiveness analysis of Vancouver’s supervised injection facility.</w:t>
      </w:r>
      <w:proofErr w:type="gramEnd"/>
      <w:r w:rsidR="006B5C3D">
        <w:t xml:space="preserve"> </w:t>
      </w:r>
      <w:r w:rsidR="006B5C3D">
        <w:rPr>
          <w:i/>
        </w:rPr>
        <w:t>International Journal of Drug Policy</w:t>
      </w:r>
      <w:r w:rsidR="006B5C3D">
        <w:t>, 21, 70-76.</w:t>
      </w:r>
    </w:p>
    <w:p w:rsidR="00DF29B0" w:rsidRDefault="00DF29B0" w:rsidP="0045088D">
      <w:pPr>
        <w:autoSpaceDE w:val="0"/>
        <w:autoSpaceDN w:val="0"/>
        <w:adjustRightInd w:val="0"/>
        <w:spacing w:after="0" w:line="360" w:lineRule="auto"/>
        <w:ind w:left="0"/>
        <w:contextualSpacing/>
      </w:pPr>
    </w:p>
    <w:p w:rsidR="00DF29B0" w:rsidRPr="008C656A" w:rsidRDefault="00DF29B0" w:rsidP="0045088D">
      <w:pPr>
        <w:autoSpaceDE w:val="0"/>
        <w:autoSpaceDN w:val="0"/>
        <w:adjustRightInd w:val="0"/>
        <w:spacing w:after="0" w:line="360" w:lineRule="auto"/>
        <w:ind w:left="0"/>
        <w:contextualSpacing/>
      </w:pPr>
      <w:r w:rsidRPr="008C656A">
        <w:t xml:space="preserve">Deutsche AIDS </w:t>
      </w:r>
      <w:proofErr w:type="spellStart"/>
      <w:r w:rsidRPr="008C656A">
        <w:t>Hilfe</w:t>
      </w:r>
      <w:proofErr w:type="spellEnd"/>
      <w:r w:rsidRPr="008C656A">
        <w:t>/</w:t>
      </w:r>
      <w:proofErr w:type="spellStart"/>
      <w:r w:rsidRPr="008C656A">
        <w:t>akzept</w:t>
      </w:r>
      <w:proofErr w:type="spellEnd"/>
      <w:r w:rsidRPr="008C656A">
        <w:t xml:space="preserve"> </w:t>
      </w:r>
      <w:proofErr w:type="spellStart"/>
      <w:r w:rsidRPr="008C656A">
        <w:t>e.V</w:t>
      </w:r>
      <w:proofErr w:type="spellEnd"/>
      <w:r w:rsidRPr="008C656A">
        <w:t xml:space="preserve">. (2011): </w:t>
      </w:r>
      <w:r w:rsidRPr="009A5F6F">
        <w:rPr>
          <w:i/>
        </w:rPr>
        <w:t>Drug Consumption Rooms in Germany</w:t>
      </w:r>
      <w:r w:rsidRPr="008C656A">
        <w:t xml:space="preserve">. </w:t>
      </w:r>
      <w:hyperlink r:id="rId11" w:history="1">
        <w:r w:rsidR="009D5F91" w:rsidRPr="008C656A">
          <w:rPr>
            <w:rStyle w:val="Hyperlink"/>
          </w:rPr>
          <w:t>www.akzept.org</w:t>
        </w:r>
      </w:hyperlink>
    </w:p>
    <w:p w:rsidR="009D5F91" w:rsidRDefault="009D5F91" w:rsidP="0045088D">
      <w:pPr>
        <w:autoSpaceDE w:val="0"/>
        <w:autoSpaceDN w:val="0"/>
        <w:adjustRightInd w:val="0"/>
        <w:spacing w:after="0" w:line="360" w:lineRule="auto"/>
        <w:ind w:left="0"/>
        <w:contextualSpacing/>
      </w:pPr>
    </w:p>
    <w:p w:rsidR="000250AD" w:rsidRDefault="000250AD" w:rsidP="0045088D">
      <w:pPr>
        <w:autoSpaceDE w:val="0"/>
        <w:autoSpaceDN w:val="0"/>
        <w:adjustRightInd w:val="0"/>
        <w:spacing w:after="0" w:line="360" w:lineRule="auto"/>
        <w:ind w:left="0"/>
        <w:contextualSpacing/>
      </w:pPr>
      <w:proofErr w:type="gramStart"/>
      <w:r>
        <w:t>EMCDDA (2007).</w:t>
      </w:r>
      <w:proofErr w:type="gramEnd"/>
      <w:r>
        <w:t xml:space="preserve"> </w:t>
      </w:r>
      <w:proofErr w:type="gramStart"/>
      <w:r w:rsidRPr="009A5F6F">
        <w:rPr>
          <w:i/>
        </w:rPr>
        <w:t>EMCCDA Statistical Bulletin</w:t>
      </w:r>
      <w:r>
        <w:t>, 2007.</w:t>
      </w:r>
      <w:proofErr w:type="gramEnd"/>
      <w:r>
        <w:t xml:space="preserve"> Lisbon: EMCDDA</w:t>
      </w:r>
    </w:p>
    <w:p w:rsidR="000250AD" w:rsidRDefault="000250AD" w:rsidP="0045088D">
      <w:pPr>
        <w:autoSpaceDE w:val="0"/>
        <w:autoSpaceDN w:val="0"/>
        <w:adjustRightInd w:val="0"/>
        <w:spacing w:after="0" w:line="360" w:lineRule="auto"/>
        <w:ind w:left="0"/>
        <w:contextualSpacing/>
      </w:pPr>
    </w:p>
    <w:p w:rsidR="0045088D" w:rsidRDefault="0045088D" w:rsidP="0045088D">
      <w:pPr>
        <w:autoSpaceDE w:val="0"/>
        <w:autoSpaceDN w:val="0"/>
        <w:adjustRightInd w:val="0"/>
        <w:spacing w:after="0" w:line="360" w:lineRule="auto"/>
        <w:ind w:left="0"/>
        <w:contextualSpacing/>
      </w:pPr>
      <w:proofErr w:type="gramStart"/>
      <w:r>
        <w:lastRenderedPageBreak/>
        <w:t>EMCDDA (2013).</w:t>
      </w:r>
      <w:proofErr w:type="gramEnd"/>
      <w:r>
        <w:t xml:space="preserve"> </w:t>
      </w:r>
      <w:proofErr w:type="gramStart"/>
      <w:r w:rsidRPr="009A5F6F">
        <w:rPr>
          <w:i/>
        </w:rPr>
        <w:t>EMCCDA Statistical Bulletin</w:t>
      </w:r>
      <w:r>
        <w:t>, 2012.</w:t>
      </w:r>
      <w:proofErr w:type="gramEnd"/>
      <w:r>
        <w:t xml:space="preserve"> Lisbon: EMCDDA.</w:t>
      </w:r>
    </w:p>
    <w:p w:rsidR="0045088D" w:rsidRPr="008C656A" w:rsidRDefault="0045088D" w:rsidP="0045088D">
      <w:pPr>
        <w:autoSpaceDE w:val="0"/>
        <w:autoSpaceDN w:val="0"/>
        <w:adjustRightInd w:val="0"/>
        <w:spacing w:after="0" w:line="360" w:lineRule="auto"/>
        <w:ind w:left="0"/>
        <w:contextualSpacing/>
      </w:pPr>
    </w:p>
    <w:p w:rsidR="00C97E45" w:rsidRDefault="00FC1058" w:rsidP="0045088D">
      <w:pPr>
        <w:autoSpaceDE w:val="0"/>
        <w:autoSpaceDN w:val="0"/>
        <w:adjustRightInd w:val="0"/>
        <w:spacing w:after="0" w:line="360" w:lineRule="auto"/>
        <w:ind w:left="0"/>
        <w:contextualSpacing/>
        <w:rPr>
          <w:lang w:val="en-US"/>
        </w:rPr>
      </w:pPr>
      <w:proofErr w:type="gramStart"/>
      <w:r>
        <w:rPr>
          <w:lang w:val="en-US"/>
        </w:rPr>
        <w:t>EMCDDA (2014).</w:t>
      </w:r>
      <w:proofErr w:type="gramEnd"/>
      <w:r>
        <w:rPr>
          <w:lang w:val="en-US"/>
        </w:rPr>
        <w:t xml:space="preserve"> </w:t>
      </w:r>
      <w:hyperlink r:id="rId12" w:history="1">
        <w:r w:rsidRPr="00A80A4C">
          <w:rPr>
            <w:rStyle w:val="Hyperlink"/>
            <w:lang w:val="en-US"/>
          </w:rPr>
          <w:t>http://www.emcdda.europa.eu/data/2014</w:t>
        </w:r>
      </w:hyperlink>
      <w:r>
        <w:rPr>
          <w:lang w:val="en-US"/>
        </w:rPr>
        <w:t xml:space="preserve"> accessed on 27/10/14.</w:t>
      </w:r>
    </w:p>
    <w:p w:rsidR="00FC1058" w:rsidRPr="008C656A" w:rsidRDefault="00FC1058" w:rsidP="0045088D">
      <w:pPr>
        <w:autoSpaceDE w:val="0"/>
        <w:autoSpaceDN w:val="0"/>
        <w:adjustRightInd w:val="0"/>
        <w:spacing w:after="0" w:line="360" w:lineRule="auto"/>
        <w:ind w:left="0"/>
        <w:contextualSpacing/>
        <w:rPr>
          <w:lang w:val="en-US"/>
        </w:rPr>
      </w:pPr>
    </w:p>
    <w:p w:rsidR="00C97E45" w:rsidRDefault="00C97E45" w:rsidP="0045088D">
      <w:pPr>
        <w:autoSpaceDE w:val="0"/>
        <w:autoSpaceDN w:val="0"/>
        <w:adjustRightInd w:val="0"/>
        <w:spacing w:after="0" w:line="360" w:lineRule="auto"/>
        <w:ind w:left="0"/>
        <w:contextualSpacing/>
      </w:pPr>
      <w:proofErr w:type="gramStart"/>
      <w:r w:rsidRPr="002C4E5E">
        <w:rPr>
          <w:lang w:val="en-US"/>
        </w:rPr>
        <w:t>FRANCE24 (2013).</w:t>
      </w:r>
      <w:proofErr w:type="gramEnd"/>
      <w:r w:rsidRPr="002C4E5E">
        <w:rPr>
          <w:lang w:val="en-US"/>
        </w:rPr>
        <w:t xml:space="preserve"> </w:t>
      </w:r>
      <w:proofErr w:type="gramStart"/>
      <w:r w:rsidRPr="002C4E5E">
        <w:rPr>
          <w:lang w:val="en-US"/>
        </w:rPr>
        <w:t xml:space="preserve">Paris shooting gallery to be set up near </w:t>
      </w:r>
      <w:proofErr w:type="spellStart"/>
      <w:r w:rsidRPr="002C4E5E">
        <w:rPr>
          <w:lang w:val="en-US"/>
        </w:rPr>
        <w:t>Gare</w:t>
      </w:r>
      <w:proofErr w:type="spellEnd"/>
      <w:r w:rsidRPr="002C4E5E">
        <w:rPr>
          <w:lang w:val="en-US"/>
        </w:rPr>
        <w:t xml:space="preserve"> de Nord.</w:t>
      </w:r>
      <w:proofErr w:type="gramEnd"/>
      <w:r w:rsidRPr="002C4E5E">
        <w:rPr>
          <w:lang w:val="en-US"/>
        </w:rPr>
        <w:t xml:space="preserve"> 30 May 2013. </w:t>
      </w:r>
      <w:hyperlink r:id="rId13" w:anchor="./?&amp;_suid=139204044217205819665760316812" w:history="1">
        <w:r w:rsidRPr="004F0253">
          <w:rPr>
            <w:rStyle w:val="Hyperlink"/>
          </w:rPr>
          <w:t>http://www.france24.com/en/20130530-paris-drugs-shooting-gallery-given-go-ahead/#./?&amp;_suid=139204044217205819665760316812</w:t>
        </w:r>
      </w:hyperlink>
      <w:r w:rsidRPr="004F0253">
        <w:t xml:space="preserve">. </w:t>
      </w:r>
      <w:r w:rsidR="008E535A" w:rsidRPr="00294F94">
        <w:rPr>
          <w:lang w:val="en-US"/>
        </w:rPr>
        <w:t>Accessed 10/2/14.</w:t>
      </w:r>
    </w:p>
    <w:p w:rsidR="00036EB9" w:rsidRDefault="00036EB9" w:rsidP="0045088D">
      <w:pPr>
        <w:autoSpaceDE w:val="0"/>
        <w:autoSpaceDN w:val="0"/>
        <w:adjustRightInd w:val="0"/>
        <w:spacing w:after="0" w:line="360" w:lineRule="auto"/>
        <w:ind w:left="0"/>
        <w:contextualSpacing/>
      </w:pPr>
    </w:p>
    <w:p w:rsidR="00036EB9" w:rsidRDefault="00036EB9" w:rsidP="0045088D">
      <w:pPr>
        <w:autoSpaceDE w:val="0"/>
        <w:autoSpaceDN w:val="0"/>
        <w:adjustRightInd w:val="0"/>
        <w:spacing w:after="0" w:line="360" w:lineRule="auto"/>
        <w:ind w:left="0"/>
        <w:contextualSpacing/>
      </w:pPr>
      <w:proofErr w:type="gramStart"/>
      <w:r w:rsidRPr="004F6B72">
        <w:t xml:space="preserve">Hay, </w:t>
      </w:r>
      <w:r>
        <w:t xml:space="preserve">G., </w:t>
      </w:r>
      <w:r w:rsidRPr="004F6B72">
        <w:t xml:space="preserve">Gannon, </w:t>
      </w:r>
      <w:r>
        <w:t xml:space="preserve">M., </w:t>
      </w:r>
      <w:r w:rsidRPr="004F6B72">
        <w:t xml:space="preserve">MacDougall, </w:t>
      </w:r>
      <w:r>
        <w:t xml:space="preserve">J., </w:t>
      </w:r>
      <w:r w:rsidRPr="004F6B72">
        <w:t xml:space="preserve">Millar, </w:t>
      </w:r>
      <w:r>
        <w:t xml:space="preserve">T., </w:t>
      </w:r>
      <w:r w:rsidRPr="004F6B72">
        <w:t>Eastwood</w:t>
      </w:r>
      <w:r>
        <w:t>, C.</w:t>
      </w:r>
      <w:r w:rsidR="00654B52">
        <w:t xml:space="preserve"> </w:t>
      </w:r>
      <w:r w:rsidR="00654B52">
        <w:rPr>
          <w:sz w:val="23"/>
          <w:szCs w:val="23"/>
        </w:rPr>
        <w:t xml:space="preserve">&amp; </w:t>
      </w:r>
      <w:proofErr w:type="spellStart"/>
      <w:r w:rsidRPr="004F6B72">
        <w:t>McKeganey</w:t>
      </w:r>
      <w:proofErr w:type="spellEnd"/>
      <w:r>
        <w:t>, N. (2006).</w:t>
      </w:r>
      <w:proofErr w:type="gramEnd"/>
      <w:r>
        <w:t xml:space="preserve"> </w:t>
      </w:r>
      <w:r w:rsidRPr="004F6B72">
        <w:t>Local and national estimates of the prevalence of</w:t>
      </w:r>
      <w:r>
        <w:t xml:space="preserve"> </w:t>
      </w:r>
      <w:r w:rsidRPr="004F6B72">
        <w:t>opiate use and/or crack cocaine use (2004/05)</w:t>
      </w:r>
      <w:r>
        <w:t xml:space="preserve">. In </w:t>
      </w:r>
      <w:r w:rsidRPr="004F6B72">
        <w:t>Singleton</w:t>
      </w:r>
      <w:r w:rsidR="00654B52">
        <w:t>, N., Murray, R.</w:t>
      </w:r>
      <w:r w:rsidR="00654B52" w:rsidRPr="00654B52">
        <w:rPr>
          <w:sz w:val="23"/>
          <w:szCs w:val="23"/>
        </w:rPr>
        <w:t xml:space="preserve"> </w:t>
      </w:r>
      <w:r w:rsidR="00654B52">
        <w:rPr>
          <w:sz w:val="23"/>
          <w:szCs w:val="23"/>
        </w:rPr>
        <w:t xml:space="preserve">&amp; </w:t>
      </w:r>
      <w:r>
        <w:t>Tinsley, L. (</w:t>
      </w:r>
      <w:proofErr w:type="spellStart"/>
      <w:r>
        <w:t>Eds</w:t>
      </w:r>
      <w:proofErr w:type="spellEnd"/>
      <w:r>
        <w:t xml:space="preserve">): </w:t>
      </w:r>
      <w:r w:rsidRPr="009A5F6F">
        <w:rPr>
          <w:i/>
        </w:rPr>
        <w:t>Measuring different aspects of problem drug use: methodological developments</w:t>
      </w:r>
      <w:r>
        <w:t xml:space="preserve">. London: </w:t>
      </w:r>
      <w:r w:rsidRPr="004F6B72">
        <w:t>Home Office Online Report 16/06</w:t>
      </w:r>
      <w:r>
        <w:t>.</w:t>
      </w:r>
    </w:p>
    <w:p w:rsidR="0037297F" w:rsidRDefault="0037297F" w:rsidP="0045088D">
      <w:pPr>
        <w:autoSpaceDE w:val="0"/>
        <w:autoSpaceDN w:val="0"/>
        <w:adjustRightInd w:val="0"/>
        <w:spacing w:after="0" w:line="360" w:lineRule="auto"/>
        <w:ind w:left="0"/>
        <w:contextualSpacing/>
      </w:pPr>
    </w:p>
    <w:p w:rsidR="00123E22" w:rsidRPr="009A5F6F" w:rsidRDefault="0037297F" w:rsidP="0045088D">
      <w:pPr>
        <w:autoSpaceDE w:val="0"/>
        <w:autoSpaceDN w:val="0"/>
        <w:adjustRightInd w:val="0"/>
        <w:spacing w:after="0" w:line="360" w:lineRule="auto"/>
        <w:ind w:left="0"/>
        <w:contextualSpacing/>
        <w:rPr>
          <w:i/>
        </w:rPr>
      </w:pPr>
      <w:proofErr w:type="spellStart"/>
      <w:r w:rsidRPr="004F0253">
        <w:t>Havinga</w:t>
      </w:r>
      <w:proofErr w:type="spellEnd"/>
      <w:r w:rsidRPr="004F0253">
        <w:t xml:space="preserve">, P. &amp; Van der </w:t>
      </w:r>
      <w:proofErr w:type="spellStart"/>
      <w:r w:rsidRPr="004F0253">
        <w:t>Poel</w:t>
      </w:r>
      <w:proofErr w:type="spellEnd"/>
      <w:r w:rsidRPr="004F0253">
        <w:t xml:space="preserve">, A. (2011): </w:t>
      </w:r>
      <w:proofErr w:type="spellStart"/>
      <w:r w:rsidR="00B61F38" w:rsidRPr="009A5F6F">
        <w:rPr>
          <w:i/>
        </w:rPr>
        <w:t>Gebruiksruimten</w:t>
      </w:r>
      <w:proofErr w:type="spellEnd"/>
      <w:r w:rsidR="00B61F38" w:rsidRPr="009A5F6F">
        <w:rPr>
          <w:i/>
        </w:rPr>
        <w:t xml:space="preserve"> in Nederland; update van d </w:t>
      </w:r>
      <w:proofErr w:type="spellStart"/>
      <w:r w:rsidR="00B61F38" w:rsidRPr="009A5F6F">
        <w:rPr>
          <w:i/>
        </w:rPr>
        <w:t>handreiking</w:t>
      </w:r>
      <w:proofErr w:type="spellEnd"/>
      <w:r w:rsidR="009A5F6F" w:rsidRPr="009A5F6F">
        <w:rPr>
          <w:i/>
        </w:rPr>
        <w:t xml:space="preserve"> </w:t>
      </w:r>
      <w:proofErr w:type="spellStart"/>
      <w:r w:rsidR="009A5F6F" w:rsidRPr="009A5F6F">
        <w:rPr>
          <w:i/>
        </w:rPr>
        <w:t>bij</w:t>
      </w:r>
      <w:proofErr w:type="spellEnd"/>
      <w:r w:rsidR="009A5F6F" w:rsidRPr="009A5F6F">
        <w:rPr>
          <w:i/>
        </w:rPr>
        <w:t xml:space="preserve"> </w:t>
      </w:r>
      <w:proofErr w:type="spellStart"/>
      <w:r w:rsidR="009A5F6F" w:rsidRPr="009A5F6F">
        <w:rPr>
          <w:i/>
        </w:rPr>
        <w:t>organisatie</w:t>
      </w:r>
      <w:proofErr w:type="spellEnd"/>
      <w:r w:rsidR="009A5F6F" w:rsidRPr="009A5F6F">
        <w:rPr>
          <w:i/>
        </w:rPr>
        <w:t xml:space="preserve"> </w:t>
      </w:r>
      <w:proofErr w:type="spellStart"/>
      <w:r w:rsidR="009A5F6F" w:rsidRPr="009A5F6F">
        <w:rPr>
          <w:i/>
        </w:rPr>
        <w:t>en</w:t>
      </w:r>
      <w:proofErr w:type="spellEnd"/>
      <w:r w:rsidR="009A5F6F" w:rsidRPr="009A5F6F">
        <w:rPr>
          <w:i/>
        </w:rPr>
        <w:t xml:space="preserve"> </w:t>
      </w:r>
      <w:proofErr w:type="spellStart"/>
      <w:r w:rsidR="009A5F6F" w:rsidRPr="009A5F6F">
        <w:rPr>
          <w:i/>
        </w:rPr>
        <w:t>inrichting</w:t>
      </w:r>
      <w:proofErr w:type="spellEnd"/>
    </w:p>
    <w:p w:rsidR="0037297F" w:rsidRPr="004F0253" w:rsidRDefault="00FA5E3F" w:rsidP="0045088D">
      <w:pPr>
        <w:autoSpaceDE w:val="0"/>
        <w:autoSpaceDN w:val="0"/>
        <w:adjustRightInd w:val="0"/>
        <w:spacing w:after="0" w:line="360" w:lineRule="auto"/>
        <w:ind w:left="0"/>
        <w:contextualSpacing/>
      </w:pPr>
      <w:hyperlink r:id="rId14" w:history="1">
        <w:r w:rsidR="00B61F38" w:rsidRPr="004F0253">
          <w:rPr>
            <w:rStyle w:val="Hyperlink"/>
          </w:rPr>
          <w:t>http://www.trimbos.nl/webwinkel/productoverzicht-webwinkel/alcohol-en-drugs/af/~/media/files/inkijkexemplaren/af1051%20gebruiksruimten%20in%20nederland_web.ashx</w:t>
        </w:r>
      </w:hyperlink>
    </w:p>
    <w:p w:rsidR="00B61F38" w:rsidRPr="004F0253" w:rsidRDefault="00B61F38" w:rsidP="0045088D">
      <w:pPr>
        <w:autoSpaceDE w:val="0"/>
        <w:autoSpaceDN w:val="0"/>
        <w:adjustRightInd w:val="0"/>
        <w:spacing w:after="0" w:line="360" w:lineRule="auto"/>
        <w:ind w:left="0"/>
        <w:contextualSpacing/>
      </w:pPr>
    </w:p>
    <w:p w:rsidR="00123E22" w:rsidRPr="00294F94" w:rsidRDefault="00123E22" w:rsidP="0045088D">
      <w:pPr>
        <w:autoSpaceDE w:val="0"/>
        <w:autoSpaceDN w:val="0"/>
        <w:adjustRightInd w:val="0"/>
        <w:spacing w:after="0" w:line="360" w:lineRule="auto"/>
        <w:ind w:left="0"/>
        <w:contextualSpacing/>
        <w:rPr>
          <w:lang w:val="de-DE"/>
        </w:rPr>
      </w:pPr>
      <w:proofErr w:type="spellStart"/>
      <w:r>
        <w:t>Hedrich</w:t>
      </w:r>
      <w:proofErr w:type="spellEnd"/>
      <w:r>
        <w:t xml:space="preserve">, D. (2004). </w:t>
      </w:r>
      <w:proofErr w:type="gramStart"/>
      <w:r>
        <w:rPr>
          <w:i/>
        </w:rPr>
        <w:t>European Report on Drug Consumption Rooms</w:t>
      </w:r>
      <w:r>
        <w:t>.</w:t>
      </w:r>
      <w:proofErr w:type="gramEnd"/>
      <w:r>
        <w:t xml:space="preserve"> </w:t>
      </w:r>
      <w:r w:rsidR="008E535A" w:rsidRPr="00294F94">
        <w:rPr>
          <w:lang w:val="de-DE"/>
        </w:rPr>
        <w:t>Lisbon: EMCDDA.</w:t>
      </w:r>
    </w:p>
    <w:p w:rsidR="00123E22" w:rsidRPr="00294F94" w:rsidRDefault="00123E22" w:rsidP="0045088D">
      <w:pPr>
        <w:autoSpaceDE w:val="0"/>
        <w:autoSpaceDN w:val="0"/>
        <w:adjustRightInd w:val="0"/>
        <w:spacing w:after="0" w:line="360" w:lineRule="auto"/>
        <w:ind w:left="0"/>
        <w:contextualSpacing/>
        <w:rPr>
          <w:lang w:val="de-DE"/>
        </w:rPr>
      </w:pPr>
    </w:p>
    <w:p w:rsidR="00123E22" w:rsidRDefault="00654B52" w:rsidP="0045088D">
      <w:pPr>
        <w:autoSpaceDE w:val="0"/>
        <w:autoSpaceDN w:val="0"/>
        <w:adjustRightInd w:val="0"/>
        <w:spacing w:after="0" w:line="360" w:lineRule="auto"/>
        <w:ind w:left="0"/>
        <w:contextualSpacing/>
      </w:pPr>
      <w:r>
        <w:rPr>
          <w:lang w:val="de-DE"/>
        </w:rPr>
        <w:t>Hedrich, D., Kerr, T.</w:t>
      </w:r>
      <w:r w:rsidRPr="002825D3">
        <w:rPr>
          <w:sz w:val="23"/>
          <w:szCs w:val="23"/>
          <w:lang w:val="de-DE"/>
        </w:rPr>
        <w:t xml:space="preserve"> &amp; </w:t>
      </w:r>
      <w:r w:rsidR="0076257B" w:rsidRPr="004F0253">
        <w:rPr>
          <w:lang w:val="de-DE"/>
        </w:rPr>
        <w:t xml:space="preserve">Dubois-Arber, F. </w:t>
      </w:r>
      <w:r w:rsidR="0076257B" w:rsidRPr="0076257B">
        <w:rPr>
          <w:lang w:val="de-DE"/>
        </w:rPr>
        <w:t xml:space="preserve">(2010). </w:t>
      </w:r>
      <w:proofErr w:type="gramStart"/>
      <w:r w:rsidR="00123E22" w:rsidRPr="00123E22">
        <w:t>Drug consumption facilities in Europe and beyond</w:t>
      </w:r>
      <w:r w:rsidR="00123E22">
        <w:t>.</w:t>
      </w:r>
      <w:proofErr w:type="gramEnd"/>
      <w:r w:rsidR="00123E22">
        <w:t xml:space="preserve"> I</w:t>
      </w:r>
      <w:r w:rsidR="00123E22" w:rsidRPr="00123E22">
        <w:t>n Rh</w:t>
      </w:r>
      <w:r w:rsidR="00123E22">
        <w:t xml:space="preserve">odes, T. and </w:t>
      </w:r>
      <w:proofErr w:type="spellStart"/>
      <w:r w:rsidR="00123E22">
        <w:t>Hedrich</w:t>
      </w:r>
      <w:proofErr w:type="spellEnd"/>
      <w:r w:rsidR="00123E22">
        <w:t>, D. (</w:t>
      </w:r>
      <w:proofErr w:type="spellStart"/>
      <w:proofErr w:type="gramStart"/>
      <w:r w:rsidR="00123E22">
        <w:t>eds</w:t>
      </w:r>
      <w:proofErr w:type="spellEnd"/>
      <w:proofErr w:type="gramEnd"/>
      <w:r w:rsidR="00123E22">
        <w:t>):</w:t>
      </w:r>
      <w:r w:rsidR="00123E22" w:rsidRPr="00123E22">
        <w:t xml:space="preserve"> </w:t>
      </w:r>
      <w:hyperlink r:id="rId15" w:history="1">
        <w:r w:rsidR="00123E22" w:rsidRPr="00123E22">
          <w:rPr>
            <w:i/>
          </w:rPr>
          <w:t>Harm reduction: evidence and impacts</w:t>
        </w:r>
      </w:hyperlink>
      <w:r w:rsidR="00123E22">
        <w:t xml:space="preserve">, EMCDDA Monograph. Luxembourg: </w:t>
      </w:r>
      <w:r w:rsidR="00123E22" w:rsidRPr="00123E22">
        <w:t>Publications Office of the Europe</w:t>
      </w:r>
      <w:r w:rsidR="00123E22">
        <w:t>an Union</w:t>
      </w:r>
      <w:r w:rsidR="00123E22" w:rsidRPr="00123E22">
        <w:t>.</w:t>
      </w:r>
    </w:p>
    <w:p w:rsidR="00654B52" w:rsidRDefault="00654B52" w:rsidP="0045088D">
      <w:pPr>
        <w:autoSpaceDE w:val="0"/>
        <w:autoSpaceDN w:val="0"/>
        <w:adjustRightInd w:val="0"/>
        <w:spacing w:after="0" w:line="360" w:lineRule="auto"/>
        <w:ind w:left="0"/>
        <w:contextualSpacing/>
      </w:pPr>
    </w:p>
    <w:p w:rsidR="00363250" w:rsidRDefault="00654B52" w:rsidP="0045088D">
      <w:pPr>
        <w:autoSpaceDE w:val="0"/>
        <w:autoSpaceDN w:val="0"/>
        <w:adjustRightInd w:val="0"/>
        <w:spacing w:after="0" w:line="360" w:lineRule="auto"/>
        <w:ind w:left="0"/>
        <w:contextualSpacing/>
      </w:pPr>
      <w:r>
        <w:t xml:space="preserve">Hunt, N. </w:t>
      </w:r>
      <w:r>
        <w:rPr>
          <w:sz w:val="23"/>
          <w:szCs w:val="23"/>
        </w:rPr>
        <w:t xml:space="preserve">&amp; </w:t>
      </w:r>
      <w:r w:rsidR="00363250">
        <w:t xml:space="preserve">Lloyd, C. (2008). Drug consumption rooms: between evidence and opinion. In Stevens, A. (Ed.): </w:t>
      </w:r>
      <w:r w:rsidR="00363250" w:rsidRPr="00363250">
        <w:rPr>
          <w:i/>
        </w:rPr>
        <w:t xml:space="preserve">Crossing Frontiers. </w:t>
      </w:r>
      <w:proofErr w:type="gramStart"/>
      <w:r w:rsidR="00363250" w:rsidRPr="00363250">
        <w:rPr>
          <w:i/>
        </w:rPr>
        <w:t>International developments in the treatment of drug dependence.</w:t>
      </w:r>
      <w:proofErr w:type="gramEnd"/>
      <w:r w:rsidR="00363250">
        <w:t xml:space="preserve"> Brighton UK: Pavilion.</w:t>
      </w:r>
    </w:p>
    <w:p w:rsidR="007C4F7B" w:rsidRDefault="007C4F7B" w:rsidP="0045088D">
      <w:pPr>
        <w:autoSpaceDE w:val="0"/>
        <w:autoSpaceDN w:val="0"/>
        <w:adjustRightInd w:val="0"/>
        <w:spacing w:after="0" w:line="360" w:lineRule="auto"/>
        <w:ind w:left="0"/>
        <w:contextualSpacing/>
      </w:pPr>
    </w:p>
    <w:p w:rsidR="007C4F7B" w:rsidRDefault="007C4F7B" w:rsidP="0045088D">
      <w:pPr>
        <w:autoSpaceDE w:val="0"/>
        <w:autoSpaceDN w:val="0"/>
        <w:adjustRightInd w:val="0"/>
        <w:spacing w:after="0" w:line="360" w:lineRule="auto"/>
        <w:ind w:left="0"/>
        <w:contextualSpacing/>
      </w:pPr>
      <w:proofErr w:type="gramStart"/>
      <w:r>
        <w:t>Independent Drugs Commission for Brighton and Hove (2013).</w:t>
      </w:r>
      <w:proofErr w:type="gramEnd"/>
      <w:r>
        <w:t xml:space="preserve"> </w:t>
      </w:r>
      <w:proofErr w:type="gramStart"/>
      <w:r>
        <w:t>Report and Recommendations.</w:t>
      </w:r>
      <w:proofErr w:type="gramEnd"/>
      <w:r>
        <w:t xml:space="preserve"> Brighton: Safe in the city.</w:t>
      </w:r>
    </w:p>
    <w:p w:rsidR="00036EB9" w:rsidRDefault="00036EB9" w:rsidP="0045088D">
      <w:pPr>
        <w:autoSpaceDE w:val="0"/>
        <w:autoSpaceDN w:val="0"/>
        <w:adjustRightInd w:val="0"/>
        <w:spacing w:after="0" w:line="360" w:lineRule="auto"/>
        <w:ind w:left="0"/>
        <w:contextualSpacing/>
      </w:pPr>
    </w:p>
    <w:p w:rsidR="00036EB9" w:rsidRDefault="00036EB9" w:rsidP="0045088D">
      <w:pPr>
        <w:autoSpaceDE w:val="0"/>
        <w:autoSpaceDN w:val="0"/>
        <w:adjustRightInd w:val="0"/>
        <w:spacing w:after="0" w:line="360" w:lineRule="auto"/>
        <w:ind w:left="0"/>
        <w:contextualSpacing/>
      </w:pPr>
      <w:proofErr w:type="gramStart"/>
      <w:r>
        <w:t>Information Services Division (2011).</w:t>
      </w:r>
      <w:proofErr w:type="gramEnd"/>
      <w:r>
        <w:t xml:space="preserve"> Estimating the National and Local Prevalence of Problem Drug Use in Scotland in 2009/10. Edinburgh: ISD.</w:t>
      </w:r>
    </w:p>
    <w:p w:rsidR="00DF29B0" w:rsidRPr="002825D3" w:rsidRDefault="00DF29B0" w:rsidP="0045088D">
      <w:pPr>
        <w:autoSpaceDE w:val="0"/>
        <w:autoSpaceDN w:val="0"/>
        <w:adjustRightInd w:val="0"/>
        <w:spacing w:after="0" w:line="360" w:lineRule="auto"/>
        <w:ind w:left="0"/>
        <w:contextualSpacing/>
        <w:rPr>
          <w:lang w:val="de-DE"/>
        </w:rPr>
      </w:pPr>
      <w:proofErr w:type="gramStart"/>
      <w:r>
        <w:t>IWG (2006).</w:t>
      </w:r>
      <w:proofErr w:type="gramEnd"/>
      <w:r>
        <w:t xml:space="preserve"> </w:t>
      </w:r>
      <w:proofErr w:type="gramStart"/>
      <w:r>
        <w:rPr>
          <w:i/>
        </w:rPr>
        <w:t>Report of the Independent Working Group on Drug Consumption Rooms</w:t>
      </w:r>
      <w:r>
        <w:t>.</w:t>
      </w:r>
      <w:proofErr w:type="gramEnd"/>
      <w:r>
        <w:t xml:space="preserve"> </w:t>
      </w:r>
      <w:r w:rsidRPr="002825D3">
        <w:rPr>
          <w:lang w:val="de-DE"/>
        </w:rPr>
        <w:t>York UK: Joseph Rowntree Foundation.</w:t>
      </w:r>
    </w:p>
    <w:p w:rsidR="00373FF3" w:rsidRPr="002825D3" w:rsidRDefault="00373FF3" w:rsidP="0045088D">
      <w:pPr>
        <w:autoSpaceDE w:val="0"/>
        <w:autoSpaceDN w:val="0"/>
        <w:adjustRightInd w:val="0"/>
        <w:spacing w:after="0" w:line="360" w:lineRule="auto"/>
        <w:ind w:left="0"/>
        <w:contextualSpacing/>
        <w:rPr>
          <w:lang w:val="de-DE"/>
        </w:rPr>
      </w:pPr>
    </w:p>
    <w:p w:rsidR="00373FF3" w:rsidRPr="00654B52" w:rsidRDefault="00654B52" w:rsidP="0045088D">
      <w:pPr>
        <w:autoSpaceDE w:val="0"/>
        <w:autoSpaceDN w:val="0"/>
        <w:adjustRightInd w:val="0"/>
        <w:spacing w:after="0" w:line="360" w:lineRule="auto"/>
        <w:ind w:left="0"/>
        <w:contextualSpacing/>
        <w:rPr>
          <w:lang w:val="de-DE"/>
        </w:rPr>
      </w:pPr>
      <w:r>
        <w:rPr>
          <w:lang w:val="de-DE"/>
        </w:rPr>
        <w:t xml:space="preserve">Jacob, J., Rottmann, J. </w:t>
      </w:r>
      <w:r w:rsidRPr="002825D3">
        <w:rPr>
          <w:sz w:val="23"/>
          <w:szCs w:val="23"/>
          <w:lang w:val="de-DE"/>
        </w:rPr>
        <w:t xml:space="preserve">&amp; </w:t>
      </w:r>
      <w:r w:rsidR="00373FF3" w:rsidRPr="00E7002A">
        <w:rPr>
          <w:lang w:val="de-DE"/>
        </w:rPr>
        <w:t xml:space="preserve">Stöver, H. (1999): Entstehung und Praxis eines Gesundheitsraumangebotes für Drogenkonsumierende. </w:t>
      </w:r>
      <w:r w:rsidR="00373FF3">
        <w:rPr>
          <w:lang w:val="de-DE"/>
        </w:rPr>
        <w:t>Abschlußbericht der einjährigen Evaluation des „drop-in Fixpunkt“/Hannover. Oldenburg: BIS-Verlag.</w:t>
      </w:r>
    </w:p>
    <w:p w:rsidR="008761B2" w:rsidRPr="002825D3" w:rsidRDefault="008761B2" w:rsidP="0045088D">
      <w:pPr>
        <w:autoSpaceDE w:val="0"/>
        <w:autoSpaceDN w:val="0"/>
        <w:adjustRightInd w:val="0"/>
        <w:spacing w:after="0" w:line="360" w:lineRule="auto"/>
        <w:ind w:left="0"/>
        <w:contextualSpacing/>
        <w:rPr>
          <w:lang w:val="de-DE"/>
        </w:rPr>
      </w:pPr>
    </w:p>
    <w:p w:rsidR="008761B2" w:rsidRPr="004F0253" w:rsidRDefault="008761B2" w:rsidP="0045088D">
      <w:pPr>
        <w:autoSpaceDE w:val="0"/>
        <w:autoSpaceDN w:val="0"/>
        <w:adjustRightInd w:val="0"/>
        <w:spacing w:after="0" w:line="240" w:lineRule="auto"/>
        <w:ind w:left="0"/>
        <w:contextualSpacing/>
        <w:rPr>
          <w:lang w:val="de-DE"/>
        </w:rPr>
      </w:pPr>
      <w:proofErr w:type="spellStart"/>
      <w:r>
        <w:t>Kingdon</w:t>
      </w:r>
      <w:proofErr w:type="spellEnd"/>
      <w:r>
        <w:t>, J.W. (1995).</w:t>
      </w:r>
      <w:r w:rsidRPr="008761B2">
        <w:t xml:space="preserve"> </w:t>
      </w:r>
      <w:proofErr w:type="gramStart"/>
      <w:r w:rsidRPr="008761B2">
        <w:rPr>
          <w:i/>
        </w:rPr>
        <w:t>Agendas, alternatives, and public policies</w:t>
      </w:r>
      <w:r>
        <w:t>.</w:t>
      </w:r>
      <w:proofErr w:type="gramEnd"/>
      <w:r>
        <w:t xml:space="preserve"> </w:t>
      </w:r>
      <w:r w:rsidR="00CC1526" w:rsidRPr="004F0253">
        <w:rPr>
          <w:lang w:val="de-DE"/>
        </w:rPr>
        <w:t>New York: HarperCollins</w:t>
      </w:r>
      <w:r w:rsidRPr="004F0253">
        <w:rPr>
          <w:lang w:val="de-DE"/>
        </w:rPr>
        <w:t>.</w:t>
      </w:r>
    </w:p>
    <w:p w:rsidR="00493C00" w:rsidRPr="004F0253" w:rsidRDefault="00493C00" w:rsidP="0045088D">
      <w:pPr>
        <w:autoSpaceDE w:val="0"/>
        <w:autoSpaceDN w:val="0"/>
        <w:adjustRightInd w:val="0"/>
        <w:spacing w:after="0" w:line="360" w:lineRule="auto"/>
        <w:ind w:left="0"/>
        <w:contextualSpacing/>
        <w:rPr>
          <w:lang w:val="de-DE"/>
        </w:rPr>
      </w:pPr>
    </w:p>
    <w:p w:rsidR="004B50DA" w:rsidRPr="00294F94" w:rsidRDefault="004B50DA" w:rsidP="0045088D">
      <w:pPr>
        <w:ind w:left="0"/>
        <w:contextualSpacing/>
        <w:jc w:val="both"/>
        <w:rPr>
          <w:lang w:val="en-US"/>
        </w:rPr>
      </w:pPr>
      <w:r w:rsidRPr="008C656A">
        <w:rPr>
          <w:lang w:val="de-DE"/>
        </w:rPr>
        <w:t>Körner, Dr. H.H.,</w:t>
      </w:r>
      <w:r>
        <w:rPr>
          <w:lang w:val="de-DE"/>
        </w:rPr>
        <w:t xml:space="preserve"> (1993):</w:t>
      </w:r>
      <w:r w:rsidRPr="008C656A">
        <w:rPr>
          <w:lang w:val="de-DE"/>
        </w:rPr>
        <w:t xml:space="preserve"> </w:t>
      </w:r>
      <w:r w:rsidRPr="009A5F6F">
        <w:rPr>
          <w:i/>
          <w:lang w:val="de-DE"/>
        </w:rPr>
        <w:t>Strafrechtliches Gutachten zur Zulässigkeit von Gesundheitsräumen für den hygienischen und stressfreien Konsum von Opiatabhängigen</w:t>
      </w:r>
      <w:r w:rsidRPr="008C656A">
        <w:rPr>
          <w:lang w:val="de-DE"/>
        </w:rPr>
        <w:t xml:space="preserve">. </w:t>
      </w:r>
      <w:r w:rsidR="008E535A" w:rsidRPr="00294F94">
        <w:rPr>
          <w:lang w:val="en-US"/>
        </w:rPr>
        <w:t xml:space="preserve">Frankfurt </w:t>
      </w:r>
      <w:proofErr w:type="gramStart"/>
      <w:r w:rsidR="008E535A" w:rsidRPr="00294F94">
        <w:rPr>
          <w:lang w:val="en-US"/>
        </w:rPr>
        <w:t>am</w:t>
      </w:r>
      <w:proofErr w:type="gramEnd"/>
      <w:r w:rsidR="008E535A" w:rsidRPr="00294F94">
        <w:rPr>
          <w:lang w:val="en-US"/>
        </w:rPr>
        <w:t xml:space="preserve"> Main, Mai 1993</w:t>
      </w:r>
    </w:p>
    <w:p w:rsidR="0045088D" w:rsidRPr="00294F94" w:rsidRDefault="0045088D" w:rsidP="0045088D">
      <w:pPr>
        <w:ind w:left="0"/>
        <w:contextualSpacing/>
        <w:jc w:val="both"/>
        <w:rPr>
          <w:lang w:val="en-US"/>
        </w:rPr>
      </w:pPr>
    </w:p>
    <w:p w:rsidR="004B50DA" w:rsidRDefault="00DC75F0" w:rsidP="0045088D">
      <w:pPr>
        <w:ind w:left="0"/>
        <w:contextualSpacing/>
        <w:jc w:val="both"/>
        <w:rPr>
          <w:lang w:val="de-DE"/>
        </w:rPr>
      </w:pPr>
      <w:r w:rsidRPr="004F0253">
        <w:rPr>
          <w:lang w:val="en-US"/>
        </w:rPr>
        <w:t xml:space="preserve">Lloyd, C. (2010). </w:t>
      </w:r>
      <w:r w:rsidRPr="004F0253">
        <w:rPr>
          <w:i/>
          <w:lang w:val="en-US"/>
        </w:rPr>
        <w:t xml:space="preserve">Sinning and Sinned Against: The </w:t>
      </w:r>
      <w:proofErr w:type="spellStart"/>
      <w:r w:rsidRPr="004F0253">
        <w:rPr>
          <w:i/>
          <w:lang w:val="en-US"/>
        </w:rPr>
        <w:t>stigmatisation</w:t>
      </w:r>
      <w:proofErr w:type="spellEnd"/>
      <w:r w:rsidRPr="004F0253">
        <w:rPr>
          <w:i/>
          <w:lang w:val="en-US"/>
        </w:rPr>
        <w:t xml:space="preserve"> of problem drug users.</w:t>
      </w:r>
      <w:r w:rsidRPr="004F0253">
        <w:rPr>
          <w:lang w:val="en-US"/>
        </w:rPr>
        <w:t xml:space="preserve"> </w:t>
      </w:r>
      <w:r>
        <w:rPr>
          <w:lang w:val="de-DE"/>
        </w:rPr>
        <w:t>London: UKDPC.</w:t>
      </w:r>
    </w:p>
    <w:p w:rsidR="008C61D7" w:rsidRPr="00294F94" w:rsidRDefault="008E535A" w:rsidP="0045088D">
      <w:pPr>
        <w:pStyle w:val="Default"/>
        <w:contextualSpacing/>
        <w:rPr>
          <w:rFonts w:ascii="Arial" w:hAnsi="Arial" w:cstheme="minorBidi"/>
          <w:color w:val="auto"/>
          <w:szCs w:val="22"/>
        </w:rPr>
      </w:pPr>
      <w:r w:rsidRPr="00294F94">
        <w:rPr>
          <w:rFonts w:ascii="Arial" w:hAnsi="Arial" w:cstheme="minorBidi"/>
          <w:color w:val="auto"/>
          <w:szCs w:val="22"/>
        </w:rPr>
        <w:t>Paritätischer Wohlfahrtsverband Landesverband Bayern e.V. (2010:  Diskussionspapier zur Einführung von</w:t>
      </w:r>
      <w:r w:rsidRPr="00294F94">
        <w:rPr>
          <w:rFonts w:cstheme="minorBidi"/>
          <w:color w:val="auto"/>
          <w:szCs w:val="22"/>
        </w:rPr>
        <w:t xml:space="preserve"> </w:t>
      </w:r>
      <w:r w:rsidRPr="00294F94">
        <w:rPr>
          <w:rFonts w:ascii="Arial" w:hAnsi="Arial" w:cstheme="minorBidi"/>
          <w:color w:val="auto"/>
          <w:szCs w:val="22"/>
        </w:rPr>
        <w:t xml:space="preserve">Drogenkonsumräumen in Bayern. Sozialpolitische Positionen. </w:t>
      </w:r>
    </w:p>
    <w:p w:rsidR="008C61D7" w:rsidRPr="00294F94" w:rsidRDefault="008E535A" w:rsidP="0045088D">
      <w:pPr>
        <w:pStyle w:val="Default"/>
        <w:contextualSpacing/>
        <w:rPr>
          <w:rFonts w:ascii="Arial" w:hAnsi="Arial" w:cstheme="minorBidi"/>
          <w:color w:val="auto"/>
          <w:szCs w:val="22"/>
        </w:rPr>
      </w:pPr>
      <w:r w:rsidRPr="00294F94">
        <w:rPr>
          <w:rFonts w:ascii="Arial" w:hAnsi="Arial" w:cstheme="minorBidi"/>
          <w:color w:val="auto"/>
          <w:szCs w:val="22"/>
        </w:rPr>
        <w:t>http://www.ris-muenchen.de/RII2/RII/DOK/SITZUNGSVORLAGE/2124748.pdf</w:t>
      </w:r>
    </w:p>
    <w:p w:rsidR="008C61D7" w:rsidRPr="008C656A" w:rsidRDefault="008C61D7" w:rsidP="0045088D">
      <w:pPr>
        <w:autoSpaceDE w:val="0"/>
        <w:autoSpaceDN w:val="0"/>
        <w:adjustRightInd w:val="0"/>
        <w:spacing w:after="0" w:line="360" w:lineRule="auto"/>
        <w:ind w:left="0"/>
        <w:contextualSpacing/>
        <w:rPr>
          <w:rStyle w:val="A4"/>
          <w:lang w:val="de-DE"/>
        </w:rPr>
      </w:pPr>
    </w:p>
    <w:p w:rsidR="002E50D5" w:rsidRPr="00294F94" w:rsidRDefault="002E50D5" w:rsidP="0045088D">
      <w:pPr>
        <w:autoSpaceDE w:val="0"/>
        <w:autoSpaceDN w:val="0"/>
        <w:adjustRightInd w:val="0"/>
        <w:spacing w:after="0" w:line="360" w:lineRule="auto"/>
        <w:ind w:left="0"/>
        <w:contextualSpacing/>
        <w:rPr>
          <w:lang w:val="de-DE"/>
        </w:rPr>
      </w:pPr>
      <w:proofErr w:type="spellStart"/>
      <w:r>
        <w:t>Peacy</w:t>
      </w:r>
      <w:proofErr w:type="spellEnd"/>
      <w:r>
        <w:t xml:space="preserve">, J. (2014): </w:t>
      </w:r>
      <w:r w:rsidRPr="009A5F6F">
        <w:rPr>
          <w:i/>
        </w:rPr>
        <w:t xml:space="preserve">Drug Consumption Rooms in Europe. </w:t>
      </w:r>
      <w:proofErr w:type="gramStart"/>
      <w:r w:rsidRPr="009A5F6F">
        <w:rPr>
          <w:i/>
        </w:rPr>
        <w:t xml:space="preserve">Client experience survey in Amsterdam and </w:t>
      </w:r>
      <w:r w:rsidR="00F57205" w:rsidRPr="009A5F6F">
        <w:rPr>
          <w:i/>
        </w:rPr>
        <w:t>R</w:t>
      </w:r>
      <w:r w:rsidRPr="009A5F6F">
        <w:rPr>
          <w:i/>
        </w:rPr>
        <w:t>otterdam</w:t>
      </w:r>
      <w:r>
        <w:t>.</w:t>
      </w:r>
      <w:proofErr w:type="gramEnd"/>
      <w:r>
        <w:t xml:space="preserve"> </w:t>
      </w:r>
      <w:r w:rsidR="008E535A" w:rsidRPr="00294F94">
        <w:rPr>
          <w:lang w:val="de-DE"/>
        </w:rPr>
        <w:t>Regenboog Group, Correlation Network</w:t>
      </w:r>
    </w:p>
    <w:p w:rsidR="002E50D5" w:rsidRPr="00294F94" w:rsidRDefault="002E50D5" w:rsidP="0045088D">
      <w:pPr>
        <w:autoSpaceDE w:val="0"/>
        <w:autoSpaceDN w:val="0"/>
        <w:adjustRightInd w:val="0"/>
        <w:spacing w:after="0" w:line="360" w:lineRule="auto"/>
        <w:ind w:left="0"/>
        <w:contextualSpacing/>
        <w:rPr>
          <w:lang w:val="de-DE"/>
        </w:rPr>
      </w:pPr>
    </w:p>
    <w:p w:rsidR="003A1AED" w:rsidRPr="008C656A" w:rsidRDefault="004F0253" w:rsidP="0045088D">
      <w:pPr>
        <w:autoSpaceDE w:val="0"/>
        <w:autoSpaceDN w:val="0"/>
        <w:adjustRightInd w:val="0"/>
        <w:spacing w:after="0" w:line="240" w:lineRule="auto"/>
        <w:ind w:left="0"/>
        <w:contextualSpacing/>
        <w:rPr>
          <w:lang w:val="de-DE"/>
        </w:rPr>
      </w:pPr>
      <w:r>
        <w:rPr>
          <w:rFonts w:ascii="ArialMT" w:hAnsi="ArialMT" w:cs="ArialMT"/>
          <w:sz w:val="22"/>
          <w:lang w:val="de-DE"/>
        </w:rPr>
        <w:t xml:space="preserve">Pfeiffer-Gerschel, T.; </w:t>
      </w:r>
      <w:r w:rsidR="003A1AED">
        <w:rPr>
          <w:rFonts w:ascii="ArialMT" w:hAnsi="ArialMT" w:cs="ArialMT"/>
          <w:sz w:val="22"/>
          <w:lang w:val="de-DE"/>
        </w:rPr>
        <w:t xml:space="preserve">Kipke, I.; Flöter, S. &amp; Jakob, L. (2013): </w:t>
      </w:r>
      <w:r w:rsidR="003A1AED" w:rsidRPr="008C656A">
        <w:rPr>
          <w:lang w:val="de-DE"/>
        </w:rPr>
        <w:t>Bericht 2013 des nationalen REITOX-Knotenpunkts an die EBDD Neue Entwicklungen und Trends</w:t>
      </w:r>
      <w:r w:rsidR="003A1AED">
        <w:rPr>
          <w:lang w:val="de-DE"/>
        </w:rPr>
        <w:t>. EMCDDA und DBDD</w:t>
      </w:r>
    </w:p>
    <w:p w:rsidR="003A1AED" w:rsidRDefault="00FA5E3F" w:rsidP="0045088D">
      <w:pPr>
        <w:autoSpaceDE w:val="0"/>
        <w:autoSpaceDN w:val="0"/>
        <w:adjustRightInd w:val="0"/>
        <w:spacing w:after="0" w:line="360" w:lineRule="auto"/>
        <w:ind w:left="0"/>
        <w:contextualSpacing/>
        <w:rPr>
          <w:lang w:val="de-DE"/>
        </w:rPr>
      </w:pPr>
      <w:hyperlink r:id="rId16" w:history="1">
        <w:r w:rsidR="003A1AED" w:rsidRPr="001953C2">
          <w:rPr>
            <w:rStyle w:val="Hyperlink"/>
            <w:lang w:val="de-DE"/>
          </w:rPr>
          <w:t>http://drogenbeauftragte.de/fileadmin/dateien-dba/DrogenundSucht/Illegale_Drogen/Heroin_andere/Downloads/reitox_report_2013_germany_dt.pdf</w:t>
        </w:r>
      </w:hyperlink>
    </w:p>
    <w:p w:rsidR="003A1AED" w:rsidRPr="008C656A" w:rsidRDefault="003A1AED" w:rsidP="0045088D">
      <w:pPr>
        <w:autoSpaceDE w:val="0"/>
        <w:autoSpaceDN w:val="0"/>
        <w:adjustRightInd w:val="0"/>
        <w:spacing w:after="0" w:line="360" w:lineRule="auto"/>
        <w:ind w:left="0"/>
        <w:contextualSpacing/>
        <w:rPr>
          <w:lang w:val="de-DE"/>
        </w:rPr>
      </w:pPr>
    </w:p>
    <w:p w:rsidR="00493C00" w:rsidRDefault="00493C00" w:rsidP="0045088D">
      <w:pPr>
        <w:autoSpaceDE w:val="0"/>
        <w:autoSpaceDN w:val="0"/>
        <w:adjustRightInd w:val="0"/>
        <w:spacing w:after="0" w:line="360" w:lineRule="auto"/>
        <w:ind w:left="0"/>
        <w:contextualSpacing/>
      </w:pPr>
      <w:proofErr w:type="gramStart"/>
      <w:r>
        <w:t>Population Reference Bureau (2012).</w:t>
      </w:r>
      <w:proofErr w:type="gramEnd"/>
      <w:r>
        <w:t xml:space="preserve"> </w:t>
      </w:r>
      <w:proofErr w:type="gramStart"/>
      <w:r>
        <w:t>2012 World Population Data Sheet.</w:t>
      </w:r>
      <w:proofErr w:type="gramEnd"/>
      <w:r>
        <w:t xml:space="preserve"> Washington D.C.: PRB.</w:t>
      </w:r>
    </w:p>
    <w:p w:rsidR="00DF29B0" w:rsidRDefault="00DF29B0" w:rsidP="0045088D">
      <w:pPr>
        <w:autoSpaceDE w:val="0"/>
        <w:autoSpaceDN w:val="0"/>
        <w:adjustRightInd w:val="0"/>
        <w:spacing w:after="0" w:line="360" w:lineRule="auto"/>
        <w:ind w:left="0"/>
        <w:contextualSpacing/>
      </w:pPr>
    </w:p>
    <w:p w:rsidR="006B5C3D" w:rsidRDefault="0076257B" w:rsidP="0045088D">
      <w:pPr>
        <w:autoSpaceDE w:val="0"/>
        <w:autoSpaceDN w:val="0"/>
        <w:adjustRightInd w:val="0"/>
        <w:spacing w:after="0" w:line="360" w:lineRule="auto"/>
        <w:ind w:left="0"/>
        <w:contextualSpacing/>
      </w:pPr>
      <w:proofErr w:type="spellStart"/>
      <w:r w:rsidRPr="008C656A">
        <w:rPr>
          <w:lang w:val="en-US"/>
        </w:rPr>
        <w:lastRenderedPageBreak/>
        <w:t>Reinarman</w:t>
      </w:r>
      <w:proofErr w:type="spellEnd"/>
      <w:r w:rsidRPr="008C656A">
        <w:rPr>
          <w:lang w:val="en-US"/>
        </w:rPr>
        <w:t xml:space="preserve">, C. (1997). The social construction of drug scares. </w:t>
      </w:r>
      <w:r w:rsidR="00654B52">
        <w:t xml:space="preserve">In: Adler, P.A. </w:t>
      </w:r>
      <w:r w:rsidR="00654B52">
        <w:rPr>
          <w:sz w:val="23"/>
          <w:szCs w:val="23"/>
        </w:rPr>
        <w:t xml:space="preserve">&amp; </w:t>
      </w:r>
      <w:r w:rsidR="006B5C3D" w:rsidRPr="006B5C3D">
        <w:t>Adler,</w:t>
      </w:r>
      <w:r w:rsidR="006B5C3D">
        <w:t xml:space="preserve"> </w:t>
      </w:r>
      <w:r w:rsidR="006B5C3D" w:rsidRPr="006B5C3D">
        <w:t>P. (</w:t>
      </w:r>
      <w:proofErr w:type="spellStart"/>
      <w:proofErr w:type="gramStart"/>
      <w:r w:rsidR="006B5C3D" w:rsidRPr="006B5C3D">
        <w:t>eds</w:t>
      </w:r>
      <w:proofErr w:type="spellEnd"/>
      <w:proofErr w:type="gramEnd"/>
      <w:r w:rsidR="006B5C3D" w:rsidRPr="006B5C3D">
        <w:t xml:space="preserve">). </w:t>
      </w:r>
      <w:proofErr w:type="gramStart"/>
      <w:r w:rsidR="006B5C3D" w:rsidRPr="006B5C3D">
        <w:rPr>
          <w:i/>
        </w:rPr>
        <w:t>Constructions of Deviance</w:t>
      </w:r>
      <w:r w:rsidR="006B5C3D" w:rsidRPr="006B5C3D">
        <w:t>.</w:t>
      </w:r>
      <w:proofErr w:type="gramEnd"/>
      <w:r w:rsidR="006B5C3D" w:rsidRPr="006B5C3D">
        <w:t xml:space="preserve"> Belmont, CA: Wadsworth.</w:t>
      </w:r>
    </w:p>
    <w:p w:rsidR="00F71F5B" w:rsidRDefault="00F71F5B" w:rsidP="0045088D">
      <w:pPr>
        <w:autoSpaceDE w:val="0"/>
        <w:autoSpaceDN w:val="0"/>
        <w:adjustRightInd w:val="0"/>
        <w:spacing w:after="0" w:line="360" w:lineRule="auto"/>
        <w:ind w:left="0"/>
        <w:contextualSpacing/>
      </w:pPr>
    </w:p>
    <w:p w:rsidR="00F71F5B" w:rsidRDefault="00654B52" w:rsidP="0045088D">
      <w:pPr>
        <w:autoSpaceDE w:val="0"/>
        <w:autoSpaceDN w:val="0"/>
        <w:adjustRightInd w:val="0"/>
        <w:spacing w:after="0" w:line="360" w:lineRule="auto"/>
        <w:ind w:left="0"/>
        <w:contextualSpacing/>
        <w:rPr>
          <w:lang w:val="de-DE"/>
        </w:rPr>
      </w:pPr>
      <w:proofErr w:type="gramStart"/>
      <w:r>
        <w:t xml:space="preserve">Ritter, A. </w:t>
      </w:r>
      <w:r>
        <w:rPr>
          <w:sz w:val="23"/>
          <w:szCs w:val="23"/>
        </w:rPr>
        <w:t xml:space="preserve">&amp; </w:t>
      </w:r>
      <w:proofErr w:type="spellStart"/>
      <w:r w:rsidR="00F71F5B">
        <w:t>Bammer</w:t>
      </w:r>
      <w:proofErr w:type="spellEnd"/>
      <w:r w:rsidR="00F71F5B">
        <w:t>, G. (2010).</w:t>
      </w:r>
      <w:proofErr w:type="gramEnd"/>
      <w:r w:rsidR="00F71F5B">
        <w:t xml:space="preserve"> </w:t>
      </w:r>
      <w:proofErr w:type="gramStart"/>
      <w:r w:rsidR="00F71F5B">
        <w:t>Models of policy-making and their relevance for drug research.</w:t>
      </w:r>
      <w:proofErr w:type="gramEnd"/>
      <w:r w:rsidR="00F71F5B">
        <w:t xml:space="preserve"> </w:t>
      </w:r>
      <w:r w:rsidR="00F71F5B" w:rsidRPr="004F0253">
        <w:rPr>
          <w:i/>
          <w:lang w:val="de-DE"/>
        </w:rPr>
        <w:t>Drug and Alcohol Review</w:t>
      </w:r>
      <w:r w:rsidR="00F71F5B" w:rsidRPr="004F0253">
        <w:rPr>
          <w:lang w:val="de-DE"/>
        </w:rPr>
        <w:t>, 29, p.352-357.</w:t>
      </w:r>
    </w:p>
    <w:p w:rsidR="00116BCF" w:rsidRDefault="00116BCF" w:rsidP="0045088D">
      <w:pPr>
        <w:autoSpaceDE w:val="0"/>
        <w:autoSpaceDN w:val="0"/>
        <w:adjustRightInd w:val="0"/>
        <w:spacing w:after="0" w:line="360" w:lineRule="auto"/>
        <w:ind w:left="0"/>
        <w:contextualSpacing/>
        <w:rPr>
          <w:lang w:val="de-DE"/>
        </w:rPr>
      </w:pPr>
    </w:p>
    <w:p w:rsidR="00116BCF" w:rsidRPr="00505676" w:rsidRDefault="00654B52" w:rsidP="00116BCF">
      <w:pPr>
        <w:pStyle w:val="Default"/>
        <w:rPr>
          <w:lang w:val="en-US"/>
        </w:rPr>
      </w:pPr>
      <w:proofErr w:type="spellStart"/>
      <w:r>
        <w:rPr>
          <w:lang w:val="en-US"/>
        </w:rPr>
        <w:t>Schäffer</w:t>
      </w:r>
      <w:proofErr w:type="spellEnd"/>
      <w:r>
        <w:rPr>
          <w:lang w:val="en-US"/>
        </w:rPr>
        <w:t xml:space="preserve">, D., Stöver, </w:t>
      </w:r>
      <w:proofErr w:type="gramStart"/>
      <w:r>
        <w:rPr>
          <w:lang w:val="en-US"/>
        </w:rPr>
        <w:t>H</w:t>
      </w:r>
      <w:proofErr w:type="gramEnd"/>
      <w:r>
        <w:rPr>
          <w:lang w:val="en-US"/>
        </w:rPr>
        <w:t xml:space="preserve">. </w:t>
      </w:r>
      <w:r w:rsidRPr="002825D3">
        <w:rPr>
          <w:sz w:val="23"/>
          <w:szCs w:val="23"/>
          <w:lang w:val="en-US"/>
        </w:rPr>
        <w:t xml:space="preserve">&amp; </w:t>
      </w:r>
      <w:r w:rsidR="00116BCF" w:rsidRPr="00505676">
        <w:rPr>
          <w:lang w:val="en-US"/>
        </w:rPr>
        <w:t>Weichert, L. (2014</w:t>
      </w:r>
      <w:r w:rsidR="00116BCF" w:rsidRPr="00294F94">
        <w:rPr>
          <w:rFonts w:ascii="Arial" w:hAnsi="Arial" w:cstheme="minorBidi"/>
          <w:color w:val="auto"/>
          <w:szCs w:val="22"/>
          <w:lang w:val="en-GB"/>
        </w:rPr>
        <w:t xml:space="preserve">):  Drug consumption rooms in Europe. </w:t>
      </w:r>
      <w:proofErr w:type="gramStart"/>
      <w:r w:rsidR="00116BCF" w:rsidRPr="00294F94">
        <w:rPr>
          <w:rFonts w:ascii="Arial" w:hAnsi="Arial" w:cstheme="minorBidi"/>
          <w:color w:val="auto"/>
          <w:szCs w:val="22"/>
          <w:lang w:val="en-GB"/>
        </w:rPr>
        <w:t>Models, best practice and challenges.</w:t>
      </w:r>
      <w:proofErr w:type="gramEnd"/>
      <w:r w:rsidR="00116BCF" w:rsidRPr="00294F94">
        <w:rPr>
          <w:rFonts w:ascii="Arial" w:hAnsi="Arial" w:cstheme="minorBidi"/>
          <w:color w:val="auto"/>
          <w:szCs w:val="22"/>
          <w:lang w:val="en-GB"/>
        </w:rPr>
        <w:t xml:space="preserve"> http://idhdp.com/media/399959/drug-consumption-in-europe-final-2014-1.pdf</w:t>
      </w:r>
    </w:p>
    <w:p w:rsidR="00116BCF" w:rsidRPr="002825D3" w:rsidRDefault="00116BCF" w:rsidP="0045088D">
      <w:pPr>
        <w:autoSpaceDE w:val="0"/>
        <w:autoSpaceDN w:val="0"/>
        <w:adjustRightInd w:val="0"/>
        <w:spacing w:after="0" w:line="360" w:lineRule="auto"/>
        <w:ind w:left="0"/>
        <w:contextualSpacing/>
        <w:rPr>
          <w:lang w:val="en-US"/>
        </w:rPr>
      </w:pPr>
    </w:p>
    <w:p w:rsidR="009F3793" w:rsidRPr="002825D3" w:rsidRDefault="009F3793" w:rsidP="009F3793">
      <w:pPr>
        <w:pStyle w:val="Default"/>
        <w:rPr>
          <w:rFonts w:ascii="Arial" w:hAnsi="Arial" w:cstheme="minorBidi"/>
          <w:color w:val="auto"/>
          <w:szCs w:val="22"/>
        </w:rPr>
      </w:pPr>
      <w:proofErr w:type="gramStart"/>
      <w:r w:rsidRPr="00294F94">
        <w:rPr>
          <w:rFonts w:ascii="Arial" w:hAnsi="Arial" w:cstheme="minorBidi"/>
          <w:color w:val="auto"/>
          <w:szCs w:val="22"/>
          <w:lang w:val="en-US"/>
        </w:rPr>
        <w:t>Schatz</w:t>
      </w:r>
      <w:r w:rsidR="00654B52">
        <w:rPr>
          <w:rFonts w:ascii="Arial" w:hAnsi="Arial" w:cstheme="minorBidi"/>
          <w:color w:val="auto"/>
          <w:szCs w:val="22"/>
          <w:lang w:val="en-US"/>
        </w:rPr>
        <w:t xml:space="preserve">, E. </w:t>
      </w:r>
      <w:r w:rsidR="00654B52" w:rsidRPr="002825D3">
        <w:rPr>
          <w:sz w:val="23"/>
          <w:szCs w:val="23"/>
          <w:lang w:val="en-US"/>
        </w:rPr>
        <w:t xml:space="preserve">&amp; </w:t>
      </w:r>
      <w:proofErr w:type="spellStart"/>
      <w:r w:rsidRPr="00294F94">
        <w:rPr>
          <w:rFonts w:ascii="Arial" w:hAnsi="Arial" w:cstheme="minorBidi"/>
          <w:color w:val="auto"/>
          <w:szCs w:val="22"/>
          <w:lang w:val="en-US"/>
        </w:rPr>
        <w:t>Nougier</w:t>
      </w:r>
      <w:proofErr w:type="spellEnd"/>
      <w:r>
        <w:rPr>
          <w:rFonts w:ascii="Arial" w:hAnsi="Arial" w:cstheme="minorBidi"/>
          <w:color w:val="auto"/>
          <w:szCs w:val="22"/>
          <w:lang w:val="en-US"/>
        </w:rPr>
        <w:t>, M.</w:t>
      </w:r>
      <w:r w:rsidRPr="00294F94">
        <w:rPr>
          <w:rFonts w:ascii="Arial" w:hAnsi="Arial" w:cstheme="minorBidi"/>
          <w:color w:val="auto"/>
          <w:szCs w:val="22"/>
          <w:lang w:val="en-US"/>
        </w:rPr>
        <w:t xml:space="preserve"> (2012).</w:t>
      </w:r>
      <w:proofErr w:type="gramEnd"/>
      <w:r w:rsidRPr="00294F94">
        <w:rPr>
          <w:rFonts w:ascii="Arial" w:hAnsi="Arial" w:cstheme="minorBidi"/>
          <w:color w:val="auto"/>
          <w:szCs w:val="22"/>
          <w:lang w:val="en-US"/>
        </w:rPr>
        <w:t xml:space="preserve"> Drug consumption rooms - Evidence and practice. </w:t>
      </w:r>
      <w:r w:rsidRPr="002825D3">
        <w:rPr>
          <w:rFonts w:ascii="Arial" w:hAnsi="Arial" w:cstheme="minorBidi"/>
          <w:color w:val="auto"/>
          <w:szCs w:val="22"/>
        </w:rPr>
        <w:t>IDPC Briefing Paper</w:t>
      </w:r>
    </w:p>
    <w:p w:rsidR="009F3793" w:rsidRPr="002825D3" w:rsidRDefault="009F3793" w:rsidP="009F3793">
      <w:pPr>
        <w:pStyle w:val="Default"/>
        <w:rPr>
          <w:rFonts w:ascii="Arial" w:hAnsi="Arial" w:cstheme="minorBidi"/>
          <w:color w:val="auto"/>
          <w:szCs w:val="22"/>
        </w:rPr>
      </w:pPr>
      <w:r w:rsidRPr="002825D3">
        <w:rPr>
          <w:rFonts w:ascii="Arial" w:hAnsi="Arial" w:cstheme="minorBidi"/>
          <w:color w:val="auto"/>
          <w:szCs w:val="22"/>
        </w:rPr>
        <w:t>http://www.drugsandalcohol.ie/17898/1/IDPC-Briefing-Paper_Drug-consumption-rooms.pdf</w:t>
      </w:r>
    </w:p>
    <w:p w:rsidR="00DF29B0" w:rsidRPr="004F0253" w:rsidRDefault="00DF29B0" w:rsidP="0045088D">
      <w:pPr>
        <w:autoSpaceDE w:val="0"/>
        <w:autoSpaceDN w:val="0"/>
        <w:adjustRightInd w:val="0"/>
        <w:spacing w:after="0" w:line="360" w:lineRule="auto"/>
        <w:ind w:left="0"/>
        <w:contextualSpacing/>
        <w:rPr>
          <w:lang w:val="de-DE"/>
        </w:rPr>
      </w:pPr>
    </w:p>
    <w:p w:rsidR="00164D7C" w:rsidRDefault="00827268" w:rsidP="0045088D">
      <w:pPr>
        <w:autoSpaceDE w:val="0"/>
        <w:autoSpaceDN w:val="0"/>
        <w:adjustRightInd w:val="0"/>
        <w:spacing w:after="0" w:line="360" w:lineRule="auto"/>
        <w:ind w:left="0"/>
        <w:contextualSpacing/>
        <w:rPr>
          <w:rFonts w:cs="Arial"/>
          <w:lang w:val="de-DE"/>
        </w:rPr>
      </w:pPr>
      <w:r>
        <w:rPr>
          <w:rFonts w:cs="Arial"/>
          <w:lang w:val="de-DE"/>
        </w:rPr>
        <w:t xml:space="preserve">Schuller, K. &amp; </w:t>
      </w:r>
      <w:r w:rsidRPr="008C656A">
        <w:rPr>
          <w:lang w:val="de-DE"/>
        </w:rPr>
        <w:t>Stöver</w:t>
      </w:r>
      <w:r>
        <w:rPr>
          <w:rFonts w:cs="Arial"/>
          <w:lang w:val="de-DE"/>
        </w:rPr>
        <w:t>, H (1989)</w:t>
      </w:r>
      <w:r w:rsidR="00164D7C" w:rsidRPr="008C656A">
        <w:rPr>
          <w:rFonts w:cs="Arial"/>
          <w:b/>
          <w:lang w:val="de-DE"/>
        </w:rPr>
        <w:t>.</w:t>
      </w:r>
      <w:r>
        <w:rPr>
          <w:rFonts w:cs="Arial"/>
          <w:lang w:val="de-DE"/>
        </w:rPr>
        <w:t xml:space="preserve"> </w:t>
      </w:r>
      <w:r w:rsidR="00164D7C" w:rsidRPr="008C656A">
        <w:rPr>
          <w:rFonts w:cs="Arial"/>
          <w:lang w:val="de-DE"/>
        </w:rPr>
        <w:t xml:space="preserve">Die Zugänglichkeit zu sterilem Spritzbesteck. Modelle der HIV-Prävention für i.v. Drogengebraucher im internationalen Vergleich. In: Deutsche AIDS-Hilfe (Hrsg.): </w:t>
      </w:r>
      <w:r w:rsidR="00164D7C" w:rsidRPr="009A5F6F">
        <w:rPr>
          <w:rFonts w:cs="Arial"/>
          <w:i/>
          <w:lang w:val="de-DE"/>
        </w:rPr>
        <w:t>AIDS und Drogen</w:t>
      </w:r>
      <w:r w:rsidR="00164D7C" w:rsidRPr="008C656A">
        <w:rPr>
          <w:rFonts w:cs="Arial"/>
          <w:lang w:val="de-DE"/>
        </w:rPr>
        <w:t xml:space="preserve"> - DAH-Forum, Bd. III, 2. Aufl., Berlin 1989, 144 S.</w:t>
      </w:r>
    </w:p>
    <w:p w:rsidR="00164D7C" w:rsidRDefault="00164D7C" w:rsidP="0045088D">
      <w:pPr>
        <w:autoSpaceDE w:val="0"/>
        <w:autoSpaceDN w:val="0"/>
        <w:adjustRightInd w:val="0"/>
        <w:spacing w:after="0" w:line="360" w:lineRule="auto"/>
        <w:ind w:left="0"/>
        <w:contextualSpacing/>
        <w:rPr>
          <w:rFonts w:cs="Arial"/>
          <w:lang w:val="de-DE"/>
        </w:rPr>
      </w:pPr>
    </w:p>
    <w:p w:rsidR="00164D7C" w:rsidRDefault="00164D7C" w:rsidP="0045088D">
      <w:pPr>
        <w:autoSpaceDE w:val="0"/>
        <w:autoSpaceDN w:val="0"/>
        <w:adjustRightInd w:val="0"/>
        <w:spacing w:after="0" w:line="360" w:lineRule="auto"/>
        <w:ind w:left="0"/>
        <w:contextualSpacing/>
        <w:rPr>
          <w:rFonts w:cs="Arial"/>
          <w:lang w:val="de-DE"/>
        </w:rPr>
      </w:pPr>
      <w:r w:rsidRPr="008C656A">
        <w:rPr>
          <w:lang w:val="de-DE"/>
        </w:rPr>
        <w:t xml:space="preserve">Stöver, H. (1991): </w:t>
      </w:r>
      <w:r w:rsidRPr="009A5F6F">
        <w:rPr>
          <w:rFonts w:cs="Arial"/>
          <w:i/>
          <w:lang w:val="de-DE"/>
        </w:rPr>
        <w:t>Der tolerierte intravenöse Drogengebrauch in den Angeboten der Drogen- und AIDS-Hilfe</w:t>
      </w:r>
      <w:r w:rsidRPr="008C656A">
        <w:rPr>
          <w:rFonts w:cs="Arial"/>
          <w:lang w:val="de-DE"/>
        </w:rPr>
        <w:t>. AIDS-Forum der Deutschen AIDS-Hilfe, Bd. VI, Berlin, 1991, 144 S.</w:t>
      </w:r>
    </w:p>
    <w:p w:rsidR="0045088D" w:rsidRPr="008C656A" w:rsidRDefault="0045088D" w:rsidP="0045088D">
      <w:pPr>
        <w:autoSpaceDE w:val="0"/>
        <w:autoSpaceDN w:val="0"/>
        <w:adjustRightInd w:val="0"/>
        <w:spacing w:after="0" w:line="360" w:lineRule="auto"/>
        <w:ind w:left="0"/>
        <w:contextualSpacing/>
        <w:rPr>
          <w:lang w:val="de-DE"/>
        </w:rPr>
      </w:pPr>
    </w:p>
    <w:p w:rsidR="00DF29B0" w:rsidRDefault="005E1598" w:rsidP="0045088D">
      <w:pPr>
        <w:autoSpaceDE w:val="0"/>
        <w:autoSpaceDN w:val="0"/>
        <w:adjustRightInd w:val="0"/>
        <w:spacing w:before="120" w:line="360" w:lineRule="auto"/>
        <w:ind w:left="0"/>
        <w:contextualSpacing/>
      </w:pPr>
      <w:r w:rsidRPr="005E1598">
        <w:t>Stöver, H. (2002): Consumption Rooms: A Middle Ground betwee</w:t>
      </w:r>
      <w:r w:rsidR="00DF29B0">
        <w:t>n Health and P</w:t>
      </w:r>
      <w:r w:rsidRPr="005E1598">
        <w:t xml:space="preserve">ublic Order Concerns. </w:t>
      </w:r>
      <w:r w:rsidRPr="009A5F6F">
        <w:rPr>
          <w:i/>
        </w:rPr>
        <w:t>Journal of Drug Issues</w:t>
      </w:r>
      <w:r w:rsidRPr="005E1598">
        <w:t xml:space="preserve">, Vol. 32, No. 2, </w:t>
      </w:r>
      <w:proofErr w:type="gramStart"/>
      <w:r w:rsidRPr="005E1598">
        <w:t>Spring</w:t>
      </w:r>
      <w:proofErr w:type="gramEnd"/>
      <w:r w:rsidRPr="005E1598">
        <w:t xml:space="preserve"> 2002, pp. 597-606.</w:t>
      </w:r>
    </w:p>
    <w:p w:rsidR="0045088D" w:rsidRDefault="0045088D" w:rsidP="0045088D">
      <w:pPr>
        <w:autoSpaceDE w:val="0"/>
        <w:autoSpaceDN w:val="0"/>
        <w:adjustRightInd w:val="0"/>
        <w:spacing w:before="120" w:line="360" w:lineRule="auto"/>
        <w:ind w:left="0"/>
        <w:contextualSpacing/>
      </w:pPr>
    </w:p>
    <w:p w:rsidR="004D6BCD" w:rsidRPr="005E1598" w:rsidRDefault="004D6BCD" w:rsidP="0045088D">
      <w:pPr>
        <w:autoSpaceDE w:val="0"/>
        <w:autoSpaceDN w:val="0"/>
        <w:adjustRightInd w:val="0"/>
        <w:spacing w:before="120" w:line="360" w:lineRule="auto"/>
        <w:ind w:left="0"/>
        <w:contextualSpacing/>
      </w:pPr>
      <w:r>
        <w:t xml:space="preserve">Woods, S. (2014): Drug Consumption Rooms in Europe. </w:t>
      </w:r>
      <w:proofErr w:type="gramStart"/>
      <w:r>
        <w:t>Organisational overview.</w:t>
      </w:r>
      <w:proofErr w:type="gramEnd"/>
      <w:r>
        <w:t xml:space="preserve"> </w:t>
      </w:r>
      <w:proofErr w:type="spellStart"/>
      <w:r>
        <w:t>Regenboog</w:t>
      </w:r>
      <w:proofErr w:type="spellEnd"/>
      <w:r>
        <w:t xml:space="preserve"> Group, Correlation Network</w:t>
      </w:r>
    </w:p>
    <w:p w:rsidR="00EE74C1" w:rsidRDefault="00EE74C1" w:rsidP="0045088D">
      <w:pPr>
        <w:autoSpaceDE w:val="0"/>
        <w:autoSpaceDN w:val="0"/>
        <w:adjustRightInd w:val="0"/>
        <w:spacing w:before="120" w:line="360" w:lineRule="auto"/>
        <w:ind w:left="0"/>
        <w:contextualSpacing/>
      </w:pPr>
    </w:p>
    <w:p w:rsidR="00EE74C1" w:rsidRDefault="00827268" w:rsidP="0045088D">
      <w:pPr>
        <w:autoSpaceDE w:val="0"/>
        <w:autoSpaceDN w:val="0"/>
        <w:adjustRightInd w:val="0"/>
        <w:spacing w:before="120" w:line="360" w:lineRule="auto"/>
        <w:ind w:left="0"/>
        <w:contextualSpacing/>
      </w:pPr>
      <w:r>
        <w:rPr>
          <w:lang w:val="de-DE"/>
        </w:rPr>
        <w:t>ZEUS (</w:t>
      </w:r>
      <w:r w:rsidR="00EE74C1" w:rsidRPr="008C656A">
        <w:rPr>
          <w:lang w:val="de-DE"/>
        </w:rPr>
        <w:t>Zentrums für angewandte Psychologie-, Umwelt- und Sozialforschung</w:t>
      </w:r>
      <w:r>
        <w:rPr>
          <w:lang w:val="de-DE"/>
        </w:rPr>
        <w:t xml:space="preserve">) </w:t>
      </w:r>
      <w:r w:rsidR="00EE74C1" w:rsidRPr="008C656A">
        <w:rPr>
          <w:lang w:val="de-DE"/>
        </w:rPr>
        <w:t xml:space="preserve">(2002):  Evaluation der Arbeit der Drogenkonsumräume in der Bundesrepublik Deutschland. </w:t>
      </w:r>
      <w:r w:rsidR="00EE74C1">
        <w:rPr>
          <w:lang w:val="de-DE"/>
        </w:rPr>
        <w:t xml:space="preserve">Bearbeitet von: </w:t>
      </w:r>
      <w:r w:rsidR="00EE74C1" w:rsidRPr="008C656A">
        <w:rPr>
          <w:lang w:val="de-DE"/>
        </w:rPr>
        <w:t>Sebastian Poschadel, Rainer Höger, Jens Schnitzler, Dr. Dirk Schreckenberg</w:t>
      </w:r>
      <w:r w:rsidR="00EE74C1">
        <w:rPr>
          <w:lang w:val="de-DE"/>
        </w:rPr>
        <w:t xml:space="preserve">. In: </w:t>
      </w:r>
      <w:r w:rsidR="00EE74C1" w:rsidRPr="008C656A">
        <w:rPr>
          <w:lang w:val="de-DE"/>
        </w:rPr>
        <w:t xml:space="preserve">Bundesministeriums für Gesundheit und Soziale Sicherheit (BMGS) </w:t>
      </w:r>
      <w:r w:rsidR="00EE74C1">
        <w:rPr>
          <w:lang w:val="de-DE"/>
        </w:rPr>
        <w:t xml:space="preserve">- </w:t>
      </w:r>
      <w:r w:rsidR="00EE74C1" w:rsidRPr="008C656A">
        <w:rPr>
          <w:lang w:val="de-DE"/>
        </w:rPr>
        <w:t>Band 149 der Schriftenreihe des BMGS</w:t>
      </w:r>
      <w:r w:rsidR="00EE74C1">
        <w:rPr>
          <w:lang w:val="de-DE"/>
        </w:rPr>
        <w:t xml:space="preserve">. </w:t>
      </w:r>
      <w:r w:rsidR="00EE74C1" w:rsidRPr="004F0253">
        <w:rPr>
          <w:lang w:val="en-US"/>
        </w:rPr>
        <w:t>NOMOS-</w:t>
      </w:r>
      <w:proofErr w:type="spellStart"/>
      <w:r w:rsidR="00EE74C1" w:rsidRPr="004F0253">
        <w:rPr>
          <w:lang w:val="en-US"/>
        </w:rPr>
        <w:t>Verlag</w:t>
      </w:r>
      <w:proofErr w:type="spellEnd"/>
    </w:p>
    <w:p w:rsidR="0045088D" w:rsidRPr="0045088D" w:rsidRDefault="0045088D" w:rsidP="0045088D">
      <w:pPr>
        <w:autoSpaceDE w:val="0"/>
        <w:autoSpaceDN w:val="0"/>
        <w:adjustRightInd w:val="0"/>
        <w:spacing w:before="120" w:line="360" w:lineRule="auto"/>
        <w:ind w:left="0"/>
        <w:contextualSpacing/>
      </w:pPr>
    </w:p>
    <w:p w:rsidR="005E1598" w:rsidRPr="004F6B72" w:rsidRDefault="005E1598" w:rsidP="009A5F6F">
      <w:pPr>
        <w:autoSpaceDE w:val="0"/>
        <w:autoSpaceDN w:val="0"/>
        <w:adjustRightInd w:val="0"/>
        <w:spacing w:before="120" w:line="360" w:lineRule="auto"/>
        <w:ind w:left="0"/>
        <w:contextualSpacing/>
      </w:pPr>
      <w:proofErr w:type="spellStart"/>
      <w:r w:rsidRPr="005E1598">
        <w:t>Zurhold</w:t>
      </w:r>
      <w:proofErr w:type="spellEnd"/>
      <w:r w:rsidRPr="005E1598">
        <w:t>, H.,</w:t>
      </w:r>
      <w:r w:rsidR="00827268">
        <w:t xml:space="preserve"> Degkwitz, P., </w:t>
      </w:r>
      <w:proofErr w:type="spellStart"/>
      <w:r w:rsidR="00827268">
        <w:t>Verthein</w:t>
      </w:r>
      <w:proofErr w:type="spellEnd"/>
      <w:r w:rsidR="00827268">
        <w:t xml:space="preserve">, U. &amp; </w:t>
      </w:r>
      <w:proofErr w:type="spellStart"/>
      <w:r w:rsidRPr="005E1598">
        <w:t>Haasen</w:t>
      </w:r>
      <w:proofErr w:type="spellEnd"/>
      <w:r w:rsidRPr="005E1598">
        <w:t xml:space="preserve">, C. (2003) Drug consumption rooms in Hamburg, Germany: evaluation of the effects on harm reduction and the reduction of public nuisance. </w:t>
      </w:r>
      <w:r w:rsidRPr="005E1598">
        <w:rPr>
          <w:i/>
        </w:rPr>
        <w:t>Journal of Drug Issues</w:t>
      </w:r>
      <w:r>
        <w:rPr>
          <w:i/>
        </w:rPr>
        <w:t>,</w:t>
      </w:r>
      <w:r w:rsidRPr="005E1598">
        <w:t xml:space="preserve"> 33, 663–688.</w:t>
      </w:r>
    </w:p>
    <w:sectPr w:rsidR="005E1598" w:rsidRPr="004F6B72" w:rsidSect="003264D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FE6" w:rsidRDefault="00775FE6" w:rsidP="006631C3">
      <w:pPr>
        <w:spacing w:after="0" w:line="240" w:lineRule="auto"/>
      </w:pPr>
      <w:r>
        <w:separator/>
      </w:r>
    </w:p>
  </w:endnote>
  <w:endnote w:type="continuationSeparator" w:id="0">
    <w:p w:rsidR="00775FE6" w:rsidRDefault="00775FE6" w:rsidP="00663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kzidenz Grotesk BE Bold">
    <w:altName w:val="Akzidenz Grotesk BE 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kzidenz-Grotesk BQ Light">
    <w:altName w:val="Akzidenz-Grotesk BQ Light"/>
    <w:panose1 w:val="00000000000000000000"/>
    <w:charset w:val="00"/>
    <w:family w:val="swiss"/>
    <w:notTrueType/>
    <w:pitch w:val="default"/>
    <w:sig w:usb0="00000003" w:usb1="00000000" w:usb2="00000000" w:usb3="00000000" w:csb0="00000001" w:csb1="00000000"/>
  </w:font>
  <w:font w:name="Myriad Pro">
    <w:altName w:val="Arial"/>
    <w:panose1 w:val="00000000000000000000"/>
    <w:charset w:val="00"/>
    <w:family w:val="swiss"/>
    <w:notTrueType/>
    <w:pitch w:val="variable"/>
    <w:sig w:usb0="00000001" w:usb1="00000001" w:usb2="00000000" w:usb3="00000000" w:csb0="0000019F" w:csb1="00000000"/>
  </w:font>
  <w:font w:name="Akzidenz-Grotesk Next Bold">
    <w:altName w:val="Akzidenz-Grotesk Next Bold"/>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FE6" w:rsidRDefault="00775FE6" w:rsidP="006631C3">
      <w:pPr>
        <w:spacing w:after="0" w:line="240" w:lineRule="auto"/>
      </w:pPr>
      <w:r>
        <w:separator/>
      </w:r>
    </w:p>
  </w:footnote>
  <w:footnote w:type="continuationSeparator" w:id="0">
    <w:p w:rsidR="00775FE6" w:rsidRDefault="00775FE6" w:rsidP="006631C3">
      <w:pPr>
        <w:spacing w:after="0" w:line="240" w:lineRule="auto"/>
      </w:pPr>
      <w:r>
        <w:continuationSeparator/>
      </w:r>
    </w:p>
  </w:footnote>
  <w:footnote w:id="1">
    <w:p w:rsidR="006829FD" w:rsidRDefault="006829FD">
      <w:pPr>
        <w:pStyle w:val="FootnoteText"/>
      </w:pPr>
      <w:r>
        <w:rPr>
          <w:rStyle w:val="FootnoteReference"/>
        </w:rPr>
        <w:footnoteRef/>
      </w:r>
      <w:r>
        <w:t xml:space="preserve"> </w:t>
      </w:r>
      <w:proofErr w:type="gramStart"/>
      <w:r>
        <w:t>Defined by EMCDDA as ‘injecting drug use or long duration/regular use of opioids, cocaine and/or amphetamines’ (EMCDDA, 2007).</w:t>
      </w:r>
      <w:proofErr w:type="gramEnd"/>
    </w:p>
  </w:footnote>
  <w:footnote w:id="2">
    <w:p w:rsidR="006829FD" w:rsidRDefault="006829FD">
      <w:pPr>
        <w:pStyle w:val="FootnoteText"/>
      </w:pPr>
      <w:r>
        <w:rPr>
          <w:rStyle w:val="FootnoteReference"/>
        </w:rPr>
        <w:footnoteRef/>
      </w:r>
      <w:r>
        <w:t xml:space="preserve"> In quoting these figures, we do not wish to gloss over the considerable difficulties involved in comparing such rates, given non-standard methodologies across countries. However, to our knowledge, they are the best data available.</w:t>
      </w:r>
    </w:p>
  </w:footnote>
  <w:footnote w:id="3">
    <w:p w:rsidR="006829FD" w:rsidRDefault="006829FD">
      <w:pPr>
        <w:pStyle w:val="FootnoteText"/>
      </w:pPr>
      <w:r>
        <w:rPr>
          <w:rStyle w:val="FootnoteReference"/>
        </w:rPr>
        <w:footnoteRef/>
      </w:r>
      <w:r>
        <w:t xml:space="preserve"> The Home Affairs Select Committee</w:t>
      </w:r>
      <w:r w:rsidRPr="00405E04">
        <w:rPr>
          <w:rFonts w:cs="Arial"/>
        </w:rPr>
        <w:t xml:space="preserve"> </w:t>
      </w:r>
      <w:r>
        <w:rPr>
          <w:rFonts w:cs="Arial"/>
        </w:rPr>
        <w:t>is a</w:t>
      </w:r>
      <w:r w:rsidRPr="00CC513C">
        <w:rPr>
          <w:rFonts w:cs="Arial"/>
        </w:rPr>
        <w:t xml:space="preserve"> cross-party group of politicians charged with examining aspects of Home Affairs policy</w:t>
      </w:r>
    </w:p>
  </w:footnote>
  <w:footnote w:id="4">
    <w:p w:rsidR="006829FD" w:rsidRDefault="006829FD">
      <w:pPr>
        <w:pStyle w:val="FootnoteText"/>
      </w:pPr>
      <w:r>
        <w:rPr>
          <w:rStyle w:val="FootnoteReference"/>
        </w:rPr>
        <w:footnoteRef/>
      </w:r>
      <w:r>
        <w:t xml:space="preserve"> Why Switzerland was selected in this way is not immediately clear: DCRs were also operating in a number of other countries including Germany and the Netherlands.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C58AA"/>
    <w:multiLevelType w:val="hybridMultilevel"/>
    <w:tmpl w:val="EACAE644"/>
    <w:lvl w:ilvl="0" w:tplc="492220A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2CEA526C"/>
    <w:multiLevelType w:val="hybridMultilevel"/>
    <w:tmpl w:val="6DAA705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EFC"/>
    <w:rsid w:val="000250AD"/>
    <w:rsid w:val="0003119D"/>
    <w:rsid w:val="00036EB9"/>
    <w:rsid w:val="000414D9"/>
    <w:rsid w:val="00047149"/>
    <w:rsid w:val="00073A2B"/>
    <w:rsid w:val="00080B00"/>
    <w:rsid w:val="00093352"/>
    <w:rsid w:val="00094BAD"/>
    <w:rsid w:val="000A7341"/>
    <w:rsid w:val="000B63FA"/>
    <w:rsid w:val="000B7AEC"/>
    <w:rsid w:val="000E4B4B"/>
    <w:rsid w:val="000E6061"/>
    <w:rsid w:val="00103134"/>
    <w:rsid w:val="001134E8"/>
    <w:rsid w:val="0011498E"/>
    <w:rsid w:val="00116BCF"/>
    <w:rsid w:val="00123E22"/>
    <w:rsid w:val="00131E53"/>
    <w:rsid w:val="00132824"/>
    <w:rsid w:val="00151FA6"/>
    <w:rsid w:val="00164D7C"/>
    <w:rsid w:val="0017392A"/>
    <w:rsid w:val="00177A49"/>
    <w:rsid w:val="00192F4C"/>
    <w:rsid w:val="001A2DBC"/>
    <w:rsid w:val="001C6D2B"/>
    <w:rsid w:val="001D16AC"/>
    <w:rsid w:val="001E6361"/>
    <w:rsid w:val="001F3637"/>
    <w:rsid w:val="0021366C"/>
    <w:rsid w:val="0022426E"/>
    <w:rsid w:val="00224D3C"/>
    <w:rsid w:val="00227792"/>
    <w:rsid w:val="00230169"/>
    <w:rsid w:val="0024701B"/>
    <w:rsid w:val="00257FC2"/>
    <w:rsid w:val="00275606"/>
    <w:rsid w:val="002825D3"/>
    <w:rsid w:val="00286EFC"/>
    <w:rsid w:val="00294F94"/>
    <w:rsid w:val="002C083E"/>
    <w:rsid w:val="002C4E5E"/>
    <w:rsid w:val="002C4F6E"/>
    <w:rsid w:val="002E00AE"/>
    <w:rsid w:val="002E50D5"/>
    <w:rsid w:val="00301437"/>
    <w:rsid w:val="0031200F"/>
    <w:rsid w:val="00314C03"/>
    <w:rsid w:val="003162DB"/>
    <w:rsid w:val="003264DF"/>
    <w:rsid w:val="00352B19"/>
    <w:rsid w:val="00363250"/>
    <w:rsid w:val="003673D3"/>
    <w:rsid w:val="0037297F"/>
    <w:rsid w:val="00373FF3"/>
    <w:rsid w:val="0039382A"/>
    <w:rsid w:val="003A1AED"/>
    <w:rsid w:val="003A2FE8"/>
    <w:rsid w:val="003A30CB"/>
    <w:rsid w:val="003B1D34"/>
    <w:rsid w:val="003D5B33"/>
    <w:rsid w:val="00403E74"/>
    <w:rsid w:val="00405E04"/>
    <w:rsid w:val="004069F5"/>
    <w:rsid w:val="004073C0"/>
    <w:rsid w:val="00417827"/>
    <w:rsid w:val="0045088D"/>
    <w:rsid w:val="0045796F"/>
    <w:rsid w:val="00460884"/>
    <w:rsid w:val="004636B7"/>
    <w:rsid w:val="004766EE"/>
    <w:rsid w:val="00480576"/>
    <w:rsid w:val="0048232D"/>
    <w:rsid w:val="00493C00"/>
    <w:rsid w:val="004A3C72"/>
    <w:rsid w:val="004B50DA"/>
    <w:rsid w:val="004B6C4F"/>
    <w:rsid w:val="004D6BCD"/>
    <w:rsid w:val="004F0253"/>
    <w:rsid w:val="004F6B72"/>
    <w:rsid w:val="00504F2A"/>
    <w:rsid w:val="0051078B"/>
    <w:rsid w:val="00511F02"/>
    <w:rsid w:val="00524207"/>
    <w:rsid w:val="00540BFB"/>
    <w:rsid w:val="00542437"/>
    <w:rsid w:val="00557578"/>
    <w:rsid w:val="0055760B"/>
    <w:rsid w:val="00567A59"/>
    <w:rsid w:val="00583A65"/>
    <w:rsid w:val="00583E4E"/>
    <w:rsid w:val="00591FC5"/>
    <w:rsid w:val="0059769F"/>
    <w:rsid w:val="005A1DA7"/>
    <w:rsid w:val="005B248C"/>
    <w:rsid w:val="005B43F9"/>
    <w:rsid w:val="005C51C1"/>
    <w:rsid w:val="005C74CD"/>
    <w:rsid w:val="005E1598"/>
    <w:rsid w:val="005F0C84"/>
    <w:rsid w:val="0060386E"/>
    <w:rsid w:val="00621326"/>
    <w:rsid w:val="00654B52"/>
    <w:rsid w:val="006631C3"/>
    <w:rsid w:val="00673B84"/>
    <w:rsid w:val="00680CB1"/>
    <w:rsid w:val="006829FD"/>
    <w:rsid w:val="00682F3D"/>
    <w:rsid w:val="00685C33"/>
    <w:rsid w:val="006B5C3D"/>
    <w:rsid w:val="006C311B"/>
    <w:rsid w:val="006C4D9F"/>
    <w:rsid w:val="006D3C64"/>
    <w:rsid w:val="006D4AAA"/>
    <w:rsid w:val="006F66D8"/>
    <w:rsid w:val="0071797F"/>
    <w:rsid w:val="0076257B"/>
    <w:rsid w:val="00775FE6"/>
    <w:rsid w:val="00783365"/>
    <w:rsid w:val="00796F3F"/>
    <w:rsid w:val="007A51D6"/>
    <w:rsid w:val="007A55C6"/>
    <w:rsid w:val="007B738E"/>
    <w:rsid w:val="007C3CFE"/>
    <w:rsid w:val="007C4F7B"/>
    <w:rsid w:val="007D45E9"/>
    <w:rsid w:val="00816522"/>
    <w:rsid w:val="00827268"/>
    <w:rsid w:val="008513CE"/>
    <w:rsid w:val="00870856"/>
    <w:rsid w:val="00874F56"/>
    <w:rsid w:val="008761B2"/>
    <w:rsid w:val="00882E4B"/>
    <w:rsid w:val="00892BFD"/>
    <w:rsid w:val="008A42E9"/>
    <w:rsid w:val="008B5179"/>
    <w:rsid w:val="008C61D7"/>
    <w:rsid w:val="008C656A"/>
    <w:rsid w:val="008C673F"/>
    <w:rsid w:val="008C724B"/>
    <w:rsid w:val="008D4E6C"/>
    <w:rsid w:val="008E535A"/>
    <w:rsid w:val="008F00B3"/>
    <w:rsid w:val="00903FAD"/>
    <w:rsid w:val="0090414D"/>
    <w:rsid w:val="00905F33"/>
    <w:rsid w:val="00922DD3"/>
    <w:rsid w:val="009273C9"/>
    <w:rsid w:val="009324DA"/>
    <w:rsid w:val="009475BC"/>
    <w:rsid w:val="0096612D"/>
    <w:rsid w:val="00975557"/>
    <w:rsid w:val="0098491D"/>
    <w:rsid w:val="009A5F6F"/>
    <w:rsid w:val="009B461B"/>
    <w:rsid w:val="009B5130"/>
    <w:rsid w:val="009B5D8D"/>
    <w:rsid w:val="009D3489"/>
    <w:rsid w:val="009D5F91"/>
    <w:rsid w:val="009D7830"/>
    <w:rsid w:val="009E0F6B"/>
    <w:rsid w:val="009F19EC"/>
    <w:rsid w:val="009F3793"/>
    <w:rsid w:val="00A03D85"/>
    <w:rsid w:val="00A307F6"/>
    <w:rsid w:val="00A31A8D"/>
    <w:rsid w:val="00A32E77"/>
    <w:rsid w:val="00A36BC4"/>
    <w:rsid w:val="00A43679"/>
    <w:rsid w:val="00A43CC4"/>
    <w:rsid w:val="00A5130A"/>
    <w:rsid w:val="00A52757"/>
    <w:rsid w:val="00A5344F"/>
    <w:rsid w:val="00A671F1"/>
    <w:rsid w:val="00A67927"/>
    <w:rsid w:val="00A771E7"/>
    <w:rsid w:val="00A819C0"/>
    <w:rsid w:val="00AA1E27"/>
    <w:rsid w:val="00AC0726"/>
    <w:rsid w:val="00AC66FD"/>
    <w:rsid w:val="00AD7BE2"/>
    <w:rsid w:val="00AE50E7"/>
    <w:rsid w:val="00AE6FD9"/>
    <w:rsid w:val="00B2025D"/>
    <w:rsid w:val="00B221D1"/>
    <w:rsid w:val="00B24322"/>
    <w:rsid w:val="00B472AE"/>
    <w:rsid w:val="00B50DC3"/>
    <w:rsid w:val="00B54B23"/>
    <w:rsid w:val="00B561FF"/>
    <w:rsid w:val="00B61F38"/>
    <w:rsid w:val="00B75F68"/>
    <w:rsid w:val="00B97B80"/>
    <w:rsid w:val="00BA259B"/>
    <w:rsid w:val="00BB0E31"/>
    <w:rsid w:val="00BB1819"/>
    <w:rsid w:val="00BB3244"/>
    <w:rsid w:val="00BC5932"/>
    <w:rsid w:val="00BE6B1A"/>
    <w:rsid w:val="00C07BD4"/>
    <w:rsid w:val="00C23A4D"/>
    <w:rsid w:val="00C24B4E"/>
    <w:rsid w:val="00C46C3C"/>
    <w:rsid w:val="00C81654"/>
    <w:rsid w:val="00C903F7"/>
    <w:rsid w:val="00C9207E"/>
    <w:rsid w:val="00C97E45"/>
    <w:rsid w:val="00CA2C05"/>
    <w:rsid w:val="00CA659F"/>
    <w:rsid w:val="00CB13C6"/>
    <w:rsid w:val="00CB2816"/>
    <w:rsid w:val="00CB5433"/>
    <w:rsid w:val="00CC1124"/>
    <w:rsid w:val="00CC1526"/>
    <w:rsid w:val="00CE43B9"/>
    <w:rsid w:val="00CE68DE"/>
    <w:rsid w:val="00CF0A3D"/>
    <w:rsid w:val="00D1349D"/>
    <w:rsid w:val="00D27FEC"/>
    <w:rsid w:val="00D373C4"/>
    <w:rsid w:val="00D41BAF"/>
    <w:rsid w:val="00D47A0B"/>
    <w:rsid w:val="00D62E38"/>
    <w:rsid w:val="00D90715"/>
    <w:rsid w:val="00DB3A79"/>
    <w:rsid w:val="00DB739C"/>
    <w:rsid w:val="00DC75F0"/>
    <w:rsid w:val="00DD5AB4"/>
    <w:rsid w:val="00DD7883"/>
    <w:rsid w:val="00DF2333"/>
    <w:rsid w:val="00DF29B0"/>
    <w:rsid w:val="00DF730C"/>
    <w:rsid w:val="00E00FA2"/>
    <w:rsid w:val="00E17A6F"/>
    <w:rsid w:val="00E21FD0"/>
    <w:rsid w:val="00E402B1"/>
    <w:rsid w:val="00E639A9"/>
    <w:rsid w:val="00E67EE0"/>
    <w:rsid w:val="00E70168"/>
    <w:rsid w:val="00E9120F"/>
    <w:rsid w:val="00E9527C"/>
    <w:rsid w:val="00EB1DE2"/>
    <w:rsid w:val="00EC6E31"/>
    <w:rsid w:val="00ED528C"/>
    <w:rsid w:val="00EE5624"/>
    <w:rsid w:val="00EE74C1"/>
    <w:rsid w:val="00EF07E3"/>
    <w:rsid w:val="00F07400"/>
    <w:rsid w:val="00F17DE4"/>
    <w:rsid w:val="00F57205"/>
    <w:rsid w:val="00F577E8"/>
    <w:rsid w:val="00F71F5B"/>
    <w:rsid w:val="00F73714"/>
    <w:rsid w:val="00F74A4D"/>
    <w:rsid w:val="00F802D3"/>
    <w:rsid w:val="00FA3408"/>
    <w:rsid w:val="00FA5E3F"/>
    <w:rsid w:val="00FB06B9"/>
    <w:rsid w:val="00FB3359"/>
    <w:rsid w:val="00FB65B2"/>
    <w:rsid w:val="00FB7822"/>
    <w:rsid w:val="00FC1058"/>
    <w:rsid w:val="00FE27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DE4"/>
    <w:rPr>
      <w:rFonts w:ascii="Arial" w:hAnsi="Arial"/>
      <w:sz w:val="24"/>
    </w:rPr>
  </w:style>
  <w:style w:type="paragraph" w:styleId="Heading1">
    <w:name w:val="heading 1"/>
    <w:basedOn w:val="Normal"/>
    <w:next w:val="Normal"/>
    <w:link w:val="Heading1Char"/>
    <w:qFormat/>
    <w:rsid w:val="005E1598"/>
    <w:pPr>
      <w:keepNext/>
      <w:autoSpaceDE w:val="0"/>
      <w:autoSpaceDN w:val="0"/>
      <w:spacing w:after="0" w:line="240" w:lineRule="auto"/>
      <w:ind w:left="0"/>
      <w:outlineLvl w:val="0"/>
    </w:pPr>
    <w:rPr>
      <w:rFonts w:ascii="Times New Roman" w:eastAsia="Times New Roman" w:hAnsi="Times New Roman" w:cs="Times New Roman"/>
      <w:b/>
      <w:bCs/>
      <w:szCs w:val="24"/>
      <w:lang w:val="en-US"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6631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31C3"/>
    <w:rPr>
      <w:rFonts w:ascii="Arial" w:hAnsi="Arial"/>
      <w:sz w:val="20"/>
      <w:szCs w:val="20"/>
    </w:rPr>
  </w:style>
  <w:style w:type="character" w:styleId="FootnoteReference">
    <w:name w:val="footnote reference"/>
    <w:basedOn w:val="DefaultParagraphFont"/>
    <w:unhideWhenUsed/>
    <w:rsid w:val="006631C3"/>
    <w:rPr>
      <w:vertAlign w:val="superscript"/>
    </w:rPr>
  </w:style>
  <w:style w:type="character" w:styleId="Hyperlink">
    <w:name w:val="Hyperlink"/>
    <w:basedOn w:val="DefaultParagraphFont"/>
    <w:uiPriority w:val="99"/>
    <w:unhideWhenUsed/>
    <w:rsid w:val="00524207"/>
    <w:rPr>
      <w:color w:val="0000FF" w:themeColor="hyperlink"/>
      <w:u w:val="single"/>
    </w:rPr>
  </w:style>
  <w:style w:type="character" w:customStyle="1" w:styleId="Heading1Char">
    <w:name w:val="Heading 1 Char"/>
    <w:basedOn w:val="DefaultParagraphFont"/>
    <w:link w:val="Heading1"/>
    <w:rsid w:val="005E1598"/>
    <w:rPr>
      <w:rFonts w:ascii="Times New Roman" w:eastAsia="Times New Roman" w:hAnsi="Times New Roman" w:cs="Times New Roman"/>
      <w:b/>
      <w:bCs/>
      <w:sz w:val="24"/>
      <w:szCs w:val="24"/>
      <w:lang w:val="en-US" w:eastAsia="de-DE"/>
    </w:rPr>
  </w:style>
  <w:style w:type="paragraph" w:customStyle="1" w:styleId="Pa17">
    <w:name w:val="Pa17"/>
    <w:basedOn w:val="Normal"/>
    <w:next w:val="Normal"/>
    <w:rsid w:val="005E1598"/>
    <w:pPr>
      <w:autoSpaceDE w:val="0"/>
      <w:autoSpaceDN w:val="0"/>
      <w:adjustRightInd w:val="0"/>
      <w:spacing w:after="0" w:line="221" w:lineRule="atLeast"/>
      <w:ind w:left="0"/>
    </w:pPr>
    <w:rPr>
      <w:rFonts w:ascii="Akzidenz Grotesk BE Bold" w:eastAsia="Times New Roman" w:hAnsi="Akzidenz Grotesk BE Bold" w:cs="Times New Roman"/>
      <w:szCs w:val="24"/>
      <w:lang w:val="de-DE" w:eastAsia="de-DE"/>
    </w:rPr>
  </w:style>
  <w:style w:type="character" w:customStyle="1" w:styleId="A12">
    <w:name w:val="A12"/>
    <w:rsid w:val="005E1598"/>
    <w:rPr>
      <w:rFonts w:cs="Akzidenz Grotesk BE Bold"/>
      <w:b/>
      <w:bCs/>
      <w:color w:val="000000"/>
      <w:sz w:val="12"/>
      <w:szCs w:val="12"/>
    </w:rPr>
  </w:style>
  <w:style w:type="paragraph" w:customStyle="1" w:styleId="FormatvorlageTextkrperArial10ptBlock">
    <w:name w:val="Formatvorlage Textkörper + Arial 10 pt Block"/>
    <w:basedOn w:val="Normal"/>
    <w:autoRedefine/>
    <w:rsid w:val="005E1598"/>
    <w:pPr>
      <w:autoSpaceDE w:val="0"/>
      <w:autoSpaceDN w:val="0"/>
      <w:spacing w:after="120" w:line="280" w:lineRule="exact"/>
      <w:ind w:left="0"/>
      <w:jc w:val="both"/>
    </w:pPr>
    <w:rPr>
      <w:rFonts w:eastAsia="Times New Roman" w:cs="Times New Roman"/>
      <w:sz w:val="20"/>
      <w:szCs w:val="20"/>
      <w:lang w:val="de-DE" w:eastAsia="de-DE"/>
    </w:rPr>
  </w:style>
  <w:style w:type="paragraph" w:styleId="BodyText">
    <w:name w:val="Body Text"/>
    <w:basedOn w:val="Normal"/>
    <w:link w:val="BodyTextChar"/>
    <w:uiPriority w:val="99"/>
    <w:semiHidden/>
    <w:unhideWhenUsed/>
    <w:rsid w:val="005E1598"/>
    <w:pPr>
      <w:spacing w:after="120"/>
    </w:pPr>
  </w:style>
  <w:style w:type="character" w:customStyle="1" w:styleId="BodyTextChar">
    <w:name w:val="Body Text Char"/>
    <w:basedOn w:val="DefaultParagraphFont"/>
    <w:link w:val="BodyText"/>
    <w:uiPriority w:val="99"/>
    <w:semiHidden/>
    <w:rsid w:val="005E1598"/>
    <w:rPr>
      <w:rFonts w:ascii="Arial" w:hAnsi="Arial"/>
      <w:sz w:val="24"/>
    </w:rPr>
  </w:style>
  <w:style w:type="character" w:styleId="CommentReference">
    <w:name w:val="annotation reference"/>
    <w:basedOn w:val="DefaultParagraphFont"/>
    <w:uiPriority w:val="99"/>
    <w:semiHidden/>
    <w:unhideWhenUsed/>
    <w:rsid w:val="00FB06B9"/>
    <w:rPr>
      <w:sz w:val="16"/>
      <w:szCs w:val="16"/>
    </w:rPr>
  </w:style>
  <w:style w:type="paragraph" w:styleId="CommentText">
    <w:name w:val="annotation text"/>
    <w:basedOn w:val="Normal"/>
    <w:link w:val="CommentTextChar"/>
    <w:uiPriority w:val="99"/>
    <w:semiHidden/>
    <w:unhideWhenUsed/>
    <w:rsid w:val="00FB06B9"/>
    <w:pPr>
      <w:spacing w:line="240" w:lineRule="auto"/>
    </w:pPr>
    <w:rPr>
      <w:sz w:val="20"/>
      <w:szCs w:val="20"/>
    </w:rPr>
  </w:style>
  <w:style w:type="character" w:customStyle="1" w:styleId="CommentTextChar">
    <w:name w:val="Comment Text Char"/>
    <w:basedOn w:val="DefaultParagraphFont"/>
    <w:link w:val="CommentText"/>
    <w:uiPriority w:val="99"/>
    <w:semiHidden/>
    <w:rsid w:val="00FB06B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B06B9"/>
    <w:rPr>
      <w:b/>
      <w:bCs/>
    </w:rPr>
  </w:style>
  <w:style w:type="character" w:customStyle="1" w:styleId="CommentSubjectChar">
    <w:name w:val="Comment Subject Char"/>
    <w:basedOn w:val="CommentTextChar"/>
    <w:link w:val="CommentSubject"/>
    <w:uiPriority w:val="99"/>
    <w:semiHidden/>
    <w:rsid w:val="00FB06B9"/>
    <w:rPr>
      <w:rFonts w:ascii="Arial" w:hAnsi="Arial"/>
      <w:b/>
      <w:bCs/>
      <w:sz w:val="20"/>
      <w:szCs w:val="20"/>
    </w:rPr>
  </w:style>
  <w:style w:type="paragraph" w:styleId="BalloonText">
    <w:name w:val="Balloon Text"/>
    <w:basedOn w:val="Normal"/>
    <w:link w:val="BalloonTextChar"/>
    <w:uiPriority w:val="99"/>
    <w:semiHidden/>
    <w:unhideWhenUsed/>
    <w:rsid w:val="00FB06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06B9"/>
    <w:rPr>
      <w:rFonts w:ascii="Tahoma" w:hAnsi="Tahoma" w:cs="Tahoma"/>
      <w:sz w:val="16"/>
      <w:szCs w:val="16"/>
    </w:rPr>
  </w:style>
  <w:style w:type="paragraph" w:customStyle="1" w:styleId="Pa10">
    <w:name w:val="Pa10"/>
    <w:basedOn w:val="Normal"/>
    <w:next w:val="Normal"/>
    <w:uiPriority w:val="99"/>
    <w:rsid w:val="00047149"/>
    <w:pPr>
      <w:autoSpaceDE w:val="0"/>
      <w:autoSpaceDN w:val="0"/>
      <w:adjustRightInd w:val="0"/>
      <w:spacing w:after="0" w:line="141" w:lineRule="atLeast"/>
      <w:ind w:left="0"/>
    </w:pPr>
    <w:rPr>
      <w:rFonts w:ascii="Akzidenz-Grotesk BQ Light" w:hAnsi="Akzidenz-Grotesk BQ Light"/>
      <w:szCs w:val="24"/>
    </w:rPr>
  </w:style>
  <w:style w:type="character" w:customStyle="1" w:styleId="A7">
    <w:name w:val="A7"/>
    <w:uiPriority w:val="99"/>
    <w:rsid w:val="00047149"/>
    <w:rPr>
      <w:rFonts w:cs="Akzidenz-Grotesk BQ Light"/>
      <w:color w:val="221E1F"/>
      <w:sz w:val="21"/>
      <w:szCs w:val="21"/>
    </w:rPr>
  </w:style>
  <w:style w:type="paragraph" w:styleId="DocumentMap">
    <w:name w:val="Document Map"/>
    <w:basedOn w:val="Normal"/>
    <w:link w:val="DocumentMapChar"/>
    <w:uiPriority w:val="99"/>
    <w:semiHidden/>
    <w:unhideWhenUsed/>
    <w:rsid w:val="00A307F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A307F6"/>
    <w:rPr>
      <w:rFonts w:ascii="Tahoma" w:hAnsi="Tahoma" w:cs="Tahoma"/>
      <w:sz w:val="16"/>
      <w:szCs w:val="16"/>
    </w:rPr>
  </w:style>
  <w:style w:type="character" w:customStyle="1" w:styleId="A4">
    <w:name w:val="A4"/>
    <w:uiPriority w:val="99"/>
    <w:rsid w:val="008C61D7"/>
    <w:rPr>
      <w:rFonts w:cs="Myriad Pro"/>
      <w:color w:val="000000"/>
      <w:sz w:val="26"/>
      <w:szCs w:val="26"/>
    </w:rPr>
  </w:style>
  <w:style w:type="paragraph" w:customStyle="1" w:styleId="Default">
    <w:name w:val="Default"/>
    <w:rsid w:val="008C61D7"/>
    <w:pPr>
      <w:autoSpaceDE w:val="0"/>
      <w:autoSpaceDN w:val="0"/>
      <w:adjustRightInd w:val="0"/>
      <w:spacing w:after="0" w:line="240" w:lineRule="auto"/>
      <w:ind w:left="0"/>
    </w:pPr>
    <w:rPr>
      <w:rFonts w:ascii="Myriad Pro" w:hAnsi="Myriad Pro" w:cs="Myriad Pro"/>
      <w:color w:val="000000"/>
      <w:sz w:val="24"/>
      <w:szCs w:val="24"/>
      <w:lang w:val="de-DE"/>
    </w:rPr>
  </w:style>
  <w:style w:type="paragraph" w:customStyle="1" w:styleId="Pa0">
    <w:name w:val="Pa0"/>
    <w:basedOn w:val="Default"/>
    <w:next w:val="Default"/>
    <w:uiPriority w:val="99"/>
    <w:rsid w:val="008C61D7"/>
    <w:pPr>
      <w:spacing w:line="241" w:lineRule="atLeast"/>
    </w:pPr>
    <w:rPr>
      <w:rFonts w:cstheme="minorBidi"/>
      <w:color w:val="auto"/>
    </w:rPr>
  </w:style>
  <w:style w:type="character" w:customStyle="1" w:styleId="A0">
    <w:name w:val="A0"/>
    <w:uiPriority w:val="99"/>
    <w:rsid w:val="008C61D7"/>
    <w:rPr>
      <w:rFonts w:cs="Myriad Pro"/>
      <w:color w:val="000000"/>
      <w:sz w:val="54"/>
      <w:szCs w:val="54"/>
    </w:rPr>
  </w:style>
  <w:style w:type="character" w:customStyle="1" w:styleId="A3">
    <w:name w:val="A3"/>
    <w:uiPriority w:val="99"/>
    <w:rsid w:val="00E21FD0"/>
    <w:rPr>
      <w:rFonts w:cs="Akzidenz-Grotesk Next Bold"/>
      <w:b/>
      <w:bCs/>
      <w:color w:val="000000"/>
      <w:sz w:val="26"/>
      <w:szCs w:val="26"/>
    </w:rPr>
  </w:style>
  <w:style w:type="character" w:customStyle="1" w:styleId="A5">
    <w:name w:val="A5"/>
    <w:uiPriority w:val="99"/>
    <w:rsid w:val="00E21FD0"/>
    <w:rPr>
      <w:rFonts w:cs="Akzidenz-Grotesk Next Bold"/>
      <w:b/>
      <w:bCs/>
      <w:color w:val="000000"/>
      <w:sz w:val="15"/>
      <w:szCs w:val="15"/>
    </w:rPr>
  </w:style>
  <w:style w:type="paragraph" w:customStyle="1" w:styleId="Pa4">
    <w:name w:val="Pa4"/>
    <w:basedOn w:val="Default"/>
    <w:next w:val="Default"/>
    <w:uiPriority w:val="99"/>
    <w:rsid w:val="00E21FD0"/>
    <w:pPr>
      <w:spacing w:line="241" w:lineRule="atLeast"/>
    </w:pPr>
    <w:rPr>
      <w:rFonts w:ascii="Arial" w:hAnsi="Arial" w:cs="Arial"/>
      <w:color w:val="auto"/>
    </w:rPr>
  </w:style>
  <w:style w:type="character" w:customStyle="1" w:styleId="A2">
    <w:name w:val="A2"/>
    <w:uiPriority w:val="99"/>
    <w:rsid w:val="00E21FD0"/>
    <w:rPr>
      <w:b/>
      <w:bCs/>
      <w:color w:val="000000"/>
      <w:sz w:val="50"/>
      <w:szCs w:val="50"/>
    </w:rPr>
  </w:style>
  <w:style w:type="paragraph" w:styleId="ListParagraph">
    <w:name w:val="List Paragraph"/>
    <w:basedOn w:val="Normal"/>
    <w:uiPriority w:val="34"/>
    <w:qFormat/>
    <w:rsid w:val="0098491D"/>
    <w:p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DE4"/>
    <w:rPr>
      <w:rFonts w:ascii="Arial" w:hAnsi="Arial"/>
      <w:sz w:val="24"/>
    </w:rPr>
  </w:style>
  <w:style w:type="paragraph" w:styleId="Heading1">
    <w:name w:val="heading 1"/>
    <w:basedOn w:val="Normal"/>
    <w:next w:val="Normal"/>
    <w:link w:val="Heading1Char"/>
    <w:qFormat/>
    <w:rsid w:val="005E1598"/>
    <w:pPr>
      <w:keepNext/>
      <w:autoSpaceDE w:val="0"/>
      <w:autoSpaceDN w:val="0"/>
      <w:spacing w:after="0" w:line="240" w:lineRule="auto"/>
      <w:ind w:left="0"/>
      <w:outlineLvl w:val="0"/>
    </w:pPr>
    <w:rPr>
      <w:rFonts w:ascii="Times New Roman" w:eastAsia="Times New Roman" w:hAnsi="Times New Roman" w:cs="Times New Roman"/>
      <w:b/>
      <w:bCs/>
      <w:szCs w:val="24"/>
      <w:lang w:val="en-US"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6631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31C3"/>
    <w:rPr>
      <w:rFonts w:ascii="Arial" w:hAnsi="Arial"/>
      <w:sz w:val="20"/>
      <w:szCs w:val="20"/>
    </w:rPr>
  </w:style>
  <w:style w:type="character" w:styleId="FootnoteReference">
    <w:name w:val="footnote reference"/>
    <w:basedOn w:val="DefaultParagraphFont"/>
    <w:unhideWhenUsed/>
    <w:rsid w:val="006631C3"/>
    <w:rPr>
      <w:vertAlign w:val="superscript"/>
    </w:rPr>
  </w:style>
  <w:style w:type="character" w:styleId="Hyperlink">
    <w:name w:val="Hyperlink"/>
    <w:basedOn w:val="DefaultParagraphFont"/>
    <w:uiPriority w:val="99"/>
    <w:unhideWhenUsed/>
    <w:rsid w:val="00524207"/>
    <w:rPr>
      <w:color w:val="0000FF" w:themeColor="hyperlink"/>
      <w:u w:val="single"/>
    </w:rPr>
  </w:style>
  <w:style w:type="character" w:customStyle="1" w:styleId="Heading1Char">
    <w:name w:val="Heading 1 Char"/>
    <w:basedOn w:val="DefaultParagraphFont"/>
    <w:link w:val="Heading1"/>
    <w:rsid w:val="005E1598"/>
    <w:rPr>
      <w:rFonts w:ascii="Times New Roman" w:eastAsia="Times New Roman" w:hAnsi="Times New Roman" w:cs="Times New Roman"/>
      <w:b/>
      <w:bCs/>
      <w:sz w:val="24"/>
      <w:szCs w:val="24"/>
      <w:lang w:val="en-US" w:eastAsia="de-DE"/>
    </w:rPr>
  </w:style>
  <w:style w:type="paragraph" w:customStyle="1" w:styleId="Pa17">
    <w:name w:val="Pa17"/>
    <w:basedOn w:val="Normal"/>
    <w:next w:val="Normal"/>
    <w:rsid w:val="005E1598"/>
    <w:pPr>
      <w:autoSpaceDE w:val="0"/>
      <w:autoSpaceDN w:val="0"/>
      <w:adjustRightInd w:val="0"/>
      <w:spacing w:after="0" w:line="221" w:lineRule="atLeast"/>
      <w:ind w:left="0"/>
    </w:pPr>
    <w:rPr>
      <w:rFonts w:ascii="Akzidenz Grotesk BE Bold" w:eastAsia="Times New Roman" w:hAnsi="Akzidenz Grotesk BE Bold" w:cs="Times New Roman"/>
      <w:szCs w:val="24"/>
      <w:lang w:val="de-DE" w:eastAsia="de-DE"/>
    </w:rPr>
  </w:style>
  <w:style w:type="character" w:customStyle="1" w:styleId="A12">
    <w:name w:val="A12"/>
    <w:rsid w:val="005E1598"/>
    <w:rPr>
      <w:rFonts w:cs="Akzidenz Grotesk BE Bold"/>
      <w:b/>
      <w:bCs/>
      <w:color w:val="000000"/>
      <w:sz w:val="12"/>
      <w:szCs w:val="12"/>
    </w:rPr>
  </w:style>
  <w:style w:type="paragraph" w:customStyle="1" w:styleId="FormatvorlageTextkrperArial10ptBlock">
    <w:name w:val="Formatvorlage Textkörper + Arial 10 pt Block"/>
    <w:basedOn w:val="Normal"/>
    <w:autoRedefine/>
    <w:rsid w:val="005E1598"/>
    <w:pPr>
      <w:autoSpaceDE w:val="0"/>
      <w:autoSpaceDN w:val="0"/>
      <w:spacing w:after="120" w:line="280" w:lineRule="exact"/>
      <w:ind w:left="0"/>
      <w:jc w:val="both"/>
    </w:pPr>
    <w:rPr>
      <w:rFonts w:eastAsia="Times New Roman" w:cs="Times New Roman"/>
      <w:sz w:val="20"/>
      <w:szCs w:val="20"/>
      <w:lang w:val="de-DE" w:eastAsia="de-DE"/>
    </w:rPr>
  </w:style>
  <w:style w:type="paragraph" w:styleId="BodyText">
    <w:name w:val="Body Text"/>
    <w:basedOn w:val="Normal"/>
    <w:link w:val="BodyTextChar"/>
    <w:uiPriority w:val="99"/>
    <w:semiHidden/>
    <w:unhideWhenUsed/>
    <w:rsid w:val="005E1598"/>
    <w:pPr>
      <w:spacing w:after="120"/>
    </w:pPr>
  </w:style>
  <w:style w:type="character" w:customStyle="1" w:styleId="BodyTextChar">
    <w:name w:val="Body Text Char"/>
    <w:basedOn w:val="DefaultParagraphFont"/>
    <w:link w:val="BodyText"/>
    <w:uiPriority w:val="99"/>
    <w:semiHidden/>
    <w:rsid w:val="005E1598"/>
    <w:rPr>
      <w:rFonts w:ascii="Arial" w:hAnsi="Arial"/>
      <w:sz w:val="24"/>
    </w:rPr>
  </w:style>
  <w:style w:type="character" w:styleId="CommentReference">
    <w:name w:val="annotation reference"/>
    <w:basedOn w:val="DefaultParagraphFont"/>
    <w:uiPriority w:val="99"/>
    <w:semiHidden/>
    <w:unhideWhenUsed/>
    <w:rsid w:val="00FB06B9"/>
    <w:rPr>
      <w:sz w:val="16"/>
      <w:szCs w:val="16"/>
    </w:rPr>
  </w:style>
  <w:style w:type="paragraph" w:styleId="CommentText">
    <w:name w:val="annotation text"/>
    <w:basedOn w:val="Normal"/>
    <w:link w:val="CommentTextChar"/>
    <w:uiPriority w:val="99"/>
    <w:semiHidden/>
    <w:unhideWhenUsed/>
    <w:rsid w:val="00FB06B9"/>
    <w:pPr>
      <w:spacing w:line="240" w:lineRule="auto"/>
    </w:pPr>
    <w:rPr>
      <w:sz w:val="20"/>
      <w:szCs w:val="20"/>
    </w:rPr>
  </w:style>
  <w:style w:type="character" w:customStyle="1" w:styleId="CommentTextChar">
    <w:name w:val="Comment Text Char"/>
    <w:basedOn w:val="DefaultParagraphFont"/>
    <w:link w:val="CommentText"/>
    <w:uiPriority w:val="99"/>
    <w:semiHidden/>
    <w:rsid w:val="00FB06B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B06B9"/>
    <w:rPr>
      <w:b/>
      <w:bCs/>
    </w:rPr>
  </w:style>
  <w:style w:type="character" w:customStyle="1" w:styleId="CommentSubjectChar">
    <w:name w:val="Comment Subject Char"/>
    <w:basedOn w:val="CommentTextChar"/>
    <w:link w:val="CommentSubject"/>
    <w:uiPriority w:val="99"/>
    <w:semiHidden/>
    <w:rsid w:val="00FB06B9"/>
    <w:rPr>
      <w:rFonts w:ascii="Arial" w:hAnsi="Arial"/>
      <w:b/>
      <w:bCs/>
      <w:sz w:val="20"/>
      <w:szCs w:val="20"/>
    </w:rPr>
  </w:style>
  <w:style w:type="paragraph" w:styleId="BalloonText">
    <w:name w:val="Balloon Text"/>
    <w:basedOn w:val="Normal"/>
    <w:link w:val="BalloonTextChar"/>
    <w:uiPriority w:val="99"/>
    <w:semiHidden/>
    <w:unhideWhenUsed/>
    <w:rsid w:val="00FB06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06B9"/>
    <w:rPr>
      <w:rFonts w:ascii="Tahoma" w:hAnsi="Tahoma" w:cs="Tahoma"/>
      <w:sz w:val="16"/>
      <w:szCs w:val="16"/>
    </w:rPr>
  </w:style>
  <w:style w:type="paragraph" w:customStyle="1" w:styleId="Pa10">
    <w:name w:val="Pa10"/>
    <w:basedOn w:val="Normal"/>
    <w:next w:val="Normal"/>
    <w:uiPriority w:val="99"/>
    <w:rsid w:val="00047149"/>
    <w:pPr>
      <w:autoSpaceDE w:val="0"/>
      <w:autoSpaceDN w:val="0"/>
      <w:adjustRightInd w:val="0"/>
      <w:spacing w:after="0" w:line="141" w:lineRule="atLeast"/>
      <w:ind w:left="0"/>
    </w:pPr>
    <w:rPr>
      <w:rFonts w:ascii="Akzidenz-Grotesk BQ Light" w:hAnsi="Akzidenz-Grotesk BQ Light"/>
      <w:szCs w:val="24"/>
    </w:rPr>
  </w:style>
  <w:style w:type="character" w:customStyle="1" w:styleId="A7">
    <w:name w:val="A7"/>
    <w:uiPriority w:val="99"/>
    <w:rsid w:val="00047149"/>
    <w:rPr>
      <w:rFonts w:cs="Akzidenz-Grotesk BQ Light"/>
      <w:color w:val="221E1F"/>
      <w:sz w:val="21"/>
      <w:szCs w:val="21"/>
    </w:rPr>
  </w:style>
  <w:style w:type="paragraph" w:styleId="DocumentMap">
    <w:name w:val="Document Map"/>
    <w:basedOn w:val="Normal"/>
    <w:link w:val="DocumentMapChar"/>
    <w:uiPriority w:val="99"/>
    <w:semiHidden/>
    <w:unhideWhenUsed/>
    <w:rsid w:val="00A307F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A307F6"/>
    <w:rPr>
      <w:rFonts w:ascii="Tahoma" w:hAnsi="Tahoma" w:cs="Tahoma"/>
      <w:sz w:val="16"/>
      <w:szCs w:val="16"/>
    </w:rPr>
  </w:style>
  <w:style w:type="character" w:customStyle="1" w:styleId="A4">
    <w:name w:val="A4"/>
    <w:uiPriority w:val="99"/>
    <w:rsid w:val="008C61D7"/>
    <w:rPr>
      <w:rFonts w:cs="Myriad Pro"/>
      <w:color w:val="000000"/>
      <w:sz w:val="26"/>
      <w:szCs w:val="26"/>
    </w:rPr>
  </w:style>
  <w:style w:type="paragraph" w:customStyle="1" w:styleId="Default">
    <w:name w:val="Default"/>
    <w:rsid w:val="008C61D7"/>
    <w:pPr>
      <w:autoSpaceDE w:val="0"/>
      <w:autoSpaceDN w:val="0"/>
      <w:adjustRightInd w:val="0"/>
      <w:spacing w:after="0" w:line="240" w:lineRule="auto"/>
      <w:ind w:left="0"/>
    </w:pPr>
    <w:rPr>
      <w:rFonts w:ascii="Myriad Pro" w:hAnsi="Myriad Pro" w:cs="Myriad Pro"/>
      <w:color w:val="000000"/>
      <w:sz w:val="24"/>
      <w:szCs w:val="24"/>
      <w:lang w:val="de-DE"/>
    </w:rPr>
  </w:style>
  <w:style w:type="paragraph" w:customStyle="1" w:styleId="Pa0">
    <w:name w:val="Pa0"/>
    <w:basedOn w:val="Default"/>
    <w:next w:val="Default"/>
    <w:uiPriority w:val="99"/>
    <w:rsid w:val="008C61D7"/>
    <w:pPr>
      <w:spacing w:line="241" w:lineRule="atLeast"/>
    </w:pPr>
    <w:rPr>
      <w:rFonts w:cstheme="minorBidi"/>
      <w:color w:val="auto"/>
    </w:rPr>
  </w:style>
  <w:style w:type="character" w:customStyle="1" w:styleId="A0">
    <w:name w:val="A0"/>
    <w:uiPriority w:val="99"/>
    <w:rsid w:val="008C61D7"/>
    <w:rPr>
      <w:rFonts w:cs="Myriad Pro"/>
      <w:color w:val="000000"/>
      <w:sz w:val="54"/>
      <w:szCs w:val="54"/>
    </w:rPr>
  </w:style>
  <w:style w:type="character" w:customStyle="1" w:styleId="A3">
    <w:name w:val="A3"/>
    <w:uiPriority w:val="99"/>
    <w:rsid w:val="00E21FD0"/>
    <w:rPr>
      <w:rFonts w:cs="Akzidenz-Grotesk Next Bold"/>
      <w:b/>
      <w:bCs/>
      <w:color w:val="000000"/>
      <w:sz w:val="26"/>
      <w:szCs w:val="26"/>
    </w:rPr>
  </w:style>
  <w:style w:type="character" w:customStyle="1" w:styleId="A5">
    <w:name w:val="A5"/>
    <w:uiPriority w:val="99"/>
    <w:rsid w:val="00E21FD0"/>
    <w:rPr>
      <w:rFonts w:cs="Akzidenz-Grotesk Next Bold"/>
      <w:b/>
      <w:bCs/>
      <w:color w:val="000000"/>
      <w:sz w:val="15"/>
      <w:szCs w:val="15"/>
    </w:rPr>
  </w:style>
  <w:style w:type="paragraph" w:customStyle="1" w:styleId="Pa4">
    <w:name w:val="Pa4"/>
    <w:basedOn w:val="Default"/>
    <w:next w:val="Default"/>
    <w:uiPriority w:val="99"/>
    <w:rsid w:val="00E21FD0"/>
    <w:pPr>
      <w:spacing w:line="241" w:lineRule="atLeast"/>
    </w:pPr>
    <w:rPr>
      <w:rFonts w:ascii="Arial" w:hAnsi="Arial" w:cs="Arial"/>
      <w:color w:val="auto"/>
    </w:rPr>
  </w:style>
  <w:style w:type="character" w:customStyle="1" w:styleId="A2">
    <w:name w:val="A2"/>
    <w:uiPriority w:val="99"/>
    <w:rsid w:val="00E21FD0"/>
    <w:rPr>
      <w:b/>
      <w:bCs/>
      <w:color w:val="000000"/>
      <w:sz w:val="50"/>
      <w:szCs w:val="50"/>
    </w:rPr>
  </w:style>
  <w:style w:type="paragraph" w:styleId="ListParagraph">
    <w:name w:val="List Paragraph"/>
    <w:basedOn w:val="Normal"/>
    <w:uiPriority w:val="34"/>
    <w:qFormat/>
    <w:rsid w:val="0098491D"/>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rance24.com/en/20130530-paris-drugs-shooting-gallery-given-go-ahea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mcdda.europa.eu/data/201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rogenbeauftragte.de/fileadmin/dateien-dba/DrogenundSucht/Illegale_Drogen/Heroin_andere/Downloads/reitox_report_2013_germany_dt.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kzept.org" TargetMode="External"/><Relationship Id="rId5" Type="http://schemas.openxmlformats.org/officeDocument/2006/relationships/settings" Target="settings.xml"/><Relationship Id="rId15" Type="http://schemas.openxmlformats.org/officeDocument/2006/relationships/hyperlink" Target="http://www.emcdda.europa.eu/publications/monographs/harm-reduction" TargetMode="External"/><Relationship Id="rId10" Type="http://schemas.openxmlformats.org/officeDocument/2006/relationships/hyperlink" Target="http://news.bbc.co.uk/1/hi/wales/4053921.stm" TargetMode="External"/><Relationship Id="rId4" Type="http://schemas.microsoft.com/office/2007/relationships/stylesWithEffects" Target="stylesWithEffects.xml"/><Relationship Id="rId9" Type="http://schemas.openxmlformats.org/officeDocument/2006/relationships/hyperlink" Target="mailto:Charlie.lloyd@york.ac.uk" TargetMode="External"/><Relationship Id="rId14" Type="http://schemas.openxmlformats.org/officeDocument/2006/relationships/hyperlink" Target="http://www.trimbos.nl/webwinkel/productoverzicht-webwinkel/alcohol-en-drugs/af/~/media/files/inkijkexemplaren/af1051%20gebruiksruimten%20in%20nederland_web.ash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6F524-0ED3-4384-AF4B-CC8C39563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4721</Words>
  <Characters>26916</Characters>
  <Application>Microsoft Office Word</Application>
  <DocSecurity>0</DocSecurity>
  <Lines>224</Lines>
  <Paragraphs>63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University of York</Company>
  <LinksUpToDate>false</LinksUpToDate>
  <CharactersWithSpaces>31574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Lloyd, C.</dc:creator>
  <cp:lastModifiedBy>Newby, S.H.</cp:lastModifiedBy>
  <cp:revision>2</cp:revision>
  <cp:lastPrinted>2013-04-22T13:06:00Z</cp:lastPrinted>
  <dcterms:created xsi:type="dcterms:W3CDTF">2016-06-06T08:09:00Z</dcterms:created>
  <dcterms:modified xsi:type="dcterms:W3CDTF">2016-06-06T08:09:00Z</dcterms:modified>
</cp:coreProperties>
</file>