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6B00" w14:textId="09BA6D32" w:rsidR="006865E0" w:rsidRDefault="00BA31FE" w:rsidP="00537C21">
      <w:pPr>
        <w:rPr>
          <w:b/>
        </w:rPr>
      </w:pPr>
      <w:r>
        <w:rPr>
          <w:b/>
        </w:rPr>
        <w:t>Complementary, critical and collaborative</w:t>
      </w:r>
    </w:p>
    <w:p w14:paraId="0BB79274" w14:textId="1C7A301A" w:rsidR="006C746F" w:rsidRDefault="006C746F" w:rsidP="00537C21">
      <w:r w:rsidRPr="006C746F">
        <w:t>Philippe M. Frowd</w:t>
      </w:r>
    </w:p>
    <w:p w14:paraId="1694259F" w14:textId="4C7405E0" w:rsidR="006C746F" w:rsidRPr="006C746F" w:rsidRDefault="006C746F" w:rsidP="00537C21">
      <w:pPr>
        <w:rPr>
          <w:i/>
        </w:rPr>
      </w:pPr>
      <w:r w:rsidRPr="006C746F">
        <w:rPr>
          <w:i/>
        </w:rPr>
        <w:t>McMaster University</w:t>
      </w:r>
    </w:p>
    <w:p w14:paraId="3212A775" w14:textId="77777777" w:rsidR="006865E0" w:rsidRDefault="006865E0" w:rsidP="00537C21"/>
    <w:p w14:paraId="512F9EC6" w14:textId="09095C07" w:rsidR="00112414" w:rsidRDefault="008B5803" w:rsidP="00112414">
      <w:r w:rsidRPr="00A50835">
        <w:t xml:space="preserve">The impetus behind critical approaches to security has been at once </w:t>
      </w:r>
      <w:r w:rsidR="008B6BDC" w:rsidRPr="00A50835">
        <w:t>methodological</w:t>
      </w:r>
      <w:r w:rsidRPr="00A50835">
        <w:t xml:space="preserve"> and </w:t>
      </w:r>
      <w:r w:rsidR="008B6BDC" w:rsidRPr="00A50835">
        <w:t>political</w:t>
      </w:r>
      <w:r w:rsidRPr="00A50835">
        <w:t>.</w:t>
      </w:r>
      <w:r w:rsidR="008B6BDC" w:rsidRPr="00A50835">
        <w:t xml:space="preserve"> </w:t>
      </w:r>
      <w:r w:rsidR="006527DE" w:rsidRPr="00A50835">
        <w:t xml:space="preserve">By </w:t>
      </w:r>
      <w:r w:rsidR="00965AB5" w:rsidRPr="00A50835">
        <w:t xml:space="preserve">demanding that </w:t>
      </w:r>
      <w:r w:rsidR="00B113CF">
        <w:t>critical</w:t>
      </w:r>
      <w:r w:rsidR="00965AB5" w:rsidRPr="00A50835">
        <w:t xml:space="preserve"> political question</w:t>
      </w:r>
      <w:r w:rsidR="00B113CF">
        <w:t>s</w:t>
      </w:r>
      <w:r w:rsidR="00965AB5" w:rsidRPr="00A50835">
        <w:t xml:space="preserve"> </w:t>
      </w:r>
      <w:r w:rsidR="00B113CF">
        <w:t xml:space="preserve">be posed of </w:t>
      </w:r>
      <w:r w:rsidR="006527DE" w:rsidRPr="00A50835">
        <w:t xml:space="preserve">security </w:t>
      </w:r>
      <w:r w:rsidR="00B113CF">
        <w:t>and its actors</w:t>
      </w:r>
      <w:r w:rsidR="00965AB5" w:rsidRPr="00A50835">
        <w:t xml:space="preserve">, these approaches </w:t>
      </w:r>
      <w:r w:rsidR="00A44FD0">
        <w:t xml:space="preserve">drawn from a range of disciplines </w:t>
      </w:r>
      <w:r w:rsidR="00965AB5" w:rsidRPr="00A50835">
        <w:t>have called for</w:t>
      </w:r>
      <w:r w:rsidR="00892F20">
        <w:t xml:space="preserve"> attention to</w:t>
      </w:r>
      <w:r w:rsidR="00965AB5" w:rsidRPr="00A50835">
        <w:t xml:space="preserve"> </w:t>
      </w:r>
      <w:r w:rsidR="006527DE" w:rsidRPr="00A50835">
        <w:t xml:space="preserve">the sociological, discursive and ethical qualities of security. This has fostered </w:t>
      </w:r>
      <w:r w:rsidR="008B3E73" w:rsidRPr="00A50835">
        <w:t xml:space="preserve">methodological </w:t>
      </w:r>
      <w:r w:rsidR="00531E2E" w:rsidRPr="00A50835">
        <w:t>openness</w:t>
      </w:r>
      <w:r w:rsidR="006527DE" w:rsidRPr="00A50835">
        <w:t xml:space="preserve"> to </w:t>
      </w:r>
      <w:r w:rsidR="00167D64" w:rsidRPr="00A50835">
        <w:t>the constitutive effects of interactions, acts, texts, contexts and objects</w:t>
      </w:r>
      <w:r w:rsidR="00537C21">
        <w:t>, and broadened the lens</w:t>
      </w:r>
      <w:r w:rsidR="00892F20">
        <w:t xml:space="preserve"> through which security discourses and practices are observed</w:t>
      </w:r>
      <w:r w:rsidR="006F4231">
        <w:t xml:space="preserve">. </w:t>
      </w:r>
      <w:r w:rsidR="006F4231" w:rsidRPr="00A50835">
        <w:t xml:space="preserve">The broad aim of critical approaches to security has </w:t>
      </w:r>
      <w:r w:rsidR="006F4231">
        <w:t xml:space="preserve">therefore </w:t>
      </w:r>
      <w:r w:rsidR="006F4231" w:rsidRPr="00A50835">
        <w:t xml:space="preserve">been to </w:t>
      </w:r>
      <w:r w:rsidR="006F4231">
        <w:t>provide</w:t>
      </w:r>
      <w:r w:rsidR="006F4231" w:rsidRPr="00A50835">
        <w:t xml:space="preserve"> </w:t>
      </w:r>
      <w:r w:rsidR="006F4231" w:rsidRPr="00A50835">
        <w:rPr>
          <w:i/>
        </w:rPr>
        <w:t>a fuller picture</w:t>
      </w:r>
      <w:r w:rsidR="006F4231" w:rsidRPr="00A50835">
        <w:t xml:space="preserve"> of what ‘security’</w:t>
      </w:r>
      <w:r w:rsidR="006F4231">
        <w:t xml:space="preserve"> is and how it is enacted</w:t>
      </w:r>
      <w:r w:rsidR="006F4231" w:rsidRPr="00A50835">
        <w:t xml:space="preserve">, through a multiplicity of </w:t>
      </w:r>
      <w:r w:rsidR="006F4231">
        <w:t xml:space="preserve">analytic </w:t>
      </w:r>
      <w:r w:rsidR="006F4231" w:rsidRPr="00A50835">
        <w:t>methods</w:t>
      </w:r>
      <w:r w:rsidR="00112414">
        <w:t xml:space="preserve">, in order to critique </w:t>
      </w:r>
      <w:r w:rsidR="00870245">
        <w:t xml:space="preserve">ongoing policy and </w:t>
      </w:r>
      <w:r w:rsidR="00364D74">
        <w:t xml:space="preserve">sedimented assumptions </w:t>
      </w:r>
      <w:r w:rsidR="00112414">
        <w:t>about the politics of security. Although critical approaches to security share a common worldview, the nature of the field itself and its shifting objects of study make aspirations to commensurability and cumula</w:t>
      </w:r>
      <w:r w:rsidR="00A44FD0">
        <w:t>tive knowledge tenuous</w:t>
      </w:r>
      <w:r w:rsidR="002031CA">
        <w:t>.</w:t>
      </w:r>
      <w:r w:rsidR="00A44FD0">
        <w:t xml:space="preserve"> </w:t>
      </w:r>
      <w:r w:rsidR="002031CA">
        <w:t>As recent work devoted to vulgarizing critical methods and methodologies has shown (</w:t>
      </w:r>
      <w:r w:rsidR="00112414" w:rsidRPr="00A50835">
        <w:t>se</w:t>
      </w:r>
      <w:r w:rsidR="00454563">
        <w:t xml:space="preserve">e Salter and Mutlu 2012; Shepherd 2013; Aradau, </w:t>
      </w:r>
      <w:r w:rsidR="00112414" w:rsidRPr="00A50835">
        <w:t>Huysmans</w:t>
      </w:r>
      <w:r w:rsidR="00454563">
        <w:t xml:space="preserve"> and</w:t>
      </w:r>
      <w:r w:rsidR="002031CA">
        <w:t xml:space="preserve"> Neal</w:t>
      </w:r>
      <w:r w:rsidR="00454563">
        <w:t xml:space="preserve"> 2014</w:t>
      </w:r>
      <w:r w:rsidR="002031CA">
        <w:t>), scholars in this field a</w:t>
      </w:r>
      <w:bookmarkStart w:id="0" w:name="_GoBack"/>
      <w:bookmarkEnd w:id="0"/>
      <w:r w:rsidR="002031CA">
        <w:t>re train</w:t>
      </w:r>
      <w:r w:rsidR="00BF4B6E">
        <w:t>ed</w:t>
      </w:r>
      <w:r w:rsidR="002031CA">
        <w:t xml:space="preserve"> in and draw from a wide range of </w:t>
      </w:r>
      <w:r w:rsidR="0096550D">
        <w:t>methods and theories from diverse disciplines</w:t>
      </w:r>
      <w:r w:rsidR="002031CA">
        <w:t xml:space="preserve">. </w:t>
      </w:r>
      <w:r w:rsidR="00BF4B6E">
        <w:t>The ‘field’ of critical approaches to security is in no way coherent or singular. Similarly, the object of study—security—is also impossible to pin down. Is it a speech act? A</w:t>
      </w:r>
      <w:r w:rsidR="00904956">
        <w:t xml:space="preserve"> professional practice? </w:t>
      </w:r>
      <w:r w:rsidR="00BF4B6E">
        <w:t xml:space="preserve">A mode of </w:t>
      </w:r>
      <w:r w:rsidR="005429F9">
        <w:t xml:space="preserve">liberal </w:t>
      </w:r>
      <w:r w:rsidR="00904956">
        <w:t>governance</w:t>
      </w:r>
      <w:r w:rsidR="00BF4B6E">
        <w:t xml:space="preserve">? Wherever we side, we can agree that it is a contested concept. </w:t>
      </w:r>
      <w:r w:rsidR="00B17CFC">
        <w:t>Given the nature of the field and the object of study,</w:t>
      </w:r>
      <w:r w:rsidR="00BF4B6E">
        <w:t xml:space="preserve"> we should seek </w:t>
      </w:r>
      <w:r w:rsidR="00BF4B6E" w:rsidRPr="00E8485B">
        <w:t>complementarity</w:t>
      </w:r>
      <w:r w:rsidR="00E8485B" w:rsidRPr="00E8485B">
        <w:t xml:space="preserve">, criticality </w:t>
      </w:r>
      <w:r w:rsidR="00BF4B6E" w:rsidRPr="00E8485B">
        <w:t>and collaboration</w:t>
      </w:r>
      <w:r w:rsidR="00BF4B6E">
        <w:t>.</w:t>
      </w:r>
    </w:p>
    <w:p w14:paraId="02827EDA" w14:textId="77777777" w:rsidR="003D4594" w:rsidRDefault="003D4594" w:rsidP="00112414"/>
    <w:p w14:paraId="7FF29D66" w14:textId="36BA18F9" w:rsidR="00884DF5" w:rsidRDefault="007D62E4" w:rsidP="0080135A">
      <w:r>
        <w:t xml:space="preserve">Commensurability </w:t>
      </w:r>
      <w:r w:rsidR="00A44FD0">
        <w:t xml:space="preserve">has </w:t>
      </w:r>
      <w:r>
        <w:t>positive</w:t>
      </w:r>
      <w:r w:rsidR="00A44FD0">
        <w:t xml:space="preserve"> connotations</w:t>
      </w:r>
      <w:r>
        <w:t>: it suggests communication, understanding, translation, and intelligibility.</w:t>
      </w:r>
      <w:r w:rsidR="007B61E7">
        <w:t xml:space="preserve"> However, t</w:t>
      </w:r>
      <w:r>
        <w:t>rying to make theories</w:t>
      </w:r>
      <w:r w:rsidR="00031076">
        <w:t xml:space="preserve"> and methodologies</w:t>
      </w:r>
      <w:r>
        <w:t xml:space="preserve"> founded on radically different bases commensurable can be a ham-fiste</w:t>
      </w:r>
      <w:r w:rsidR="00FE2DCE">
        <w:t xml:space="preserve">d exercise. </w:t>
      </w:r>
      <w:r w:rsidR="00856808">
        <w:t>Rather than try to synthesize</w:t>
      </w:r>
      <w:r w:rsidR="003A27E4">
        <w:t xml:space="preserve"> or </w:t>
      </w:r>
      <w:r w:rsidR="000645EE">
        <w:t xml:space="preserve">flatten </w:t>
      </w:r>
      <w:r w:rsidR="00856808">
        <w:t xml:space="preserve">different theoretical and methodological </w:t>
      </w:r>
      <w:r w:rsidR="007B61E7">
        <w:t>approaches</w:t>
      </w:r>
      <w:r w:rsidR="00856808">
        <w:t xml:space="preserve">, </w:t>
      </w:r>
      <w:r w:rsidR="007B61E7">
        <w:t>we should work with</w:t>
      </w:r>
      <w:r w:rsidR="00856808">
        <w:t xml:space="preserve"> points of overlap between approaches in a </w:t>
      </w:r>
      <w:r w:rsidR="00856808" w:rsidRPr="007B61E7">
        <w:rPr>
          <w:i/>
        </w:rPr>
        <w:t>complementary</w:t>
      </w:r>
      <w:r w:rsidR="00FA5872">
        <w:t xml:space="preserve"> way. Adopting a problem-driven, rather than method-driven research approach (</w:t>
      </w:r>
      <w:r w:rsidR="008F5E30">
        <w:t>as suggested by</w:t>
      </w:r>
      <w:r w:rsidR="00FA5872">
        <w:t xml:space="preserve"> Sil and Katzenstein 2010) can help to pursue the </w:t>
      </w:r>
      <w:r w:rsidR="007B61E7">
        <w:t>‘fuller picture’ of security mentioned earlier</w:t>
      </w:r>
      <w:r w:rsidR="00FA5872">
        <w:t>. Problem-driven research is not necessarily</w:t>
      </w:r>
      <w:r w:rsidR="00567291">
        <w:t xml:space="preserve"> </w:t>
      </w:r>
      <w:r w:rsidR="00FA5872">
        <w:t xml:space="preserve">the </w:t>
      </w:r>
      <w:r w:rsidR="00567291">
        <w:t>problem-</w:t>
      </w:r>
      <w:r w:rsidR="00567291" w:rsidRPr="00C23B96">
        <w:rPr>
          <w:i/>
        </w:rPr>
        <w:t>solving</w:t>
      </w:r>
      <w:r w:rsidR="00FA5872">
        <w:t xml:space="preserve"> approach Robert Cox (1989) </w:t>
      </w:r>
      <w:r w:rsidR="00C23B96">
        <w:t>warned about, but it does</w:t>
      </w:r>
      <w:r w:rsidR="0080135A">
        <w:t xml:space="preserve"> demand that theoretical and methodological resources be selected as a function of a problem in question. This suggests, or even demands, an eclecticism fostered by</w:t>
      </w:r>
      <w:r w:rsidR="00D42ABF">
        <w:t xml:space="preserve"> the</w:t>
      </w:r>
      <w:r w:rsidR="0080135A">
        <w:t xml:space="preserve"> identification of</w:t>
      </w:r>
      <w:r w:rsidR="00567291">
        <w:t xml:space="preserve"> </w:t>
      </w:r>
      <w:r w:rsidR="0080135A">
        <w:t>compatible</w:t>
      </w:r>
      <w:r w:rsidR="00567291">
        <w:t xml:space="preserve"> </w:t>
      </w:r>
      <w:r w:rsidR="0080135A">
        <w:t xml:space="preserve">theoretical </w:t>
      </w:r>
      <w:r w:rsidR="00567291">
        <w:t xml:space="preserve">emphases </w:t>
      </w:r>
      <w:r w:rsidR="0080135A">
        <w:t>and methodological commitments</w:t>
      </w:r>
      <w:r w:rsidR="00511359">
        <w:t>.</w:t>
      </w:r>
      <w:r w:rsidR="00A22EEC">
        <w:t xml:space="preserve"> </w:t>
      </w:r>
      <w:r w:rsidR="008C1917">
        <w:t>Such theoretical conundrums as the incommensurability of two otherwise useful approaches should not push us to retreat to the safety of orthodox applications of theory. There are complementary ways to exploit the synergies between social theories to great effect. For instance, Bigo (2011) uses Foucault’s work on governmentality to supplement a Bourdieu-inspired emphasis on security professionals to describe the mode of government of borders</w:t>
      </w:r>
      <w:r w:rsidR="00A22EEC">
        <w:t xml:space="preserve"> without mixing incompatible ontological assumptions</w:t>
      </w:r>
      <w:r w:rsidR="008C1917">
        <w:t>. I</w:t>
      </w:r>
      <w:r w:rsidR="00567291">
        <w:t>n my own research on border security in Mauritania (Frowd 2014</w:t>
      </w:r>
      <w:r w:rsidR="00191D9C">
        <w:t xml:space="preserve"> forthcoming</w:t>
      </w:r>
      <w:r w:rsidR="00567291">
        <w:t xml:space="preserve">), </w:t>
      </w:r>
      <w:r w:rsidR="00103034">
        <w:t>identifying the transmission of</w:t>
      </w:r>
      <w:r w:rsidR="00567291">
        <w:t xml:space="preserve"> border security </w:t>
      </w:r>
      <w:r w:rsidR="00BC49C5">
        <w:t xml:space="preserve">knowledge </w:t>
      </w:r>
      <w:r w:rsidR="00567291">
        <w:t xml:space="preserve">meant </w:t>
      </w:r>
      <w:r w:rsidR="00103034">
        <w:t xml:space="preserve">interviewing </w:t>
      </w:r>
      <w:r w:rsidR="00BC49C5">
        <w:t>security actors</w:t>
      </w:r>
      <w:r w:rsidR="00103034">
        <w:t xml:space="preserve"> and identifying their social structure, but also </w:t>
      </w:r>
      <w:r w:rsidR="00191D9C">
        <w:t xml:space="preserve">identifying the material objects </w:t>
      </w:r>
      <w:r w:rsidR="00BC49C5">
        <w:t>that incarnated approaches to border control</w:t>
      </w:r>
      <w:r w:rsidR="00103034">
        <w:t>.</w:t>
      </w:r>
      <w:r w:rsidR="00BC49C5">
        <w:t xml:space="preserve"> I </w:t>
      </w:r>
      <w:r w:rsidR="00BC49C5">
        <w:lastRenderedPageBreak/>
        <w:t>described the social space as a ‘field’ (Bourdieu and Wacquant 199</w:t>
      </w:r>
      <w:r w:rsidR="00F43D34">
        <w:t>2</w:t>
      </w:r>
      <w:r w:rsidR="00BC49C5">
        <w:t>) but drew on the concept of ‘actant’ from actor-network theory (Latour 2005) to account for the socio-technical nature of knowledge transmission.</w:t>
      </w:r>
      <w:r w:rsidR="00103034">
        <w:t xml:space="preserve"> The</w:t>
      </w:r>
      <w:r w:rsidR="00BC49C5">
        <w:t xml:space="preserve"> research</w:t>
      </w:r>
      <w:r w:rsidR="00103034">
        <w:t xml:space="preserve"> </w:t>
      </w:r>
      <w:r w:rsidR="00103034" w:rsidRPr="00BC49C5">
        <w:t>problem</w:t>
      </w:r>
      <w:r w:rsidR="00BC49C5">
        <w:t xml:space="preserve">—accounting </w:t>
      </w:r>
      <w:r w:rsidR="00103034">
        <w:t xml:space="preserve">for the </w:t>
      </w:r>
      <w:r w:rsidR="00BC49C5">
        <w:t xml:space="preserve">most </w:t>
      </w:r>
      <w:r w:rsidR="00103034">
        <w:t>important</w:t>
      </w:r>
      <w:r w:rsidR="00856808">
        <w:t xml:space="preserve"> factors that make the border what it is</w:t>
      </w:r>
      <w:r w:rsidR="00BC49C5">
        <w:t xml:space="preserve">—demanded an eclectic solution </w:t>
      </w:r>
      <w:r w:rsidR="00DB30CC">
        <w:t xml:space="preserve">that used theoretical resources in a </w:t>
      </w:r>
      <w:r w:rsidR="00856808" w:rsidRPr="00BC49C5">
        <w:rPr>
          <w:i/>
        </w:rPr>
        <w:t>complementary</w:t>
      </w:r>
      <w:r w:rsidR="00856808">
        <w:t xml:space="preserve"> </w:t>
      </w:r>
      <w:r w:rsidR="00BC49C5">
        <w:t>rather than commensurate</w:t>
      </w:r>
      <w:r w:rsidR="00DB30CC">
        <w:t xml:space="preserve"> way, </w:t>
      </w:r>
      <w:r w:rsidR="00BC49C5">
        <w:t>to avoid fusing incompatible ontological assumptions that lie deep in each approach</w:t>
      </w:r>
      <w:r w:rsidR="00414686">
        <w:t xml:space="preserve">. </w:t>
      </w:r>
      <w:r w:rsidR="00020FA4">
        <w:t xml:space="preserve">The key </w:t>
      </w:r>
      <w:r w:rsidR="00BC49C5">
        <w:t xml:space="preserve">to complementarity </w:t>
      </w:r>
      <w:r w:rsidR="00020FA4">
        <w:t>is to use theory</w:t>
      </w:r>
      <w:r w:rsidR="00BC49C5">
        <w:t xml:space="preserve"> carefully</w:t>
      </w:r>
      <w:r w:rsidR="00020FA4">
        <w:t xml:space="preserve"> as a tool with which to better expose the </w:t>
      </w:r>
      <w:r w:rsidR="00DB30CC">
        <w:t xml:space="preserve">research </w:t>
      </w:r>
      <w:r w:rsidR="00BC49C5">
        <w:t>problem</w:t>
      </w:r>
      <w:r w:rsidR="00020FA4">
        <w:t xml:space="preserve">, rather than make the empirical material prove </w:t>
      </w:r>
      <w:r w:rsidR="00BC49C5">
        <w:t>a</w:t>
      </w:r>
      <w:r w:rsidR="009F398D">
        <w:t>n impossible</w:t>
      </w:r>
      <w:r w:rsidR="00020FA4">
        <w:t xml:space="preserve"> theoretical </w:t>
      </w:r>
      <w:r w:rsidR="00020FA4" w:rsidRPr="00020FA4">
        <w:rPr>
          <w:i/>
        </w:rPr>
        <w:t>mélange</w:t>
      </w:r>
      <w:r w:rsidR="00020FA4">
        <w:t>.</w:t>
      </w:r>
    </w:p>
    <w:p w14:paraId="7143AD6A" w14:textId="77777777" w:rsidR="00EE031C" w:rsidRDefault="00EE031C" w:rsidP="006129CD"/>
    <w:p w14:paraId="16150A36" w14:textId="12B515A6" w:rsidR="00691623" w:rsidRDefault="00414686" w:rsidP="00142BED">
      <w:r>
        <w:t>C</w:t>
      </w:r>
      <w:r w:rsidR="00EE031C">
        <w:t xml:space="preserve">umulative knowledge is possible in critical approaches to security, within limits. We are making claims to cumulative knowledge when we </w:t>
      </w:r>
      <w:r>
        <w:t>position our work as</w:t>
      </w:r>
      <w:r w:rsidR="00B04F12">
        <w:t xml:space="preserve"> </w:t>
      </w:r>
      <w:r>
        <w:t xml:space="preserve">providing </w:t>
      </w:r>
      <w:r w:rsidR="00EE031C">
        <w:t xml:space="preserve">something new or novel or </w:t>
      </w:r>
      <w:r>
        <w:t xml:space="preserve">as building </w:t>
      </w:r>
      <w:r w:rsidR="00EE031C">
        <w:t xml:space="preserve">on existing work in a particular area. </w:t>
      </w:r>
      <w:r w:rsidR="00B04F12">
        <w:t>C</w:t>
      </w:r>
      <w:r w:rsidR="000B7366">
        <w:t>umulative knowledge</w:t>
      </w:r>
      <w:r w:rsidR="00B04F12">
        <w:t>, in the rigorous sense,</w:t>
      </w:r>
      <w:r w:rsidR="000B7366">
        <w:t xml:space="preserve"> requires a coherent fiel</w:t>
      </w:r>
      <w:r>
        <w:t xml:space="preserve">d with a clear object of study, but </w:t>
      </w:r>
      <w:r w:rsidR="000B7366">
        <w:t>critical approaches</w:t>
      </w:r>
      <w:r w:rsidR="00F5278F">
        <w:t xml:space="preserve"> to security</w:t>
      </w:r>
      <w:r w:rsidR="000B7366">
        <w:t xml:space="preserve"> do not fit the bill. </w:t>
      </w:r>
      <w:r w:rsidR="00F5278F">
        <w:t xml:space="preserve">This is </w:t>
      </w:r>
      <w:r>
        <w:t xml:space="preserve">actually </w:t>
      </w:r>
      <w:r w:rsidR="00F5278F">
        <w:t xml:space="preserve">an asset to critical approaches once we adopt a more open view of cumulative knowledge that </w:t>
      </w:r>
      <w:r w:rsidR="000B7366">
        <w:t xml:space="preserve">does not seek </w:t>
      </w:r>
      <w:r w:rsidR="00F5278F">
        <w:t xml:space="preserve">to provide </w:t>
      </w:r>
      <w:r w:rsidR="00142BED">
        <w:t xml:space="preserve">more or closer access to </w:t>
      </w:r>
      <w:r w:rsidR="00F5278F">
        <w:t>some</w:t>
      </w:r>
      <w:r w:rsidR="00142BED">
        <w:t xml:space="preserve"> </w:t>
      </w:r>
      <w:r w:rsidR="00F5278F">
        <w:t>‘</w:t>
      </w:r>
      <w:r w:rsidR="00142BED">
        <w:t>essence</w:t>
      </w:r>
      <w:r w:rsidR="00F5278F">
        <w:t>’</w:t>
      </w:r>
      <w:r w:rsidR="00142BED">
        <w:t xml:space="preserve"> of security.</w:t>
      </w:r>
      <w:r w:rsidR="00F5278F">
        <w:t xml:space="preserve"> Providing a fuller picture does not mean lapsing into a positivist view of </w:t>
      </w:r>
      <w:r w:rsidR="00691623">
        <w:t>quantifiable</w:t>
      </w:r>
      <w:r w:rsidR="00F5278F">
        <w:t xml:space="preserve"> advance, </w:t>
      </w:r>
      <w:r w:rsidR="00AA612D">
        <w:t>which tends to animate research assessment exercises and journal impact factors.</w:t>
      </w:r>
      <w:r w:rsidR="00691623">
        <w:t xml:space="preserve"> </w:t>
      </w:r>
      <w:r w:rsidR="00142BED">
        <w:t xml:space="preserve">Rather, </w:t>
      </w:r>
      <w:r w:rsidR="00691623">
        <w:t xml:space="preserve">to speak of critical research on security being cumulative should </w:t>
      </w:r>
      <w:r w:rsidR="00AA612D">
        <w:t>draw our attention to the importance of</w:t>
      </w:r>
      <w:r w:rsidR="00691623">
        <w:t xml:space="preserve"> </w:t>
      </w:r>
      <w:r w:rsidR="002A6080">
        <w:t>originality and the cumulative effort</w:t>
      </w:r>
      <w:r w:rsidR="00AA612D">
        <w:t xml:space="preserve">s involved in </w:t>
      </w:r>
      <w:r w:rsidR="002A6080">
        <w:t>collaboration</w:t>
      </w:r>
      <w:r w:rsidR="00691623">
        <w:t>.</w:t>
      </w:r>
    </w:p>
    <w:p w14:paraId="6E756B84" w14:textId="77777777" w:rsidR="00691623" w:rsidRDefault="00691623" w:rsidP="00142BED"/>
    <w:p w14:paraId="2C3380AE" w14:textId="7B268F1E" w:rsidR="00020FA4" w:rsidRPr="00FC1E5F" w:rsidRDefault="00EB0A62" w:rsidP="00020FA4">
      <w:r>
        <w:t>A non-positivist view of c</w:t>
      </w:r>
      <w:r w:rsidR="00691623">
        <w:t>umulative knowledge is possible when originality drives scholarship</w:t>
      </w:r>
      <w:r>
        <w:t xml:space="preserve">, often in the service of </w:t>
      </w:r>
      <w:r w:rsidRPr="000D1C21">
        <w:rPr>
          <w:i/>
        </w:rPr>
        <w:t>critique</w:t>
      </w:r>
      <w:r w:rsidR="00691623">
        <w:t xml:space="preserve">. For instance, </w:t>
      </w:r>
      <w:r w:rsidR="007E2EBF">
        <w:t xml:space="preserve">critical </w:t>
      </w:r>
      <w:r w:rsidR="00691623">
        <w:t xml:space="preserve">work </w:t>
      </w:r>
      <w:r w:rsidR="00186256">
        <w:t xml:space="preserve">on borders </w:t>
      </w:r>
      <w:r w:rsidR="007E2EBF">
        <w:t xml:space="preserve">can be considered cumulative </w:t>
      </w:r>
      <w:r w:rsidR="00186256">
        <w:t>as</w:t>
      </w:r>
      <w:r w:rsidR="00691623">
        <w:t xml:space="preserve"> there exists some degree of “bas</w:t>
      </w:r>
      <w:r w:rsidR="009F398D">
        <w:t>ic</w:t>
      </w:r>
      <w:r w:rsidR="00691623">
        <w:t xml:space="preserve"> knowledge” (Calhoun 2007) in the form of a consensus about the inability of ‘the border’ and ‘the territorial line’ to fully match (see Walters 2002 and Rumford 2006, among others). Work that builds on </w:t>
      </w:r>
      <w:r w:rsidR="009F398D">
        <w:t>such basic knowledge</w:t>
      </w:r>
      <w:r w:rsidR="00691623">
        <w:t xml:space="preserve"> is cumulative </w:t>
      </w:r>
      <w:r w:rsidR="00186256">
        <w:t xml:space="preserve">by providing </w:t>
      </w:r>
      <w:r w:rsidR="00C93BBC">
        <w:t>original and plausible research backed up by</w:t>
      </w:r>
      <w:r w:rsidR="00691623">
        <w:t xml:space="preserve"> new empirical </w:t>
      </w:r>
      <w:r w:rsidR="00C93BBC">
        <w:t>material</w:t>
      </w:r>
      <w:r w:rsidR="00691623">
        <w:t>, but</w:t>
      </w:r>
      <w:r w:rsidR="00C93BBC">
        <w:t xml:space="preserve"> </w:t>
      </w:r>
      <w:r w:rsidR="00A76830">
        <w:t xml:space="preserve">is not cumulative in a positivist way as we never get closer to </w:t>
      </w:r>
      <w:r w:rsidR="00691623">
        <w:t>the ‘essence’ of borders.</w:t>
      </w:r>
      <w:r w:rsidR="00020FA4">
        <w:t xml:space="preserve"> </w:t>
      </w:r>
      <w:r w:rsidR="00B275D9">
        <w:t>Building on such base knowledge helps</w:t>
      </w:r>
      <w:r w:rsidR="00020FA4">
        <w:t>—paraphrasing Foucault—</w:t>
      </w:r>
      <w:r w:rsidR="000D5AF4">
        <w:t xml:space="preserve">to </w:t>
      </w:r>
      <w:r w:rsidR="00020FA4">
        <w:t>‘mak</w:t>
      </w:r>
      <w:r w:rsidR="00B275D9">
        <w:t>e</w:t>
      </w:r>
      <w:r w:rsidR="00020FA4">
        <w:t xml:space="preserve"> the visible visible’</w:t>
      </w:r>
      <w:r w:rsidR="00B275D9">
        <w:t xml:space="preserve"> not in the service of accumulation of knowledge but </w:t>
      </w:r>
      <w:r w:rsidR="000D5AF4">
        <w:t>of critiquing current social practice</w:t>
      </w:r>
      <w:r w:rsidR="00020FA4">
        <w:t xml:space="preserve">. Knowledge generated by critical approaches to security is often intended precisely to intervene in, or shape the direction of, contemporary politics. Take, for instance, work on ‘no border’ </w:t>
      </w:r>
      <w:r w:rsidR="00B275D9">
        <w:t xml:space="preserve">movements </w:t>
      </w:r>
      <w:r w:rsidR="00020FA4">
        <w:t>(</w:t>
      </w:r>
      <w:r w:rsidR="005457A2">
        <w:t>Walters 2006</w:t>
      </w:r>
      <w:r w:rsidR="00020FA4">
        <w:t>)</w:t>
      </w:r>
      <w:r w:rsidR="005457A2">
        <w:t xml:space="preserve"> and non-status people (Nyers 2009) </w:t>
      </w:r>
      <w:r w:rsidR="00020FA4">
        <w:t>which, although it draws on the base knowledge of critical border studies, explicitly contributes to reshaping public debate about the exclusionary effects of borders. This work is cumulative in its academic field, but its strength draws from its social immediacy.</w:t>
      </w:r>
    </w:p>
    <w:p w14:paraId="61207921" w14:textId="394BCE3B" w:rsidR="00584DBE" w:rsidRDefault="00584DBE" w:rsidP="006129CD"/>
    <w:p w14:paraId="5E8CCA6C" w14:textId="1D566808" w:rsidR="00B62752" w:rsidRPr="00A50835" w:rsidRDefault="0035549F" w:rsidP="00B62752">
      <w:r>
        <w:t>One of the most effective and occasionally radical</w:t>
      </w:r>
      <w:r w:rsidR="0021508D">
        <w:t xml:space="preserve"> forms of non-positivist</w:t>
      </w:r>
      <w:r>
        <w:t xml:space="preserve"> cumulative knowledge has been group </w:t>
      </w:r>
      <w:r w:rsidRPr="000D1C21">
        <w:rPr>
          <w:i/>
        </w:rPr>
        <w:t>collaboration</w:t>
      </w:r>
      <w:r>
        <w:t xml:space="preserve">, a form of work that can serve to overcome some of the individualizing tendencies of contemporary academic work. </w:t>
      </w:r>
      <w:r w:rsidR="00B62752">
        <w:t>The 25-member CASE</w:t>
      </w:r>
      <w:r w:rsidR="00D242A7">
        <w:rPr>
          <w:rStyle w:val="FootnoteReference"/>
        </w:rPr>
        <w:footnoteReference w:id="1"/>
      </w:r>
      <w:r w:rsidR="00B62752">
        <w:t xml:space="preserve"> Collective, which published its ‘manifesto’ on </w:t>
      </w:r>
      <w:r w:rsidR="00D242A7">
        <w:t xml:space="preserve">critical </w:t>
      </w:r>
      <w:r w:rsidR="00B62752">
        <w:t xml:space="preserve">approaches to security in 2006, provides the most important examples of how collaboration avoids traditional cumulative work and </w:t>
      </w:r>
      <w:r w:rsidR="00696C05">
        <w:t>sidesteps</w:t>
      </w:r>
      <w:r w:rsidR="00B62752">
        <w:t xml:space="preserve"> the question of commensurability. The collective’s members describe themselves as “</w:t>
      </w:r>
      <w:r w:rsidR="00B62752" w:rsidRPr="00CC6061">
        <w:rPr>
          <w:lang w:val="en-US"/>
        </w:rPr>
        <w:t>a network of scholars who do not agree on everything yet share a common perspec</w:t>
      </w:r>
      <w:r w:rsidR="00B62752">
        <w:rPr>
          <w:lang w:val="en-US"/>
        </w:rPr>
        <w:t>tive” (CASE Collective 2006, 444).</w:t>
      </w:r>
      <w:r w:rsidR="00696C05">
        <w:rPr>
          <w:lang w:val="en-US"/>
        </w:rPr>
        <w:t xml:space="preserve"> This common perspective describes not only a critical worldview but</w:t>
      </w:r>
      <w:r w:rsidR="00E12AC3">
        <w:rPr>
          <w:lang w:val="en-US"/>
        </w:rPr>
        <w:t xml:space="preserve"> also</w:t>
      </w:r>
      <w:r w:rsidR="00696C05">
        <w:rPr>
          <w:lang w:val="en-US"/>
        </w:rPr>
        <w:t xml:space="preserve"> a commitment to collective intellectual work. With the writing process roughly equally divided </w:t>
      </w:r>
      <w:r w:rsidR="00E12AC3">
        <w:t>and</w:t>
      </w:r>
      <w:r w:rsidR="00696C05">
        <w:t xml:space="preserve"> </w:t>
      </w:r>
      <w:r w:rsidR="00B62752">
        <w:t>multiple drafts of the same document</w:t>
      </w:r>
      <w:r w:rsidR="00E12AC3">
        <w:t xml:space="preserve"> floating between the contributors</w:t>
      </w:r>
      <w:r w:rsidR="00B62752">
        <w:t xml:space="preserve">, each </w:t>
      </w:r>
      <w:r w:rsidR="00E12AC3">
        <w:t>person</w:t>
      </w:r>
      <w:r w:rsidR="00696C05">
        <w:t xml:space="preserve"> provided</w:t>
      </w:r>
      <w:r w:rsidR="00B62752">
        <w:t xml:space="preserve"> </w:t>
      </w:r>
      <w:r w:rsidR="00E12AC3">
        <w:t xml:space="preserve">vastly different </w:t>
      </w:r>
      <w:r w:rsidR="00B62752">
        <w:t>sections</w:t>
      </w:r>
      <w:r w:rsidR="00696C05">
        <w:t xml:space="preserve"> of varying lengths. Although co-publishing is nothing particularly radical, this </w:t>
      </w:r>
      <w:r w:rsidR="00E12AC3">
        <w:t xml:space="preserve">form of </w:t>
      </w:r>
      <w:r w:rsidR="00696C05">
        <w:t xml:space="preserve">‘collective’ author </w:t>
      </w:r>
      <w:r w:rsidR="00B62752">
        <w:t xml:space="preserve">successfully undermined one of the bastions of </w:t>
      </w:r>
      <w:r w:rsidR="00696C05">
        <w:t xml:space="preserve">positivist </w:t>
      </w:r>
      <w:r w:rsidR="00B62752">
        <w:t xml:space="preserve">cumulative knowledge—the citation system—by </w:t>
      </w:r>
      <w:r w:rsidR="002B7C1F">
        <w:t>adding one peer-reviewed</w:t>
      </w:r>
      <w:r w:rsidR="00696C05">
        <w:t xml:space="preserve"> publication </w:t>
      </w:r>
      <w:r w:rsidR="002B7C1F">
        <w:t xml:space="preserve">onto </w:t>
      </w:r>
      <w:r w:rsidR="00696C05">
        <w:t>25 different CVs</w:t>
      </w:r>
      <w:r w:rsidR="00B62752">
        <w:t>.</w:t>
      </w:r>
      <w:r w:rsidR="002B7C1F">
        <w:t xml:space="preserve"> </w:t>
      </w:r>
      <w:r w:rsidR="00E94F0A">
        <w:t xml:space="preserve">In similar vein, </w:t>
      </w:r>
      <w:r w:rsidR="00191626">
        <w:t>‘</w:t>
      </w:r>
      <w:r w:rsidR="00E12AC3">
        <w:t>laboratory</w:t>
      </w:r>
      <w:r w:rsidR="00191626">
        <w:t>’</w:t>
      </w:r>
      <w:r w:rsidR="00E12AC3">
        <w:t xml:space="preserve"> models of collective thinking such as the</w:t>
      </w:r>
      <w:r w:rsidR="00B62752">
        <w:t xml:space="preserve"> International Collaboratory on Research Methods in Critical Security Studies (ICCM)</w:t>
      </w:r>
      <w:r w:rsidR="002A6080">
        <w:t xml:space="preserve"> based at the </w:t>
      </w:r>
      <w:r w:rsidR="00E12AC3">
        <w:t xml:space="preserve">Open University and organized around </w:t>
      </w:r>
      <w:r w:rsidR="00492560">
        <w:t xml:space="preserve">five </w:t>
      </w:r>
      <w:r w:rsidR="00E12AC3">
        <w:t xml:space="preserve">methods </w:t>
      </w:r>
      <w:r w:rsidR="00492560">
        <w:t xml:space="preserve">‘clusters’, </w:t>
      </w:r>
      <w:r w:rsidR="00E12AC3">
        <w:t xml:space="preserve">serves to provide tools </w:t>
      </w:r>
      <w:r w:rsidR="00191626">
        <w:t xml:space="preserve">and ‘basic knowledge’ of methods </w:t>
      </w:r>
      <w:r w:rsidR="00E12AC3">
        <w:t xml:space="preserve">with which to </w:t>
      </w:r>
      <w:r w:rsidR="00B62752" w:rsidRPr="00A50835">
        <w:t xml:space="preserve">provide a </w:t>
      </w:r>
      <w:r w:rsidR="00B62752" w:rsidRPr="00A50835">
        <w:rPr>
          <w:i/>
        </w:rPr>
        <w:t>fuller picture</w:t>
      </w:r>
      <w:r w:rsidR="00B62752">
        <w:t xml:space="preserve"> </w:t>
      </w:r>
      <w:r w:rsidR="00E12AC3">
        <w:t xml:space="preserve">around security issues </w:t>
      </w:r>
      <w:r w:rsidR="00191626">
        <w:t>by avoiding s</w:t>
      </w:r>
      <w:r w:rsidR="00E12AC3">
        <w:t>ynthes</w:t>
      </w:r>
      <w:r w:rsidR="00191626">
        <w:t>is between methods</w:t>
      </w:r>
      <w:r w:rsidR="00B62752">
        <w:t xml:space="preserve">. </w:t>
      </w:r>
      <w:r w:rsidR="005A13A6">
        <w:t>It is</w:t>
      </w:r>
      <w:r w:rsidR="00B62752">
        <w:t xml:space="preserve"> precisely </w:t>
      </w:r>
      <w:r w:rsidR="005A13A6">
        <w:t xml:space="preserve">from </w:t>
      </w:r>
      <w:r w:rsidR="009A23E2">
        <w:t xml:space="preserve">avoiding </w:t>
      </w:r>
      <w:r w:rsidR="00E12AC3">
        <w:t xml:space="preserve">commensurability </w:t>
      </w:r>
      <w:r w:rsidR="009A23E2">
        <w:t xml:space="preserve">and </w:t>
      </w:r>
      <w:r w:rsidR="00E12AC3">
        <w:t xml:space="preserve">cumulative knowledge </w:t>
      </w:r>
      <w:r w:rsidR="005A13A6">
        <w:t>that critical approaches to security draw strength.</w:t>
      </w:r>
    </w:p>
    <w:p w14:paraId="0B153905" w14:textId="77777777" w:rsidR="00DB5CA6" w:rsidRPr="00A50835" w:rsidRDefault="00DB5CA6"/>
    <w:p w14:paraId="4839267E" w14:textId="53869A05" w:rsidR="00DB5CA6" w:rsidRDefault="00DB5CA6">
      <w:pPr>
        <w:rPr>
          <w:b/>
        </w:rPr>
      </w:pPr>
      <w:r w:rsidRPr="00A50835">
        <w:rPr>
          <w:b/>
        </w:rPr>
        <w:t>References</w:t>
      </w:r>
    </w:p>
    <w:p w14:paraId="24657421" w14:textId="77777777" w:rsidR="00802F9F" w:rsidRPr="00802F9F" w:rsidRDefault="00802F9F"/>
    <w:p w14:paraId="4494A2C6" w14:textId="25374773" w:rsidR="00DE5B8C" w:rsidRDefault="00DE5B8C" w:rsidP="00F43D34">
      <w:pPr>
        <w:ind w:left="720" w:hanging="720"/>
      </w:pPr>
      <w:r>
        <w:t>Aradau</w:t>
      </w:r>
      <w:r w:rsidR="00F43D34">
        <w:t>, Claudia, Jef</w:t>
      </w:r>
      <w:r>
        <w:t xml:space="preserve"> Huysmans</w:t>
      </w:r>
      <w:r w:rsidR="00F43D34">
        <w:t>,</w:t>
      </w:r>
      <w:r>
        <w:t xml:space="preserve"> and </w:t>
      </w:r>
      <w:r w:rsidR="00F43D34">
        <w:t xml:space="preserve">Andrew </w:t>
      </w:r>
      <w:r>
        <w:t>Neal</w:t>
      </w:r>
      <w:r w:rsidR="00F43D34">
        <w:t xml:space="preserve">. </w:t>
      </w:r>
      <w:r w:rsidR="00F43D34">
        <w:rPr>
          <w:i/>
        </w:rPr>
        <w:t>Critical Security Methods: New Frameworks for Analysis</w:t>
      </w:r>
      <w:r w:rsidR="00F43D34">
        <w:t>. Abingdon: Routledge,</w:t>
      </w:r>
      <w:r>
        <w:t xml:space="preserve"> 2014</w:t>
      </w:r>
      <w:r w:rsidR="00F43D34">
        <w:t>.</w:t>
      </w:r>
    </w:p>
    <w:p w14:paraId="5950D65F" w14:textId="5B8BA92B" w:rsidR="00DE5B8C" w:rsidRPr="00F43D34" w:rsidRDefault="00DE5B8C" w:rsidP="00F43D34">
      <w:pPr>
        <w:ind w:left="720" w:hanging="720"/>
        <w:rPr>
          <w:lang w:val="en-US"/>
        </w:rPr>
      </w:pPr>
      <w:r>
        <w:t>Bigo</w:t>
      </w:r>
      <w:r w:rsidR="00F43D34">
        <w:t>, Didier. “</w:t>
      </w:r>
      <w:r w:rsidR="00F43D34" w:rsidRPr="00F43D34">
        <w:rPr>
          <w:lang w:val="en-US"/>
        </w:rPr>
        <w:t>Freedom and speed in enlarged borderzones</w:t>
      </w:r>
      <w:r w:rsidR="00F43D34">
        <w:t>.” I</w:t>
      </w:r>
      <w:r>
        <w:t>n</w:t>
      </w:r>
      <w:r w:rsidR="00F43D34">
        <w:t xml:space="preserve"> </w:t>
      </w:r>
      <w:r w:rsidR="00F43D34" w:rsidRPr="00F43D34">
        <w:rPr>
          <w:i/>
        </w:rPr>
        <w:t>The Contested Politics of Mobility: Borderzones and Irregularity</w:t>
      </w:r>
      <w:r w:rsidR="00F43D34">
        <w:t xml:space="preserve">, edited by </w:t>
      </w:r>
      <w:r w:rsidR="00F43D34" w:rsidRPr="00F43D34">
        <w:t xml:space="preserve">Vicki </w:t>
      </w:r>
      <w:r w:rsidR="00F43D34">
        <w:t xml:space="preserve">Squire, </w:t>
      </w:r>
      <w:r w:rsidR="00D62091">
        <w:t>31-50</w:t>
      </w:r>
      <w:r w:rsidR="00F43D34">
        <w:t>. Abingdon: Routledge, 2011.</w:t>
      </w:r>
    </w:p>
    <w:p w14:paraId="5974113B" w14:textId="0B1177EA" w:rsidR="00DE5B8C" w:rsidRDefault="00F43D34" w:rsidP="00D01817">
      <w:pPr>
        <w:ind w:left="720" w:hanging="720"/>
      </w:pPr>
      <w:r>
        <w:t>Bourdieu</w:t>
      </w:r>
      <w:r w:rsidR="00D01817">
        <w:t xml:space="preserve">, Pierre, </w:t>
      </w:r>
      <w:r>
        <w:t xml:space="preserve">and </w:t>
      </w:r>
      <w:r w:rsidR="00D01817">
        <w:t xml:space="preserve">Loïc </w:t>
      </w:r>
      <w:r>
        <w:t>Wacquant</w:t>
      </w:r>
      <w:r w:rsidR="00D62091">
        <w:t xml:space="preserve">. </w:t>
      </w:r>
      <w:r w:rsidR="00D62091">
        <w:rPr>
          <w:i/>
        </w:rPr>
        <w:t>An Invitation to Reflexive Sociology</w:t>
      </w:r>
      <w:r w:rsidR="00D01817">
        <w:t>. Oxford: Polity Press, 1992.</w:t>
      </w:r>
    </w:p>
    <w:p w14:paraId="2833821C" w14:textId="1BE883ED" w:rsidR="00DE5B8C" w:rsidRDefault="00DE5B8C" w:rsidP="00F43D34">
      <w:pPr>
        <w:ind w:left="720" w:hanging="720"/>
      </w:pPr>
      <w:r>
        <w:t>Calhoun</w:t>
      </w:r>
      <w:r w:rsidR="00D01817">
        <w:t xml:space="preserve">, Craig. </w:t>
      </w:r>
      <w:r w:rsidR="00894E86">
        <w:t>“</w:t>
      </w:r>
      <w:r w:rsidR="00D01817" w:rsidRPr="00894E86">
        <w:t>Social Science for Public Knowledge</w:t>
      </w:r>
      <w:r w:rsidR="00894E86">
        <w:t>.” Social Science Research Council,</w:t>
      </w:r>
      <w:r>
        <w:t xml:space="preserve"> 2007</w:t>
      </w:r>
      <w:r w:rsidR="00894E86">
        <w:t>.</w:t>
      </w:r>
    </w:p>
    <w:p w14:paraId="570C9776" w14:textId="23AB329D" w:rsidR="00DE5B8C" w:rsidRDefault="00DE5B8C" w:rsidP="00F43D34">
      <w:pPr>
        <w:ind w:left="720" w:hanging="720"/>
      </w:pPr>
      <w:r>
        <w:t>CASE</w:t>
      </w:r>
      <w:r w:rsidR="00894E86">
        <w:t xml:space="preserve"> Collective. “Critical Approaches to Security in Europe: A Networked Manifesto”. </w:t>
      </w:r>
      <w:r w:rsidR="00894E86" w:rsidRPr="00894E86">
        <w:rPr>
          <w:i/>
        </w:rPr>
        <w:t>Security Dialogue</w:t>
      </w:r>
      <w:r w:rsidR="00894E86">
        <w:t xml:space="preserve"> 37 no. 4, (</w:t>
      </w:r>
      <w:r>
        <w:t>2006</w:t>
      </w:r>
      <w:r w:rsidR="00894E86">
        <w:t>): 443-487.</w:t>
      </w:r>
    </w:p>
    <w:p w14:paraId="3A2AF351" w14:textId="64A8EECC" w:rsidR="00DE5B8C" w:rsidRPr="00894E86" w:rsidRDefault="00DE5B8C" w:rsidP="00894E86">
      <w:pPr>
        <w:ind w:left="720" w:hanging="720"/>
        <w:rPr>
          <w:bCs/>
          <w:lang w:val="en-US"/>
        </w:rPr>
      </w:pPr>
      <w:r w:rsidRPr="00894E86">
        <w:t>Cox</w:t>
      </w:r>
      <w:r w:rsidR="00894E86" w:rsidRPr="00894E86">
        <w:t>, Robert. “</w:t>
      </w:r>
      <w:r w:rsidR="00894E86" w:rsidRPr="00894E86">
        <w:rPr>
          <w:bCs/>
          <w:lang w:val="en-US"/>
        </w:rPr>
        <w:t xml:space="preserve">Social Forces, States and World Orders: Beyond International Relations Theory”. </w:t>
      </w:r>
      <w:r w:rsidR="00894E86" w:rsidRPr="00894E86">
        <w:rPr>
          <w:bCs/>
          <w:i/>
          <w:lang w:val="en-US"/>
        </w:rPr>
        <w:t xml:space="preserve">Millennium </w:t>
      </w:r>
      <w:r w:rsidR="00894E86" w:rsidRPr="00894E86">
        <w:rPr>
          <w:bCs/>
          <w:lang w:val="en-US"/>
        </w:rPr>
        <w:t>10, no. 2 (</w:t>
      </w:r>
      <w:r w:rsidRPr="00894E86">
        <w:t>1989</w:t>
      </w:r>
      <w:r w:rsidR="00D53530">
        <w:t>):</w:t>
      </w:r>
      <w:r w:rsidR="00894E86" w:rsidRPr="00894E86">
        <w:t xml:space="preserve"> 126-155.</w:t>
      </w:r>
    </w:p>
    <w:p w14:paraId="54ED2C7D" w14:textId="02AA454B" w:rsidR="00DE5B8C" w:rsidRDefault="00DE5B8C" w:rsidP="00F43D34">
      <w:pPr>
        <w:ind w:left="720" w:hanging="720"/>
      </w:pPr>
      <w:r>
        <w:t>Frowd</w:t>
      </w:r>
      <w:r w:rsidR="00894E86">
        <w:t xml:space="preserve">, Philippe M. </w:t>
      </w:r>
      <w:r w:rsidR="00135AE5">
        <w:t>“</w:t>
      </w:r>
      <w:r w:rsidR="00894E86">
        <w:t>The field of border security in Mauritania.</w:t>
      </w:r>
      <w:r w:rsidR="00135AE5">
        <w:t>”</w:t>
      </w:r>
      <w:r w:rsidR="00894E86">
        <w:t xml:space="preserve"> </w:t>
      </w:r>
      <w:r w:rsidR="00894E86">
        <w:rPr>
          <w:i/>
        </w:rPr>
        <w:t>Security Dialogue</w:t>
      </w:r>
      <w:r w:rsidR="00894E86">
        <w:t xml:space="preserve"> 45 nos. 3-4 (</w:t>
      </w:r>
      <w:r>
        <w:t>2014</w:t>
      </w:r>
      <w:r w:rsidR="00894E86">
        <w:t>): forthcoming.</w:t>
      </w:r>
    </w:p>
    <w:p w14:paraId="619E70BD" w14:textId="00927BE9" w:rsidR="000849D6" w:rsidRPr="000849D6" w:rsidRDefault="000849D6" w:rsidP="00F43D34">
      <w:pPr>
        <w:ind w:left="720" w:hanging="720"/>
      </w:pPr>
      <w:r>
        <w:t xml:space="preserve">Latour, Bruno. </w:t>
      </w:r>
      <w:r w:rsidR="009E5C2F">
        <w:rPr>
          <w:i/>
        </w:rPr>
        <w:t>Reassembling the So</w:t>
      </w:r>
      <w:r>
        <w:rPr>
          <w:i/>
        </w:rPr>
        <w:t xml:space="preserve">cial: </w:t>
      </w:r>
      <w:r w:rsidR="009E5C2F">
        <w:rPr>
          <w:i/>
        </w:rPr>
        <w:t>An Introduction to Actor-Network-T</w:t>
      </w:r>
      <w:r>
        <w:rPr>
          <w:i/>
        </w:rPr>
        <w:t>heory</w:t>
      </w:r>
      <w:r w:rsidR="009E5C2F">
        <w:t>. Oxf</w:t>
      </w:r>
      <w:r>
        <w:t>ord: Oxford University Press, 2005.</w:t>
      </w:r>
    </w:p>
    <w:p w14:paraId="0BB19AF7" w14:textId="019C4C0A" w:rsidR="009E5C2F" w:rsidRPr="009E5C2F" w:rsidRDefault="00DE5B8C" w:rsidP="009E5C2F">
      <w:pPr>
        <w:ind w:left="720" w:hanging="720"/>
        <w:rPr>
          <w:lang w:val="en-US"/>
        </w:rPr>
      </w:pPr>
      <w:r>
        <w:t>Nyers</w:t>
      </w:r>
      <w:r w:rsidR="009E5C2F">
        <w:t xml:space="preserve">, Peter. “Community without Status: Non-Status Migrants and Cities of Refuge.” In </w:t>
      </w:r>
      <w:r w:rsidR="009E5C2F" w:rsidRPr="009E5C2F">
        <w:rPr>
          <w:i/>
          <w:iCs/>
          <w:lang w:val="en-US"/>
        </w:rPr>
        <w:t>Renegotiating Community: Interdisciplinary Perspectives in Global Contexts</w:t>
      </w:r>
      <w:r w:rsidR="009E5C2F">
        <w:rPr>
          <w:iCs/>
          <w:lang w:val="en-US"/>
        </w:rPr>
        <w:t>, edited by Diana Brydon and William Coleman. Vancouver: University of British Columbia Press, 2009.</w:t>
      </w:r>
    </w:p>
    <w:p w14:paraId="0CD99D75" w14:textId="7ECAA1D4" w:rsidR="00DE5B8C" w:rsidRDefault="009E5C2F" w:rsidP="00F43D34">
      <w:pPr>
        <w:ind w:left="720" w:hanging="720"/>
      </w:pPr>
      <w:r>
        <w:t>Rumford, Chris. “Theorizing Borders”. European Journal of Social Theory 9, no. 2 (</w:t>
      </w:r>
      <w:r w:rsidR="00DE5B8C">
        <w:t>2006</w:t>
      </w:r>
      <w:r w:rsidR="00D53530">
        <w:t>):</w:t>
      </w:r>
      <w:r>
        <w:t xml:space="preserve"> 155-169.</w:t>
      </w:r>
    </w:p>
    <w:p w14:paraId="55A3B81F" w14:textId="62BFBA06" w:rsidR="00DE5B8C" w:rsidRDefault="00DE5B8C" w:rsidP="00F43D34">
      <w:pPr>
        <w:ind w:left="720" w:hanging="720"/>
      </w:pPr>
      <w:r>
        <w:t>Salter</w:t>
      </w:r>
      <w:r w:rsidR="009E5C2F">
        <w:t>, Mark,</w:t>
      </w:r>
      <w:r>
        <w:t xml:space="preserve"> and </w:t>
      </w:r>
      <w:r w:rsidR="009E5C2F">
        <w:t xml:space="preserve">Can E. Mutlu. </w:t>
      </w:r>
      <w:r w:rsidR="009E5C2F">
        <w:rPr>
          <w:i/>
        </w:rPr>
        <w:t>Research Methods in Critical Security Studies: An Introdction.</w:t>
      </w:r>
      <w:r w:rsidR="009E5C2F">
        <w:t xml:space="preserve"> Abingdon: Routledge, </w:t>
      </w:r>
      <w:r>
        <w:t>2012a</w:t>
      </w:r>
      <w:r w:rsidR="009E5C2F">
        <w:t>.</w:t>
      </w:r>
    </w:p>
    <w:p w14:paraId="497B5A45" w14:textId="2103EA87" w:rsidR="00DE5B8C" w:rsidRDefault="00DE5B8C" w:rsidP="00F43D34">
      <w:pPr>
        <w:ind w:left="720" w:hanging="720"/>
      </w:pPr>
      <w:r>
        <w:t>Shepherd</w:t>
      </w:r>
      <w:r w:rsidR="009E5C2F">
        <w:t xml:space="preserve">, Laura J. </w:t>
      </w:r>
      <w:r w:rsidR="009E5C2F">
        <w:rPr>
          <w:i/>
        </w:rPr>
        <w:t>Critical Approaches to Security: An Introduction to Theories and Methods</w:t>
      </w:r>
      <w:r w:rsidR="009E5C2F">
        <w:t>. Abingdon: Routledge,</w:t>
      </w:r>
      <w:r>
        <w:t xml:space="preserve"> 2013</w:t>
      </w:r>
      <w:r w:rsidR="009E5C2F">
        <w:t>.</w:t>
      </w:r>
    </w:p>
    <w:p w14:paraId="7327A875" w14:textId="2DD8E178" w:rsidR="00DE5B8C" w:rsidRDefault="00DE5B8C" w:rsidP="00F43D34">
      <w:pPr>
        <w:ind w:left="720" w:hanging="720"/>
      </w:pPr>
      <w:r>
        <w:t>Sil</w:t>
      </w:r>
      <w:r w:rsidR="009E5C2F">
        <w:t>, Rudra,</w:t>
      </w:r>
      <w:r>
        <w:t xml:space="preserve"> and </w:t>
      </w:r>
      <w:r w:rsidR="009E5C2F">
        <w:t>Peter J. Katzenstein. “</w:t>
      </w:r>
      <w:r w:rsidR="009E5C2F" w:rsidRPr="001E08F6">
        <w:rPr>
          <w:bCs/>
          <w:lang w:val="en-US"/>
        </w:rPr>
        <w:t>Analytic Eclecticism in the Study of World Politics: Reconfiguring Problems and Mechanisms across Research Traditions</w:t>
      </w:r>
      <w:r w:rsidR="009E5C2F" w:rsidRPr="001E08F6">
        <w:rPr>
          <w:lang w:val="en-US"/>
        </w:rPr>
        <w:t>.”</w:t>
      </w:r>
      <w:r w:rsidR="009E5C2F">
        <w:rPr>
          <w:lang w:val="en-US"/>
        </w:rPr>
        <w:t xml:space="preserve"> </w:t>
      </w:r>
      <w:r w:rsidR="009E5C2F">
        <w:rPr>
          <w:i/>
          <w:lang w:val="en-US"/>
        </w:rPr>
        <w:t>Perspectives on Politics</w:t>
      </w:r>
      <w:r w:rsidR="009E5C2F">
        <w:rPr>
          <w:lang w:val="en-US"/>
        </w:rPr>
        <w:t xml:space="preserve"> 8, no. 2 (2010)</w:t>
      </w:r>
      <w:r w:rsidR="00D53530">
        <w:rPr>
          <w:lang w:val="en-US"/>
        </w:rPr>
        <w:t>:</w:t>
      </w:r>
      <w:r w:rsidR="009E5C2F">
        <w:rPr>
          <w:lang w:val="en-US"/>
        </w:rPr>
        <w:t xml:space="preserve"> 411-431.</w:t>
      </w:r>
    </w:p>
    <w:p w14:paraId="03E8608B" w14:textId="620EF4B4" w:rsidR="00DE5B8C" w:rsidRPr="001E08F6" w:rsidRDefault="009E5C2F" w:rsidP="00164689">
      <w:pPr>
        <w:ind w:left="720" w:hanging="720"/>
        <w:rPr>
          <w:lang w:val="en-US"/>
        </w:rPr>
      </w:pPr>
      <w:r>
        <w:t>Walters, William.</w:t>
      </w:r>
      <w:r w:rsidR="001E08F6">
        <w:t xml:space="preserve"> “</w:t>
      </w:r>
      <w:r w:rsidR="001E08F6" w:rsidRPr="001E08F6">
        <w:rPr>
          <w:lang w:val="en-US"/>
        </w:rPr>
        <w:t>Mapping Schengenland: denaturalizing the border</w:t>
      </w:r>
      <w:r w:rsidR="001E08F6">
        <w:rPr>
          <w:lang w:val="en-US"/>
        </w:rPr>
        <w:t>.</w:t>
      </w:r>
      <w:r w:rsidR="001E08F6">
        <w:t xml:space="preserve">” </w:t>
      </w:r>
      <w:r w:rsidR="001E08F6">
        <w:rPr>
          <w:i/>
        </w:rPr>
        <w:t>Environment and Planning D</w:t>
      </w:r>
      <w:r w:rsidR="001E08F6">
        <w:t xml:space="preserve"> 20, no.</w:t>
      </w:r>
      <w:r w:rsidR="00632248">
        <w:t xml:space="preserve"> 5 (</w:t>
      </w:r>
      <w:r w:rsidR="00DE5B8C">
        <w:t>2002</w:t>
      </w:r>
      <w:r w:rsidR="00632248">
        <w:t>): 561-580.</w:t>
      </w:r>
    </w:p>
    <w:p w14:paraId="2DFBAD1D" w14:textId="1A94878A" w:rsidR="00DE5B8C" w:rsidRPr="00802F9F" w:rsidRDefault="009E5C2F" w:rsidP="00164689">
      <w:pPr>
        <w:ind w:left="709" w:hanging="720"/>
      </w:pPr>
      <w:r>
        <w:t>Walters, William.</w:t>
      </w:r>
      <w:r w:rsidR="001E08F6">
        <w:t xml:space="preserve"> “No Border: Games With(out) Frontiers.” </w:t>
      </w:r>
      <w:r w:rsidR="001E08F6">
        <w:rPr>
          <w:i/>
        </w:rPr>
        <w:t xml:space="preserve">Social Justice </w:t>
      </w:r>
      <w:r w:rsidR="001E08F6">
        <w:t>33, no. 1 (</w:t>
      </w:r>
      <w:r w:rsidR="00DE5B8C">
        <w:t>2006</w:t>
      </w:r>
      <w:r w:rsidR="00D53530">
        <w:t>):</w:t>
      </w:r>
      <w:r w:rsidR="001E08F6">
        <w:t xml:space="preserve"> 21-39.</w:t>
      </w:r>
    </w:p>
    <w:sectPr w:rsidR="00DE5B8C" w:rsidRPr="00802F9F" w:rsidSect="00046EE8">
      <w:pgSz w:w="12240" w:h="15840"/>
      <w:pgMar w:top="1440" w:right="1800" w:bottom="1440" w:left="1800" w:header="706" w:footer="86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FB305" w14:textId="77777777" w:rsidR="00191626" w:rsidRDefault="00191626" w:rsidP="00D242A7">
      <w:r>
        <w:separator/>
      </w:r>
    </w:p>
  </w:endnote>
  <w:endnote w:type="continuationSeparator" w:id="0">
    <w:p w14:paraId="0C823E63" w14:textId="77777777" w:rsidR="00191626" w:rsidRDefault="00191626" w:rsidP="00D2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A491C" w14:textId="77777777" w:rsidR="00191626" w:rsidRDefault="00191626" w:rsidP="00D242A7">
      <w:r>
        <w:separator/>
      </w:r>
    </w:p>
  </w:footnote>
  <w:footnote w:type="continuationSeparator" w:id="0">
    <w:p w14:paraId="01D4214A" w14:textId="77777777" w:rsidR="00191626" w:rsidRDefault="00191626" w:rsidP="00D242A7">
      <w:r>
        <w:continuationSeparator/>
      </w:r>
    </w:p>
  </w:footnote>
  <w:footnote w:id="1">
    <w:p w14:paraId="18F03B69" w14:textId="38439B4B" w:rsidR="00191626" w:rsidRPr="00D242A7" w:rsidRDefault="00191626">
      <w:pPr>
        <w:pStyle w:val="FootnoteText"/>
        <w:rPr>
          <w:lang w:val="en-US"/>
        </w:rPr>
      </w:pPr>
      <w:r>
        <w:rPr>
          <w:rStyle w:val="FootnoteReference"/>
        </w:rPr>
        <w:footnoteRef/>
      </w:r>
      <w:r>
        <w:t xml:space="preserve"> “Critical Approaches to Security in Europe”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EC"/>
    <w:rsid w:val="00020FA4"/>
    <w:rsid w:val="00025CA5"/>
    <w:rsid w:val="00031076"/>
    <w:rsid w:val="00046DB2"/>
    <w:rsid w:val="00046EE8"/>
    <w:rsid w:val="0006229E"/>
    <w:rsid w:val="000645EE"/>
    <w:rsid w:val="00082138"/>
    <w:rsid w:val="000849D6"/>
    <w:rsid w:val="00095534"/>
    <w:rsid w:val="000B66B7"/>
    <w:rsid w:val="000B7366"/>
    <w:rsid w:val="000C779D"/>
    <w:rsid w:val="000D1C21"/>
    <w:rsid w:val="000D5AF4"/>
    <w:rsid w:val="000E00CA"/>
    <w:rsid w:val="001012E3"/>
    <w:rsid w:val="00103034"/>
    <w:rsid w:val="00112414"/>
    <w:rsid w:val="00125F7A"/>
    <w:rsid w:val="00135AE5"/>
    <w:rsid w:val="00142BED"/>
    <w:rsid w:val="00145A70"/>
    <w:rsid w:val="00150806"/>
    <w:rsid w:val="00155C6C"/>
    <w:rsid w:val="00164689"/>
    <w:rsid w:val="0016755F"/>
    <w:rsid w:val="00167D64"/>
    <w:rsid w:val="00186256"/>
    <w:rsid w:val="00191626"/>
    <w:rsid w:val="00191D9C"/>
    <w:rsid w:val="00194B60"/>
    <w:rsid w:val="001A04DF"/>
    <w:rsid w:val="001D3CF5"/>
    <w:rsid w:val="001E08F6"/>
    <w:rsid w:val="002031CA"/>
    <w:rsid w:val="00212C90"/>
    <w:rsid w:val="0021508D"/>
    <w:rsid w:val="0022089F"/>
    <w:rsid w:val="0022422C"/>
    <w:rsid w:val="002254E0"/>
    <w:rsid w:val="0023083B"/>
    <w:rsid w:val="0024231F"/>
    <w:rsid w:val="002448CC"/>
    <w:rsid w:val="00261F05"/>
    <w:rsid w:val="002A6080"/>
    <w:rsid w:val="002A66EE"/>
    <w:rsid w:val="002B447D"/>
    <w:rsid w:val="002B7C1F"/>
    <w:rsid w:val="002D38AA"/>
    <w:rsid w:val="002E08B9"/>
    <w:rsid w:val="002F7856"/>
    <w:rsid w:val="00323C63"/>
    <w:rsid w:val="003240A9"/>
    <w:rsid w:val="00331E60"/>
    <w:rsid w:val="0034071A"/>
    <w:rsid w:val="00345ED5"/>
    <w:rsid w:val="00347695"/>
    <w:rsid w:val="00347FED"/>
    <w:rsid w:val="00350BF4"/>
    <w:rsid w:val="003552BA"/>
    <w:rsid w:val="0035549F"/>
    <w:rsid w:val="00364D74"/>
    <w:rsid w:val="00382237"/>
    <w:rsid w:val="003835B7"/>
    <w:rsid w:val="003921B4"/>
    <w:rsid w:val="003A27E4"/>
    <w:rsid w:val="003B6798"/>
    <w:rsid w:val="003C6324"/>
    <w:rsid w:val="003D325A"/>
    <w:rsid w:val="003D4594"/>
    <w:rsid w:val="003D5B10"/>
    <w:rsid w:val="00414686"/>
    <w:rsid w:val="0041726E"/>
    <w:rsid w:val="004462B3"/>
    <w:rsid w:val="00454563"/>
    <w:rsid w:val="00463B64"/>
    <w:rsid w:val="004851A7"/>
    <w:rsid w:val="00492560"/>
    <w:rsid w:val="00493936"/>
    <w:rsid w:val="004B6ECD"/>
    <w:rsid w:val="004C1328"/>
    <w:rsid w:val="004C30A3"/>
    <w:rsid w:val="004C4F80"/>
    <w:rsid w:val="004D2929"/>
    <w:rsid w:val="004E0777"/>
    <w:rsid w:val="004F5482"/>
    <w:rsid w:val="00503CC4"/>
    <w:rsid w:val="005051EF"/>
    <w:rsid w:val="00510722"/>
    <w:rsid w:val="00511359"/>
    <w:rsid w:val="005256FD"/>
    <w:rsid w:val="00525D20"/>
    <w:rsid w:val="0052782D"/>
    <w:rsid w:val="00531E2E"/>
    <w:rsid w:val="00536C12"/>
    <w:rsid w:val="00537C21"/>
    <w:rsid w:val="005429F9"/>
    <w:rsid w:val="005457A2"/>
    <w:rsid w:val="00545E8C"/>
    <w:rsid w:val="00557107"/>
    <w:rsid w:val="00567291"/>
    <w:rsid w:val="00570793"/>
    <w:rsid w:val="005760C0"/>
    <w:rsid w:val="00580A37"/>
    <w:rsid w:val="00584DBE"/>
    <w:rsid w:val="005862C5"/>
    <w:rsid w:val="005872A8"/>
    <w:rsid w:val="005A13A6"/>
    <w:rsid w:val="005B12E1"/>
    <w:rsid w:val="005D4437"/>
    <w:rsid w:val="00601EF1"/>
    <w:rsid w:val="00602E47"/>
    <w:rsid w:val="006129CD"/>
    <w:rsid w:val="00613E73"/>
    <w:rsid w:val="00627B1D"/>
    <w:rsid w:val="00632248"/>
    <w:rsid w:val="00636141"/>
    <w:rsid w:val="00644C9D"/>
    <w:rsid w:val="006527DE"/>
    <w:rsid w:val="006604A5"/>
    <w:rsid w:val="00664F16"/>
    <w:rsid w:val="00670C04"/>
    <w:rsid w:val="006865E0"/>
    <w:rsid w:val="00691623"/>
    <w:rsid w:val="00696C05"/>
    <w:rsid w:val="006A1D54"/>
    <w:rsid w:val="006A47A2"/>
    <w:rsid w:val="006A6405"/>
    <w:rsid w:val="006B6E13"/>
    <w:rsid w:val="006C59AC"/>
    <w:rsid w:val="006C6671"/>
    <w:rsid w:val="006C746F"/>
    <w:rsid w:val="006D7872"/>
    <w:rsid w:val="006E22FF"/>
    <w:rsid w:val="006F1FF5"/>
    <w:rsid w:val="006F4231"/>
    <w:rsid w:val="00701CA8"/>
    <w:rsid w:val="00707B5F"/>
    <w:rsid w:val="00711F7F"/>
    <w:rsid w:val="00734CE4"/>
    <w:rsid w:val="00743BC4"/>
    <w:rsid w:val="00770490"/>
    <w:rsid w:val="00780301"/>
    <w:rsid w:val="007859D5"/>
    <w:rsid w:val="007977D4"/>
    <w:rsid w:val="007A5D8F"/>
    <w:rsid w:val="007B61E7"/>
    <w:rsid w:val="007C195A"/>
    <w:rsid w:val="007C36D2"/>
    <w:rsid w:val="007C4433"/>
    <w:rsid w:val="007C52B4"/>
    <w:rsid w:val="007C7D22"/>
    <w:rsid w:val="007D62E4"/>
    <w:rsid w:val="007D6AA2"/>
    <w:rsid w:val="007E2EBF"/>
    <w:rsid w:val="007E6E03"/>
    <w:rsid w:val="007F3725"/>
    <w:rsid w:val="007F7080"/>
    <w:rsid w:val="0080135A"/>
    <w:rsid w:val="00802F9F"/>
    <w:rsid w:val="008165C8"/>
    <w:rsid w:val="00826069"/>
    <w:rsid w:val="00834923"/>
    <w:rsid w:val="00841088"/>
    <w:rsid w:val="00843BE7"/>
    <w:rsid w:val="00856808"/>
    <w:rsid w:val="0085688B"/>
    <w:rsid w:val="00870245"/>
    <w:rsid w:val="00874E91"/>
    <w:rsid w:val="00884DF5"/>
    <w:rsid w:val="008914A2"/>
    <w:rsid w:val="00892F20"/>
    <w:rsid w:val="00894E86"/>
    <w:rsid w:val="00897CE6"/>
    <w:rsid w:val="008B0377"/>
    <w:rsid w:val="008B3E73"/>
    <w:rsid w:val="008B5803"/>
    <w:rsid w:val="008B6BDC"/>
    <w:rsid w:val="008B71C9"/>
    <w:rsid w:val="008C0A99"/>
    <w:rsid w:val="008C1917"/>
    <w:rsid w:val="008C339C"/>
    <w:rsid w:val="008D476A"/>
    <w:rsid w:val="008E095E"/>
    <w:rsid w:val="008F2021"/>
    <w:rsid w:val="008F5E30"/>
    <w:rsid w:val="00904956"/>
    <w:rsid w:val="00913535"/>
    <w:rsid w:val="00935D78"/>
    <w:rsid w:val="00946F69"/>
    <w:rsid w:val="0096550D"/>
    <w:rsid w:val="00965AB5"/>
    <w:rsid w:val="00975CD0"/>
    <w:rsid w:val="0098720A"/>
    <w:rsid w:val="009A23E2"/>
    <w:rsid w:val="009A6E7F"/>
    <w:rsid w:val="009E5C2F"/>
    <w:rsid w:val="009F398D"/>
    <w:rsid w:val="009F490E"/>
    <w:rsid w:val="00A06653"/>
    <w:rsid w:val="00A22EEC"/>
    <w:rsid w:val="00A2619F"/>
    <w:rsid w:val="00A33F65"/>
    <w:rsid w:val="00A44FD0"/>
    <w:rsid w:val="00A50835"/>
    <w:rsid w:val="00A5353A"/>
    <w:rsid w:val="00A63A0C"/>
    <w:rsid w:val="00A76830"/>
    <w:rsid w:val="00A86966"/>
    <w:rsid w:val="00AA413F"/>
    <w:rsid w:val="00AA612D"/>
    <w:rsid w:val="00AB16A6"/>
    <w:rsid w:val="00AB4DB2"/>
    <w:rsid w:val="00AC5984"/>
    <w:rsid w:val="00AD6BEC"/>
    <w:rsid w:val="00B04F12"/>
    <w:rsid w:val="00B05E28"/>
    <w:rsid w:val="00B113CF"/>
    <w:rsid w:val="00B1247B"/>
    <w:rsid w:val="00B17CFC"/>
    <w:rsid w:val="00B275D9"/>
    <w:rsid w:val="00B31B28"/>
    <w:rsid w:val="00B54F44"/>
    <w:rsid w:val="00B62752"/>
    <w:rsid w:val="00B806AE"/>
    <w:rsid w:val="00B93BA9"/>
    <w:rsid w:val="00BA1C77"/>
    <w:rsid w:val="00BA31FE"/>
    <w:rsid w:val="00BA4B44"/>
    <w:rsid w:val="00BC49C5"/>
    <w:rsid w:val="00BE28BA"/>
    <w:rsid w:val="00BE56D9"/>
    <w:rsid w:val="00BF4B6E"/>
    <w:rsid w:val="00BF4FEB"/>
    <w:rsid w:val="00C16C52"/>
    <w:rsid w:val="00C21A4A"/>
    <w:rsid w:val="00C23B96"/>
    <w:rsid w:val="00C305CC"/>
    <w:rsid w:val="00C56236"/>
    <w:rsid w:val="00C57E6C"/>
    <w:rsid w:val="00C743DC"/>
    <w:rsid w:val="00C74BA5"/>
    <w:rsid w:val="00C758C1"/>
    <w:rsid w:val="00C91B9B"/>
    <w:rsid w:val="00C93BBC"/>
    <w:rsid w:val="00CC409D"/>
    <w:rsid w:val="00CC6061"/>
    <w:rsid w:val="00CD2E76"/>
    <w:rsid w:val="00CF1002"/>
    <w:rsid w:val="00CF79C8"/>
    <w:rsid w:val="00D01817"/>
    <w:rsid w:val="00D12D5D"/>
    <w:rsid w:val="00D16A4C"/>
    <w:rsid w:val="00D20B18"/>
    <w:rsid w:val="00D242A7"/>
    <w:rsid w:val="00D3313D"/>
    <w:rsid w:val="00D351BC"/>
    <w:rsid w:val="00D41C21"/>
    <w:rsid w:val="00D42ABF"/>
    <w:rsid w:val="00D45F5C"/>
    <w:rsid w:val="00D53530"/>
    <w:rsid w:val="00D62091"/>
    <w:rsid w:val="00D7501D"/>
    <w:rsid w:val="00D81470"/>
    <w:rsid w:val="00D9789B"/>
    <w:rsid w:val="00DA79B0"/>
    <w:rsid w:val="00DB30CC"/>
    <w:rsid w:val="00DB454F"/>
    <w:rsid w:val="00DB5CA6"/>
    <w:rsid w:val="00DC37F9"/>
    <w:rsid w:val="00DD123D"/>
    <w:rsid w:val="00DE5B8C"/>
    <w:rsid w:val="00E12AC3"/>
    <w:rsid w:val="00E13B40"/>
    <w:rsid w:val="00E62A57"/>
    <w:rsid w:val="00E66703"/>
    <w:rsid w:val="00E744D2"/>
    <w:rsid w:val="00E7700D"/>
    <w:rsid w:val="00E800E4"/>
    <w:rsid w:val="00E8485B"/>
    <w:rsid w:val="00E907E5"/>
    <w:rsid w:val="00E94F0A"/>
    <w:rsid w:val="00EB0A62"/>
    <w:rsid w:val="00EB535E"/>
    <w:rsid w:val="00EC1407"/>
    <w:rsid w:val="00EE031C"/>
    <w:rsid w:val="00EE2019"/>
    <w:rsid w:val="00EE6AAD"/>
    <w:rsid w:val="00F04BB3"/>
    <w:rsid w:val="00F17FDE"/>
    <w:rsid w:val="00F40C57"/>
    <w:rsid w:val="00F43D34"/>
    <w:rsid w:val="00F44DC7"/>
    <w:rsid w:val="00F45330"/>
    <w:rsid w:val="00F46375"/>
    <w:rsid w:val="00F5278F"/>
    <w:rsid w:val="00F63046"/>
    <w:rsid w:val="00F66D44"/>
    <w:rsid w:val="00F936E0"/>
    <w:rsid w:val="00FA5872"/>
    <w:rsid w:val="00FC1E5F"/>
    <w:rsid w:val="00FE2DCE"/>
    <w:rsid w:val="00FF16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7F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07"/>
    <w:rPr>
      <w:rFonts w:ascii="Times New Roman" w:hAnsi="Times New Roman"/>
      <w:lang w:val="en-GB"/>
    </w:rPr>
  </w:style>
  <w:style w:type="paragraph" w:styleId="Heading1">
    <w:name w:val="heading 1"/>
    <w:basedOn w:val="Normal"/>
    <w:next w:val="Normal"/>
    <w:link w:val="Heading1Char"/>
    <w:uiPriority w:val="9"/>
    <w:qFormat/>
    <w:rsid w:val="00894E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4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405"/>
    <w:rPr>
      <w:rFonts w:ascii="Lucida Grande" w:hAnsi="Lucida Grande" w:cs="Lucida Grande"/>
      <w:sz w:val="18"/>
      <w:szCs w:val="18"/>
      <w:lang w:val="en-GB"/>
    </w:rPr>
  </w:style>
  <w:style w:type="paragraph" w:styleId="NormalWeb">
    <w:name w:val="Normal (Web)"/>
    <w:basedOn w:val="Normal"/>
    <w:uiPriority w:val="99"/>
    <w:semiHidden/>
    <w:unhideWhenUsed/>
    <w:rsid w:val="00CC6061"/>
    <w:rPr>
      <w:rFonts w:cs="Times New Roman"/>
    </w:rPr>
  </w:style>
  <w:style w:type="paragraph" w:styleId="FootnoteText">
    <w:name w:val="footnote text"/>
    <w:basedOn w:val="Normal"/>
    <w:link w:val="FootnoteTextChar"/>
    <w:uiPriority w:val="99"/>
    <w:unhideWhenUsed/>
    <w:rsid w:val="00D242A7"/>
  </w:style>
  <w:style w:type="character" w:customStyle="1" w:styleId="FootnoteTextChar">
    <w:name w:val="Footnote Text Char"/>
    <w:basedOn w:val="DefaultParagraphFont"/>
    <w:link w:val="FootnoteText"/>
    <w:uiPriority w:val="99"/>
    <w:rsid w:val="00D242A7"/>
    <w:rPr>
      <w:rFonts w:ascii="Times New Roman" w:hAnsi="Times New Roman"/>
      <w:lang w:val="en-GB"/>
    </w:rPr>
  </w:style>
  <w:style w:type="character" w:styleId="FootnoteReference">
    <w:name w:val="footnote reference"/>
    <w:basedOn w:val="DefaultParagraphFont"/>
    <w:uiPriority w:val="99"/>
    <w:unhideWhenUsed/>
    <w:rsid w:val="00D242A7"/>
    <w:rPr>
      <w:vertAlign w:val="superscript"/>
    </w:rPr>
  </w:style>
  <w:style w:type="character" w:customStyle="1" w:styleId="Heading1Char">
    <w:name w:val="Heading 1 Char"/>
    <w:basedOn w:val="DefaultParagraphFont"/>
    <w:link w:val="Heading1"/>
    <w:uiPriority w:val="9"/>
    <w:rsid w:val="00894E86"/>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07"/>
    <w:rPr>
      <w:rFonts w:ascii="Times New Roman" w:hAnsi="Times New Roman"/>
      <w:lang w:val="en-GB"/>
    </w:rPr>
  </w:style>
  <w:style w:type="paragraph" w:styleId="Heading1">
    <w:name w:val="heading 1"/>
    <w:basedOn w:val="Normal"/>
    <w:next w:val="Normal"/>
    <w:link w:val="Heading1Char"/>
    <w:uiPriority w:val="9"/>
    <w:qFormat/>
    <w:rsid w:val="00894E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4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405"/>
    <w:rPr>
      <w:rFonts w:ascii="Lucida Grande" w:hAnsi="Lucida Grande" w:cs="Lucida Grande"/>
      <w:sz w:val="18"/>
      <w:szCs w:val="18"/>
      <w:lang w:val="en-GB"/>
    </w:rPr>
  </w:style>
  <w:style w:type="paragraph" w:styleId="NormalWeb">
    <w:name w:val="Normal (Web)"/>
    <w:basedOn w:val="Normal"/>
    <w:uiPriority w:val="99"/>
    <w:semiHidden/>
    <w:unhideWhenUsed/>
    <w:rsid w:val="00CC6061"/>
    <w:rPr>
      <w:rFonts w:cs="Times New Roman"/>
    </w:rPr>
  </w:style>
  <w:style w:type="paragraph" w:styleId="FootnoteText">
    <w:name w:val="footnote text"/>
    <w:basedOn w:val="Normal"/>
    <w:link w:val="FootnoteTextChar"/>
    <w:uiPriority w:val="99"/>
    <w:unhideWhenUsed/>
    <w:rsid w:val="00D242A7"/>
  </w:style>
  <w:style w:type="character" w:customStyle="1" w:styleId="FootnoteTextChar">
    <w:name w:val="Footnote Text Char"/>
    <w:basedOn w:val="DefaultParagraphFont"/>
    <w:link w:val="FootnoteText"/>
    <w:uiPriority w:val="99"/>
    <w:rsid w:val="00D242A7"/>
    <w:rPr>
      <w:rFonts w:ascii="Times New Roman" w:hAnsi="Times New Roman"/>
      <w:lang w:val="en-GB"/>
    </w:rPr>
  </w:style>
  <w:style w:type="character" w:styleId="FootnoteReference">
    <w:name w:val="footnote reference"/>
    <w:basedOn w:val="DefaultParagraphFont"/>
    <w:uiPriority w:val="99"/>
    <w:unhideWhenUsed/>
    <w:rsid w:val="00D242A7"/>
    <w:rPr>
      <w:vertAlign w:val="superscript"/>
    </w:rPr>
  </w:style>
  <w:style w:type="character" w:customStyle="1" w:styleId="Heading1Char">
    <w:name w:val="Heading 1 Char"/>
    <w:basedOn w:val="DefaultParagraphFont"/>
    <w:link w:val="Heading1"/>
    <w:uiPriority w:val="9"/>
    <w:rsid w:val="00894E86"/>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9584">
      <w:bodyDiv w:val="1"/>
      <w:marLeft w:val="0"/>
      <w:marRight w:val="0"/>
      <w:marTop w:val="0"/>
      <w:marBottom w:val="0"/>
      <w:divBdr>
        <w:top w:val="none" w:sz="0" w:space="0" w:color="auto"/>
        <w:left w:val="none" w:sz="0" w:space="0" w:color="auto"/>
        <w:bottom w:val="none" w:sz="0" w:space="0" w:color="auto"/>
        <w:right w:val="none" w:sz="0" w:space="0" w:color="auto"/>
      </w:divBdr>
    </w:div>
    <w:div w:id="328680038">
      <w:bodyDiv w:val="1"/>
      <w:marLeft w:val="0"/>
      <w:marRight w:val="0"/>
      <w:marTop w:val="0"/>
      <w:marBottom w:val="0"/>
      <w:divBdr>
        <w:top w:val="none" w:sz="0" w:space="0" w:color="auto"/>
        <w:left w:val="none" w:sz="0" w:space="0" w:color="auto"/>
        <w:bottom w:val="none" w:sz="0" w:space="0" w:color="auto"/>
        <w:right w:val="none" w:sz="0" w:space="0" w:color="auto"/>
      </w:divBdr>
    </w:div>
    <w:div w:id="415638872">
      <w:bodyDiv w:val="1"/>
      <w:marLeft w:val="0"/>
      <w:marRight w:val="0"/>
      <w:marTop w:val="0"/>
      <w:marBottom w:val="0"/>
      <w:divBdr>
        <w:top w:val="none" w:sz="0" w:space="0" w:color="auto"/>
        <w:left w:val="none" w:sz="0" w:space="0" w:color="auto"/>
        <w:bottom w:val="none" w:sz="0" w:space="0" w:color="auto"/>
        <w:right w:val="none" w:sz="0" w:space="0" w:color="auto"/>
      </w:divBdr>
      <w:divsChild>
        <w:div w:id="1396780689">
          <w:marLeft w:val="0"/>
          <w:marRight w:val="0"/>
          <w:marTop w:val="0"/>
          <w:marBottom w:val="0"/>
          <w:divBdr>
            <w:top w:val="none" w:sz="0" w:space="0" w:color="auto"/>
            <w:left w:val="none" w:sz="0" w:space="0" w:color="auto"/>
            <w:bottom w:val="none" w:sz="0" w:space="0" w:color="auto"/>
            <w:right w:val="none" w:sz="0" w:space="0" w:color="auto"/>
          </w:divBdr>
          <w:divsChild>
            <w:div w:id="156463121">
              <w:marLeft w:val="0"/>
              <w:marRight w:val="0"/>
              <w:marTop w:val="0"/>
              <w:marBottom w:val="0"/>
              <w:divBdr>
                <w:top w:val="none" w:sz="0" w:space="0" w:color="auto"/>
                <w:left w:val="none" w:sz="0" w:space="0" w:color="auto"/>
                <w:bottom w:val="none" w:sz="0" w:space="0" w:color="auto"/>
                <w:right w:val="none" w:sz="0" w:space="0" w:color="auto"/>
              </w:divBdr>
              <w:divsChild>
                <w:div w:id="9641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6528">
      <w:bodyDiv w:val="1"/>
      <w:marLeft w:val="0"/>
      <w:marRight w:val="0"/>
      <w:marTop w:val="0"/>
      <w:marBottom w:val="0"/>
      <w:divBdr>
        <w:top w:val="none" w:sz="0" w:space="0" w:color="auto"/>
        <w:left w:val="none" w:sz="0" w:space="0" w:color="auto"/>
        <w:bottom w:val="none" w:sz="0" w:space="0" w:color="auto"/>
        <w:right w:val="none" w:sz="0" w:space="0" w:color="auto"/>
      </w:divBdr>
    </w:div>
    <w:div w:id="968583899">
      <w:bodyDiv w:val="1"/>
      <w:marLeft w:val="0"/>
      <w:marRight w:val="0"/>
      <w:marTop w:val="0"/>
      <w:marBottom w:val="0"/>
      <w:divBdr>
        <w:top w:val="none" w:sz="0" w:space="0" w:color="auto"/>
        <w:left w:val="none" w:sz="0" w:space="0" w:color="auto"/>
        <w:bottom w:val="none" w:sz="0" w:space="0" w:color="auto"/>
        <w:right w:val="none" w:sz="0" w:space="0" w:color="auto"/>
      </w:divBdr>
    </w:div>
    <w:div w:id="1347900014">
      <w:bodyDiv w:val="1"/>
      <w:marLeft w:val="0"/>
      <w:marRight w:val="0"/>
      <w:marTop w:val="0"/>
      <w:marBottom w:val="0"/>
      <w:divBdr>
        <w:top w:val="none" w:sz="0" w:space="0" w:color="auto"/>
        <w:left w:val="none" w:sz="0" w:space="0" w:color="auto"/>
        <w:bottom w:val="none" w:sz="0" w:space="0" w:color="auto"/>
        <w:right w:val="none" w:sz="0" w:space="0" w:color="auto"/>
      </w:divBdr>
    </w:div>
    <w:div w:id="2013070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2213</TotalTime>
  <Pages>4</Pages>
  <Words>1529</Words>
  <Characters>8809</Characters>
  <Application>Microsoft Macintosh Word</Application>
  <DocSecurity>0</DocSecurity>
  <Lines>172</Lines>
  <Paragraphs>36</Paragraphs>
  <ScaleCrop>false</ScaleCrop>
  <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 Frowd</dc:creator>
  <cp:keywords/>
  <dc:description/>
  <cp:lastModifiedBy>Philippe M. Frowd</cp:lastModifiedBy>
  <cp:revision>325</cp:revision>
  <dcterms:created xsi:type="dcterms:W3CDTF">2013-10-13T14:22:00Z</dcterms:created>
  <dcterms:modified xsi:type="dcterms:W3CDTF">2014-01-01T02:20:00Z</dcterms:modified>
</cp:coreProperties>
</file>