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F1" w:rsidRDefault="00027DF1" w:rsidP="00CE22CF">
      <w:pPr>
        <w:rPr>
          <w:rFonts w:cs="Arial"/>
          <w:b/>
        </w:rPr>
      </w:pPr>
      <w:r>
        <w:rPr>
          <w:rFonts w:cs="Arial"/>
          <w:b/>
        </w:rPr>
        <w:t xml:space="preserve">Impacts </w:t>
      </w:r>
      <w:r w:rsidR="00805197">
        <w:rPr>
          <w:rFonts w:cs="Arial"/>
          <w:b/>
        </w:rPr>
        <w:t xml:space="preserve">and incentives </w:t>
      </w:r>
      <w:r>
        <w:rPr>
          <w:rFonts w:cs="Arial"/>
          <w:b/>
        </w:rPr>
        <w:t xml:space="preserve">of differentiated rail infrastructure charges in </w:t>
      </w:r>
      <w:smartTag w:uri="urn:schemas-microsoft-com:office:smarttags" w:element="place">
        <w:r>
          <w:rPr>
            <w:rFonts w:cs="Arial"/>
            <w:b/>
          </w:rPr>
          <w:t>Europe</w:t>
        </w:r>
      </w:smartTag>
      <w:r>
        <w:rPr>
          <w:rFonts w:cs="Arial"/>
          <w:b/>
        </w:rPr>
        <w:t xml:space="preserve"> – focus on freight</w:t>
      </w:r>
    </w:p>
    <w:p w:rsidR="00027DF1" w:rsidRDefault="00027DF1" w:rsidP="00CE22CF">
      <w:pPr>
        <w:rPr>
          <w:rFonts w:cs="Arial"/>
          <w:b/>
        </w:rPr>
      </w:pPr>
    </w:p>
    <w:p w:rsidR="00414399" w:rsidRDefault="00414399" w:rsidP="00414399">
      <w:pPr>
        <w:rPr>
          <w:rFonts w:cs="Arial"/>
        </w:rPr>
      </w:pPr>
      <w:r>
        <w:rPr>
          <w:rFonts w:cs="Arial"/>
        </w:rPr>
        <w:t xml:space="preserve">Bryan Matthews, Christos </w:t>
      </w:r>
      <w:proofErr w:type="spellStart"/>
      <w:r>
        <w:rPr>
          <w:rFonts w:cs="Arial"/>
        </w:rPr>
        <w:t>Evangel</w:t>
      </w:r>
      <w:r w:rsidR="00805197">
        <w:rPr>
          <w:rFonts w:cs="Arial"/>
        </w:rPr>
        <w:t>in</w:t>
      </w:r>
      <w:r>
        <w:rPr>
          <w:rFonts w:cs="Arial"/>
        </w:rPr>
        <w:t>os</w:t>
      </w:r>
      <w:proofErr w:type="spellEnd"/>
      <w:r>
        <w:rPr>
          <w:rFonts w:cs="Arial"/>
        </w:rPr>
        <w:t>, Dan</w:t>
      </w:r>
      <w:r w:rsidR="00312473">
        <w:rPr>
          <w:rFonts w:cs="Arial"/>
        </w:rPr>
        <w:t>iel</w:t>
      </w:r>
      <w:r>
        <w:rPr>
          <w:rFonts w:cs="Arial"/>
        </w:rPr>
        <w:t xml:space="preserve"> Johnson and David </w:t>
      </w:r>
      <w:proofErr w:type="spellStart"/>
      <w:r>
        <w:rPr>
          <w:rFonts w:cs="Arial"/>
        </w:rPr>
        <w:t>Meunier</w:t>
      </w:r>
      <w:proofErr w:type="spellEnd"/>
      <w:r>
        <w:rPr>
          <w:rFonts w:cs="Arial"/>
        </w:rPr>
        <w:t xml:space="preserve">,  </w:t>
      </w:r>
    </w:p>
    <w:p w:rsidR="00414399" w:rsidRDefault="00414399" w:rsidP="00414399">
      <w:pPr>
        <w:rPr>
          <w:rFonts w:cs="Arial"/>
        </w:rPr>
      </w:pPr>
    </w:p>
    <w:p w:rsidR="00805197" w:rsidRPr="008E40C1" w:rsidRDefault="00805197" w:rsidP="00805197">
      <w:pPr>
        <w:rPr>
          <w:rFonts w:cs="Arial"/>
          <w:b/>
        </w:rPr>
      </w:pPr>
      <w:r w:rsidRPr="008E40C1">
        <w:rPr>
          <w:rFonts w:cs="Arial"/>
          <w:b/>
        </w:rPr>
        <w:t>Abstract</w:t>
      </w:r>
    </w:p>
    <w:p w:rsidR="00805197" w:rsidRPr="008E40C1" w:rsidRDefault="00805197" w:rsidP="00805197">
      <w:pPr>
        <w:rPr>
          <w:rFonts w:cs="Arial"/>
        </w:rPr>
      </w:pPr>
      <w:r w:rsidRPr="008E40C1">
        <w:rPr>
          <w:rFonts w:cs="Arial"/>
        </w:rPr>
        <w:t xml:space="preserve">One of the key objectives of rail infrastructure charges has been stated as being to promote the efficient use of the infrastructure.  Much effort has been put into the derivation of charging regimes by infrastructure managers and regulators throughout </w:t>
      </w:r>
      <w:proofErr w:type="gramStart"/>
      <w:smartTag w:uri="urn:schemas-microsoft-com:office:smarttags" w:element="place">
        <w:r w:rsidRPr="008E40C1">
          <w:rPr>
            <w:rFonts w:cs="Arial"/>
          </w:rPr>
          <w:t>Europe</w:t>
        </w:r>
      </w:smartTag>
      <w:r w:rsidRPr="008E40C1">
        <w:rPr>
          <w:rFonts w:cs="Arial"/>
        </w:rPr>
        <w:t>,</w:t>
      </w:r>
      <w:proofErr w:type="gramEnd"/>
      <w:r w:rsidRPr="008E40C1">
        <w:rPr>
          <w:rFonts w:cs="Arial"/>
        </w:rPr>
        <w:t xml:space="preserve"> and a mix of differing regimes have been put in place.  However, relatively little work has been undertaken to examine the impacts and </w:t>
      </w:r>
      <w:proofErr w:type="spellStart"/>
      <w:r w:rsidRPr="008E40C1">
        <w:rPr>
          <w:rFonts w:cs="Arial"/>
        </w:rPr>
        <w:t>incentivisation</w:t>
      </w:r>
      <w:proofErr w:type="spellEnd"/>
      <w:r w:rsidRPr="008E40C1">
        <w:rPr>
          <w:rFonts w:cs="Arial"/>
        </w:rPr>
        <w:t xml:space="preserve"> effects that these charging regimes produce.  This paper gives consideration to relevant theory in this area, what one might expect - from first principles - and then reports on a number of interviews and case studies undertaken to explore these impacts and incentives.  Finally, it discusses a number of methodological issues surrounding this area of research, and proposes further lines of enquiry that might reasonably be </w:t>
      </w:r>
      <w:r w:rsidR="008E40C1" w:rsidRPr="008E40C1">
        <w:rPr>
          <w:rFonts w:cs="Arial"/>
        </w:rPr>
        <w:t>pursued</w:t>
      </w:r>
      <w:r w:rsidRPr="008E40C1">
        <w:rPr>
          <w:rFonts w:cs="Arial"/>
        </w:rPr>
        <w:t>.</w:t>
      </w:r>
    </w:p>
    <w:p w:rsidR="00805197" w:rsidRDefault="00805197" w:rsidP="00805197">
      <w:pPr>
        <w:rPr>
          <w:rFonts w:ascii="Calibri" w:hAnsi="Calibri"/>
          <w:color w:val="1F497D"/>
          <w:sz w:val="22"/>
          <w:szCs w:val="22"/>
          <w:lang w:val="en-US"/>
        </w:rPr>
      </w:pPr>
    </w:p>
    <w:p w:rsidR="00414399" w:rsidRPr="008E40C1" w:rsidRDefault="00414399" w:rsidP="00414399">
      <w:pPr>
        <w:rPr>
          <w:rFonts w:cs="Arial"/>
          <w:b/>
        </w:rPr>
      </w:pPr>
      <w:r w:rsidRPr="008E40C1">
        <w:rPr>
          <w:rFonts w:cs="Arial"/>
          <w:b/>
        </w:rPr>
        <w:t>Acknowledgement</w:t>
      </w:r>
    </w:p>
    <w:p w:rsidR="00414399" w:rsidRDefault="00414399" w:rsidP="00414399">
      <w:pPr>
        <w:rPr>
          <w:rFonts w:cs="Arial"/>
        </w:rPr>
      </w:pPr>
      <w:r>
        <w:rPr>
          <w:rFonts w:cs="Arial"/>
        </w:rPr>
        <w:t>The work reported in this paper was undertaken as part of</w:t>
      </w:r>
      <w:r w:rsidR="008E40C1">
        <w:rPr>
          <w:rFonts w:cs="Arial"/>
        </w:rPr>
        <w:t xml:space="preserve"> the EU FP6 project DIFFERENT. </w:t>
      </w:r>
      <w:r>
        <w:rPr>
          <w:rFonts w:cs="Arial"/>
        </w:rPr>
        <w:t>We would like to acknowledge the European Commission for their funding of this work, and our partners and colleagues within the project consortium.  In particular, Christiane Biele</w:t>
      </w:r>
      <w:r w:rsidR="00D75E2A">
        <w:rPr>
          <w:rFonts w:cs="Arial"/>
        </w:rPr>
        <w:t>f</w:t>
      </w:r>
      <w:r>
        <w:rPr>
          <w:rFonts w:cs="Arial"/>
        </w:rPr>
        <w:t>eld</w:t>
      </w:r>
      <w:r w:rsidR="00D75E2A">
        <w:rPr>
          <w:rFonts w:cs="Arial"/>
        </w:rPr>
        <w:t>t</w:t>
      </w:r>
      <w:r>
        <w:rPr>
          <w:rFonts w:cs="Arial"/>
        </w:rPr>
        <w:t xml:space="preserve">, Emile </w:t>
      </w:r>
      <w:proofErr w:type="spellStart"/>
      <w:r>
        <w:rPr>
          <w:rFonts w:cs="Arial"/>
        </w:rPr>
        <w:t>Quinet</w:t>
      </w:r>
      <w:proofErr w:type="spellEnd"/>
      <w:r>
        <w:rPr>
          <w:rFonts w:cs="Arial"/>
        </w:rPr>
        <w:t xml:space="preserve">, Bernhard Wieland, Tony Fowkes, Batool </w:t>
      </w:r>
      <w:proofErr w:type="spellStart"/>
      <w:r>
        <w:rPr>
          <w:rFonts w:cs="Arial"/>
        </w:rPr>
        <w:t>Menaz</w:t>
      </w:r>
      <w:proofErr w:type="spellEnd"/>
      <w:r>
        <w:rPr>
          <w:rFonts w:cs="Arial"/>
        </w:rPr>
        <w:t xml:space="preserve">, Rico </w:t>
      </w:r>
      <w:proofErr w:type="spellStart"/>
      <w:r>
        <w:rPr>
          <w:rFonts w:cs="Arial"/>
        </w:rPr>
        <w:t>Mer</w:t>
      </w:r>
      <w:r w:rsidR="00A378D4">
        <w:rPr>
          <w:rFonts w:cs="Arial"/>
        </w:rPr>
        <w:t>ke</w:t>
      </w:r>
      <w:r>
        <w:rPr>
          <w:rFonts w:cs="Arial"/>
        </w:rPr>
        <w:t>rt</w:t>
      </w:r>
      <w:proofErr w:type="spellEnd"/>
      <w:r>
        <w:rPr>
          <w:rFonts w:cs="Arial"/>
        </w:rPr>
        <w:t xml:space="preserve">, </w:t>
      </w:r>
      <w:proofErr w:type="spellStart"/>
      <w:r w:rsidR="006A5D83">
        <w:rPr>
          <w:rFonts w:cs="Arial"/>
        </w:rPr>
        <w:t>Cécile</w:t>
      </w:r>
      <w:proofErr w:type="spellEnd"/>
      <w:r w:rsidR="006A5D83">
        <w:rPr>
          <w:rFonts w:cs="Arial"/>
        </w:rPr>
        <w:t xml:space="preserve"> Ruby, </w:t>
      </w:r>
      <w:r>
        <w:rPr>
          <w:rFonts w:cs="Arial"/>
        </w:rPr>
        <w:t xml:space="preserve">Stefano </w:t>
      </w:r>
      <w:proofErr w:type="spellStart"/>
      <w:r>
        <w:rPr>
          <w:rFonts w:cs="Arial"/>
        </w:rPr>
        <w:t>Erba</w:t>
      </w:r>
      <w:proofErr w:type="spellEnd"/>
      <w:r>
        <w:rPr>
          <w:rFonts w:cs="Arial"/>
        </w:rPr>
        <w:t xml:space="preserve"> and Tor </w:t>
      </w:r>
      <w:proofErr w:type="spellStart"/>
      <w:r>
        <w:rPr>
          <w:rFonts w:cs="Arial"/>
        </w:rPr>
        <w:t>Nicola</w:t>
      </w:r>
      <w:r w:rsidR="00805197">
        <w:rPr>
          <w:rFonts w:cs="Arial"/>
        </w:rPr>
        <w:t>i</w:t>
      </w:r>
      <w:r>
        <w:rPr>
          <w:rFonts w:cs="Arial"/>
        </w:rPr>
        <w:t>s</w:t>
      </w:r>
      <w:r w:rsidR="00805197">
        <w:rPr>
          <w:rFonts w:cs="Arial"/>
        </w:rPr>
        <w:t>en</w:t>
      </w:r>
      <w:proofErr w:type="spellEnd"/>
      <w:r>
        <w:rPr>
          <w:rFonts w:cs="Arial"/>
        </w:rPr>
        <w:t xml:space="preserve">.  In addition, we would like to acknowledge the support of our contacts in the rail industry </w:t>
      </w:r>
      <w:proofErr w:type="gramStart"/>
      <w:r>
        <w:rPr>
          <w:rFonts w:cs="Arial"/>
        </w:rPr>
        <w:t>who</w:t>
      </w:r>
      <w:proofErr w:type="gramEnd"/>
      <w:r>
        <w:rPr>
          <w:rFonts w:cs="Arial"/>
        </w:rPr>
        <w:t xml:space="preserve"> took part in our 25 stakeholder interviews and provided us with much insight into the topic.  However, any views expressed and any errors contained within are our own.</w:t>
      </w:r>
    </w:p>
    <w:p w:rsidR="00027DF1" w:rsidRDefault="00027DF1" w:rsidP="00CE22CF">
      <w:pPr>
        <w:rPr>
          <w:rFonts w:cs="Arial"/>
          <w:b/>
        </w:rPr>
      </w:pPr>
    </w:p>
    <w:p w:rsidR="00854221" w:rsidRPr="00CE22CF" w:rsidRDefault="00CE22CF" w:rsidP="00CE22CF">
      <w:pPr>
        <w:rPr>
          <w:rFonts w:cs="Arial"/>
          <w:b/>
        </w:rPr>
      </w:pPr>
      <w:r w:rsidRPr="00CE22CF">
        <w:rPr>
          <w:rFonts w:cs="Arial"/>
          <w:b/>
        </w:rPr>
        <w:t>1.</w:t>
      </w:r>
      <w:r w:rsidR="00B264ED" w:rsidRPr="00CE22CF">
        <w:rPr>
          <w:rFonts w:cs="Arial"/>
          <w:b/>
        </w:rPr>
        <w:t xml:space="preserve"> </w:t>
      </w:r>
      <w:r w:rsidRPr="00CE22CF">
        <w:rPr>
          <w:rFonts w:cs="Arial"/>
          <w:b/>
        </w:rPr>
        <w:t>Introduction</w:t>
      </w:r>
    </w:p>
    <w:p w:rsidR="00CE22CF" w:rsidRDefault="00CE22CF" w:rsidP="00CE22CF">
      <w:pPr>
        <w:rPr>
          <w:rFonts w:cs="Arial"/>
        </w:rPr>
      </w:pPr>
    </w:p>
    <w:p w:rsidR="00854221" w:rsidRPr="00D80E11" w:rsidRDefault="00854221" w:rsidP="00854221">
      <w:pPr>
        <w:rPr>
          <w:rFonts w:cs="Arial"/>
        </w:rPr>
      </w:pPr>
      <w:r w:rsidRPr="00D80E11">
        <w:rPr>
          <w:rFonts w:cs="Arial"/>
        </w:rPr>
        <w:t>Charging in the rail sector has, over recent years, made a number of moves towards greater efficiency and this has tended to lead to a greater degree of differentiation in the charges.  A number of countries sought, as part of the reform of their national railway industries, to develop and implement systems of rail infrastructure charging that approximate to marginal cost pricing</w:t>
      </w:r>
      <w:r w:rsidR="006447AD">
        <w:rPr>
          <w:rFonts w:cs="Arial"/>
        </w:rPr>
        <w:t xml:space="preserve"> and, s</w:t>
      </w:r>
      <w:r w:rsidRPr="00D80E11">
        <w:rPr>
          <w:rFonts w:cs="Arial"/>
        </w:rPr>
        <w:t xml:space="preserve">ince adoption of Directive 2001/14 which requires rail infrastructure charges to be based on marginal cost, the majority of member states have </w:t>
      </w:r>
      <w:r w:rsidR="006447AD">
        <w:rPr>
          <w:rFonts w:cs="Arial"/>
        </w:rPr>
        <w:t xml:space="preserve">now done the same.  </w:t>
      </w:r>
      <w:r w:rsidRPr="00D80E11">
        <w:rPr>
          <w:rFonts w:cs="Arial"/>
        </w:rPr>
        <w:t>However, the ways in which Member States are basing their systems on marginal cost principles differ from one country to the next and a diversity of approaches has developed.</w:t>
      </w:r>
    </w:p>
    <w:p w:rsidR="00854221" w:rsidRPr="00D80E11" w:rsidRDefault="00854221" w:rsidP="00854221">
      <w:pPr>
        <w:rPr>
          <w:rFonts w:cs="Arial"/>
        </w:rPr>
      </w:pPr>
    </w:p>
    <w:p w:rsidR="006447AD" w:rsidRDefault="00414399" w:rsidP="00854221">
      <w:pPr>
        <w:rPr>
          <w:rFonts w:cs="Arial"/>
        </w:rPr>
      </w:pPr>
      <w:r>
        <w:rPr>
          <w:rFonts w:cs="Arial"/>
        </w:rPr>
        <w:t>Previous r</w:t>
      </w:r>
      <w:r w:rsidR="00854221" w:rsidRPr="00D80E11">
        <w:rPr>
          <w:rFonts w:cs="Arial"/>
        </w:rPr>
        <w:t xml:space="preserve">esearch </w:t>
      </w:r>
      <w:r w:rsidR="006447AD">
        <w:rPr>
          <w:rFonts w:cs="Arial"/>
        </w:rPr>
        <w:t xml:space="preserve">in this area </w:t>
      </w:r>
      <w:r w:rsidR="00854221" w:rsidRPr="00D80E11">
        <w:rPr>
          <w:rFonts w:cs="Arial"/>
        </w:rPr>
        <w:t xml:space="preserve">has tended to focus on the design of infrastructure charging regimes which, in principle, promote efficient use of the infrastructure, efficient investment or which enable a particular degree of cost recovery.  </w:t>
      </w:r>
      <w:r w:rsidR="006447AD">
        <w:rPr>
          <w:rFonts w:cs="Arial"/>
        </w:rPr>
        <w:t>This has then led on to a substantial body of research into the measurement of costs, in particular of marginal cost (</w:t>
      </w:r>
      <w:bookmarkStart w:id="0" w:name="OLE_LINK1"/>
      <w:bookmarkStart w:id="1" w:name="OLE_LINK2"/>
      <w:r>
        <w:rPr>
          <w:rFonts w:cs="Arial"/>
        </w:rPr>
        <w:t>Wheat</w:t>
      </w:r>
      <w:r w:rsidR="00BD654F">
        <w:rPr>
          <w:rFonts w:cs="Arial"/>
        </w:rPr>
        <w:t xml:space="preserve"> and Smith</w:t>
      </w:r>
      <w:r>
        <w:rPr>
          <w:rFonts w:cs="Arial"/>
        </w:rPr>
        <w:t>, 2008; Nash et al, 2008 etc</w:t>
      </w:r>
      <w:bookmarkEnd w:id="0"/>
      <w:bookmarkEnd w:id="1"/>
      <w:r>
        <w:rPr>
          <w:rFonts w:cs="Arial"/>
        </w:rPr>
        <w:t>)</w:t>
      </w:r>
      <w:r w:rsidR="006447AD">
        <w:rPr>
          <w:rFonts w:cs="Arial"/>
        </w:rPr>
        <w:t>).</w:t>
      </w:r>
    </w:p>
    <w:p w:rsidR="006447AD" w:rsidRDefault="006447AD" w:rsidP="00854221">
      <w:pPr>
        <w:rPr>
          <w:rFonts w:cs="Arial"/>
        </w:rPr>
      </w:pPr>
    </w:p>
    <w:p w:rsidR="006447AD" w:rsidRDefault="006447AD" w:rsidP="006447AD">
      <w:pPr>
        <w:rPr>
          <w:rFonts w:cs="Arial"/>
        </w:rPr>
      </w:pPr>
      <w:r>
        <w:rPr>
          <w:rFonts w:cs="Arial"/>
        </w:rPr>
        <w:t xml:space="preserve">There has been relatively little research in the area of how train operators react to the charges they face. There is, for example, no previous research to estimate infrastructure charge </w:t>
      </w:r>
      <w:proofErr w:type="spellStart"/>
      <w:r>
        <w:rPr>
          <w:rFonts w:cs="Arial"/>
        </w:rPr>
        <w:t>elasticities</w:t>
      </w:r>
      <w:proofErr w:type="spellEnd"/>
      <w:r>
        <w:rPr>
          <w:rFonts w:cs="Arial"/>
        </w:rPr>
        <w:t xml:space="preserve"> and no research into how train operators perceive and interpret different charging structures; i.e. whether they can interpret highly differentiated, complex regimes or whether there may be a necessity to keep things simple.  A further apparent gap in the research on rail infrastructure charges relates to the issue </w:t>
      </w:r>
      <w:proofErr w:type="gramStart"/>
      <w:r>
        <w:rPr>
          <w:rFonts w:cs="Arial"/>
        </w:rPr>
        <w:t>of</w:t>
      </w:r>
      <w:proofErr w:type="gramEnd"/>
      <w:r>
        <w:rPr>
          <w:rFonts w:cs="Arial"/>
        </w:rPr>
        <w:t xml:space="preserve"> how operators pass on their costs to end-users – that is, passengers and freight forwarders - and how different infrastructure charging regimes impact on charges to end users.</w:t>
      </w:r>
    </w:p>
    <w:p w:rsidR="006447AD" w:rsidRDefault="006447AD" w:rsidP="006447AD">
      <w:pPr>
        <w:rPr>
          <w:rFonts w:cs="Arial"/>
        </w:rPr>
      </w:pPr>
    </w:p>
    <w:p w:rsidR="00854221" w:rsidRPr="00D80E11" w:rsidRDefault="006447AD" w:rsidP="006447AD">
      <w:pPr>
        <w:rPr>
          <w:rFonts w:cs="Arial"/>
        </w:rPr>
      </w:pPr>
      <w:r>
        <w:rPr>
          <w:rFonts w:cs="Arial"/>
        </w:rPr>
        <w:t xml:space="preserve"> T</w:t>
      </w:r>
      <w:r w:rsidR="00854221" w:rsidRPr="00D80E11">
        <w:rPr>
          <w:rFonts w:cs="Arial"/>
        </w:rPr>
        <w:t>here is</w:t>
      </w:r>
      <w:r>
        <w:rPr>
          <w:rFonts w:cs="Arial"/>
        </w:rPr>
        <w:t>, nevertheless,</w:t>
      </w:r>
      <w:r w:rsidR="00854221" w:rsidRPr="00D80E11">
        <w:rPr>
          <w:rFonts w:cs="Arial"/>
        </w:rPr>
        <w:t xml:space="preserve"> some evidence that train operator reactions to infrastructure charges are important. </w:t>
      </w:r>
      <w:r w:rsidR="00854221">
        <w:rPr>
          <w:rFonts w:cs="Arial"/>
        </w:rPr>
        <w:t xml:space="preserve"> </w:t>
      </w:r>
      <w:r w:rsidR="00854221" w:rsidRPr="00D80E11">
        <w:rPr>
          <w:rFonts w:cs="Arial"/>
        </w:rPr>
        <w:t xml:space="preserve">A key factor motivating the revisions to rail infrastructure charges in </w:t>
      </w:r>
      <w:smartTag w:uri="urn:schemas-microsoft-com:office:smarttags" w:element="place">
        <w:smartTag w:uri="urn:schemas-microsoft-com:office:smarttags" w:element="country-region">
          <w:r w:rsidR="00854221" w:rsidRPr="00D80E11">
            <w:rPr>
              <w:rFonts w:cs="Arial"/>
            </w:rPr>
            <w:t>Britain</w:t>
          </w:r>
        </w:smartTag>
      </w:smartTag>
      <w:r w:rsidR="00854221" w:rsidRPr="00D80E11">
        <w:rPr>
          <w:rFonts w:cs="Arial"/>
        </w:rPr>
        <w:t xml:space="preserve"> in 2001 was the view that the initial system of infrastructure charges gave the wrong incentives to train operators and led to greater congestion on the network.  User reactions were also a key factor in </w:t>
      </w:r>
      <w:smartTag w:uri="urn:schemas-microsoft-com:office:smarttags" w:element="place">
        <w:smartTag w:uri="urn:schemas-microsoft-com:office:smarttags" w:element="country-region">
          <w:r w:rsidR="00854221" w:rsidRPr="00D80E11">
            <w:rPr>
              <w:rFonts w:cs="Arial"/>
            </w:rPr>
            <w:t>Germany</w:t>
          </w:r>
        </w:smartTag>
      </w:smartTag>
      <w:r w:rsidR="00854221" w:rsidRPr="00D80E11">
        <w:rPr>
          <w:rFonts w:cs="Arial"/>
        </w:rPr>
        <w:t>, where the infrastructure charging system has undergone reforms largely motivated out of concerns about competitive incentives and user reactions amongst train operators.</w:t>
      </w:r>
    </w:p>
    <w:p w:rsidR="00854221" w:rsidRPr="00D80E11" w:rsidRDefault="00854221" w:rsidP="00854221">
      <w:pPr>
        <w:rPr>
          <w:rFonts w:cs="Arial"/>
        </w:rPr>
      </w:pPr>
    </w:p>
    <w:p w:rsidR="00854221" w:rsidRPr="00D80E11" w:rsidRDefault="00854221" w:rsidP="00854221">
      <w:pPr>
        <w:rPr>
          <w:rFonts w:cs="Arial"/>
        </w:rPr>
      </w:pPr>
      <w:r w:rsidRPr="00D80E11">
        <w:rPr>
          <w:rFonts w:cs="Arial"/>
        </w:rPr>
        <w:t xml:space="preserve">One can postulate that rail infrastructure charges might have two principal effects on train operators. Firstly, they might affect their behaviour, in terms of their use of the infrastructure and the way they operate their services.  That is, a train operator’s decision as to whether to offer a rail service and how to offer that service – when, where and with what rolling stock, staffing levels etc – is likely to be affected by the charges that they will incur in doing so.  If there is a differentiated charging system featuring relatively high infrastructure charges in peak times (as was proposed in Britain) or on highly </w:t>
      </w:r>
      <w:r w:rsidRPr="00D80E11">
        <w:rPr>
          <w:rFonts w:cs="Arial"/>
        </w:rPr>
        <w:lastRenderedPageBreak/>
        <w:t>utilized lines (as is the case in Germany and Austria), that may serve as a disincentive to an operator considering the introduction of a new or additional peak service.  Correspondingly, relatively low charges at night, for example, or on less utilized lines are likely to serve as a stimulus to new or additional services.  Secondly, rail infrastructure charges could be expected to affect the charges that train operators make to their customers, be they passengers or freight forwarders.  In fact, there may be a feedback mechanism, whereby the charges that train operators are able to make to their customers has an impact on the rail infrastructure charges as well.  For example, if a train operator is faced with a high infrastructure charge for operating a particular service but thinks that passengers place a high value on that service, they might decide to operate the service on the basis of being able to cover the cost of the infrastructure charges through charging high passenger fares.  Indeed, the reason behind the high infrastructure charge for that service may actually be a factor of the value that train operators believe that their customers place on the relevant rail services.</w:t>
      </w:r>
    </w:p>
    <w:p w:rsidR="00854221" w:rsidRPr="00D80E11" w:rsidRDefault="00854221" w:rsidP="00854221">
      <w:pPr>
        <w:rPr>
          <w:rFonts w:cs="Arial"/>
        </w:rPr>
      </w:pPr>
    </w:p>
    <w:p w:rsidR="00854221" w:rsidRPr="00D80E11" w:rsidRDefault="00854221" w:rsidP="00854221">
      <w:pPr>
        <w:rPr>
          <w:rFonts w:cs="Arial"/>
        </w:rPr>
      </w:pPr>
      <w:r w:rsidRPr="00D80E11">
        <w:rPr>
          <w:rFonts w:cs="Arial"/>
        </w:rPr>
        <w:t>There are likely to be differences between reactions and impacts within the passenger as compared with the freight market.  Freight is, in European rail systems, often a marginal activity, which is fitted around the passenger services.  Freight may be more flexible, at least for some flows, in that the time windows it operates in are less constrained than for passengers.  Furthermore, freight tends to be, and it would appear to increasingly be, more international in its nature than passenger services.  This then leads to the necessity for operators to interpret several, sometimes very different, systems of infrastructure charging as they pass through two or more countries.</w:t>
      </w:r>
    </w:p>
    <w:p w:rsidR="00854221" w:rsidRPr="00D80E11" w:rsidRDefault="00854221" w:rsidP="00854221">
      <w:pPr>
        <w:rPr>
          <w:rFonts w:cs="Arial"/>
        </w:rPr>
      </w:pPr>
    </w:p>
    <w:p w:rsidR="00854221" w:rsidRPr="00D80E11" w:rsidRDefault="00854221" w:rsidP="00854221">
      <w:pPr>
        <w:rPr>
          <w:rFonts w:cs="Arial"/>
        </w:rPr>
      </w:pPr>
      <w:r w:rsidRPr="00D80E11">
        <w:rPr>
          <w:rFonts w:cs="Arial"/>
        </w:rPr>
        <w:t xml:space="preserve">The diversity of infrastructure charging regimes that exist throughout </w:t>
      </w:r>
      <w:smartTag w:uri="urn:schemas-microsoft-com:office:smarttags" w:element="place">
        <w:r w:rsidRPr="00D80E11">
          <w:rPr>
            <w:rFonts w:cs="Arial"/>
          </w:rPr>
          <w:t>Europe</w:t>
        </w:r>
      </w:smartTag>
      <w:r w:rsidRPr="00D80E11">
        <w:rPr>
          <w:rFonts w:cs="Arial"/>
        </w:rPr>
        <w:t xml:space="preserve"> is, in one sense, a good opportunity to undertake comparative research in this area. That is, </w:t>
      </w:r>
      <w:smartTag w:uri="urn:schemas-microsoft-com:office:smarttags" w:element="place">
        <w:r w:rsidRPr="00D80E11">
          <w:rPr>
            <w:rFonts w:cs="Arial"/>
          </w:rPr>
          <w:t>Europe</w:t>
        </w:r>
      </w:smartTag>
      <w:r w:rsidRPr="00D80E11">
        <w:rPr>
          <w:rFonts w:cs="Arial"/>
        </w:rPr>
        <w:t xml:space="preserve"> provides a real world laboratory, in which the attributes and impacts of one system can be compared and analysed in relation to one or more others.  However, it is not only infrastructure charging regimes that differ across different countries; differences in respect of subsidy to the industry, regulation of the industry, market entry and competition serve to cloud the issue somewhat.  Hence, there is a rich set of situations to draw on for research purposes, but with this comes a set of varying contexts that need to be controlled for somehow.</w:t>
      </w:r>
    </w:p>
    <w:p w:rsidR="00854221" w:rsidRDefault="00854221"/>
    <w:p w:rsidR="00854221" w:rsidRDefault="00854221" w:rsidP="00854221">
      <w:pPr>
        <w:rPr>
          <w:rFonts w:cs="Arial"/>
        </w:rPr>
      </w:pPr>
      <w:r>
        <w:rPr>
          <w:rFonts w:cs="Arial"/>
        </w:rPr>
        <w:t xml:space="preserve">Our </w:t>
      </w:r>
      <w:r w:rsidRPr="00D80E11">
        <w:rPr>
          <w:rFonts w:cs="Arial"/>
        </w:rPr>
        <w:t>aim</w:t>
      </w:r>
      <w:r>
        <w:rPr>
          <w:rFonts w:cs="Arial"/>
        </w:rPr>
        <w:t xml:space="preserve"> was</w:t>
      </w:r>
      <w:r w:rsidRPr="00D80E11">
        <w:rPr>
          <w:rFonts w:cs="Arial"/>
        </w:rPr>
        <w:t xml:space="preserve"> to develop a better understanding of the ways, in principle and in actuality, in which users react to differentiated charges in the rail sector.  </w:t>
      </w:r>
      <w:r w:rsidR="00414399">
        <w:rPr>
          <w:rFonts w:cs="Arial"/>
        </w:rPr>
        <w:t>At a relatively early stage in the work, it became clear that relatively little quantitative data would be available to us, and so o</w:t>
      </w:r>
      <w:r>
        <w:rPr>
          <w:rFonts w:cs="Arial"/>
        </w:rPr>
        <w:t xml:space="preserve">ur method </w:t>
      </w:r>
      <w:r w:rsidR="00414399">
        <w:rPr>
          <w:rFonts w:cs="Arial"/>
        </w:rPr>
        <w:t xml:space="preserve">naturally turned toward being </w:t>
      </w:r>
      <w:r>
        <w:rPr>
          <w:rFonts w:cs="Arial"/>
        </w:rPr>
        <w:t>based on a mix of reviews and c</w:t>
      </w:r>
      <w:r w:rsidRPr="00D80E11">
        <w:rPr>
          <w:rFonts w:cs="Arial"/>
        </w:rPr>
        <w:t>ase studies</w:t>
      </w:r>
      <w:r>
        <w:rPr>
          <w:rFonts w:cs="Arial"/>
        </w:rPr>
        <w:t xml:space="preserve">, </w:t>
      </w:r>
      <w:r w:rsidRPr="00D80E11">
        <w:rPr>
          <w:rFonts w:cs="Arial"/>
        </w:rPr>
        <w:t>drawn from those Member States that have been most active in the areas of rail charging.</w:t>
      </w:r>
      <w:r>
        <w:rPr>
          <w:rFonts w:cs="Arial"/>
        </w:rPr>
        <w:t xml:space="preserve">  </w:t>
      </w:r>
      <w:r w:rsidR="00027DF1">
        <w:rPr>
          <w:rFonts w:cs="Arial"/>
        </w:rPr>
        <w:t xml:space="preserve">In this paper we begin by reviewing the few items of previous research on this topic, before then summarising the outcomes of a round of stakeholder interviews and the results of a set of four case studies.  We then give consideration to methodological issues that might affect further research in this area, and close with our conclusions. </w:t>
      </w:r>
    </w:p>
    <w:p w:rsidR="00B264ED" w:rsidRDefault="00B264ED" w:rsidP="00854221">
      <w:pPr>
        <w:rPr>
          <w:rFonts w:cs="Arial"/>
        </w:rPr>
      </w:pPr>
    </w:p>
    <w:p w:rsidR="00B264ED" w:rsidRDefault="00B264ED" w:rsidP="00854221">
      <w:pPr>
        <w:rPr>
          <w:rFonts w:cs="Arial"/>
        </w:rPr>
      </w:pPr>
    </w:p>
    <w:p w:rsidR="00854221" w:rsidRDefault="00CE22CF" w:rsidP="00854221">
      <w:pPr>
        <w:rPr>
          <w:rFonts w:cs="Arial"/>
          <w:b/>
        </w:rPr>
      </w:pPr>
      <w:r w:rsidRPr="009643C6">
        <w:rPr>
          <w:rFonts w:cs="Arial"/>
          <w:b/>
        </w:rPr>
        <w:t>2. Literature</w:t>
      </w:r>
      <w:r w:rsidR="00854221" w:rsidRPr="009643C6">
        <w:rPr>
          <w:rFonts w:cs="Arial"/>
          <w:b/>
        </w:rPr>
        <w:t xml:space="preserve"> </w:t>
      </w:r>
      <w:r w:rsidR="00B264ED" w:rsidRPr="009643C6">
        <w:rPr>
          <w:rFonts w:cs="Arial"/>
          <w:b/>
        </w:rPr>
        <w:t>R</w:t>
      </w:r>
      <w:r w:rsidRPr="009643C6">
        <w:rPr>
          <w:rFonts w:cs="Arial"/>
          <w:b/>
        </w:rPr>
        <w:t>eview</w:t>
      </w:r>
    </w:p>
    <w:p w:rsidR="009643C6" w:rsidRPr="009643C6" w:rsidRDefault="009643C6" w:rsidP="00854221">
      <w:pPr>
        <w:rPr>
          <w:rFonts w:cs="Arial"/>
          <w:b/>
        </w:rPr>
      </w:pPr>
    </w:p>
    <w:p w:rsidR="00B264ED" w:rsidRDefault="00B264ED" w:rsidP="00B264ED">
      <w:r>
        <w:t xml:space="preserve">There is relatively little literature relating to the impacts of charging in the rail sector in terms of rail infrastructure charges.  We pick out </w:t>
      </w:r>
      <w:r w:rsidR="00027DF1">
        <w:t xml:space="preserve">here three notable </w:t>
      </w:r>
      <w:r>
        <w:t xml:space="preserve">studies relating, in one form or another, to rail infrastructure charges.  </w:t>
      </w:r>
    </w:p>
    <w:p w:rsidR="00B264ED" w:rsidRDefault="00B264ED" w:rsidP="00B264ED"/>
    <w:p w:rsidR="00B264ED" w:rsidRDefault="00027DF1" w:rsidP="00B264ED">
      <w:r>
        <w:t>Firstly, t</w:t>
      </w:r>
      <w:r w:rsidR="00B264ED">
        <w:t xml:space="preserve">he Leeds Freight Transport (LEFT) model is used for multimodal freight demand modelling in the </w:t>
      </w:r>
      <w:smartTag w:uri="urn:schemas-microsoft-com:office:smarttags" w:element="country-region">
        <w:smartTag w:uri="urn:schemas-microsoft-com:office:smarttags" w:element="place">
          <w:r w:rsidR="00B264ED">
            <w:t>UK</w:t>
          </w:r>
        </w:smartTag>
      </w:smartTag>
      <w:r w:rsidR="00B264ED">
        <w:t xml:space="preserve"> (Johnson, Whiteing and Fowkes, 2007).  The model tests a range of individual policies for the </w:t>
      </w:r>
      <w:smartTag w:uri="urn:schemas-microsoft-com:office:smarttags" w:element="place">
        <w:smartTag w:uri="urn:schemas-microsoft-com:office:smarttags" w:element="country-region">
          <w:r w:rsidR="00B264ED">
            <w:t>UK</w:t>
          </w:r>
        </w:smartTag>
      </w:smartTag>
      <w:r w:rsidR="00B264ED">
        <w:t xml:space="preserve">.  In order to form the ‘best case strategies’ for road and rail, the policies are bundled into two groups to form a Pro-rail strategy and a Pro-road strategy, which are tested against a Do-nothing strategy.  The results are explained in terms of the impacts for 2016. </w:t>
      </w:r>
    </w:p>
    <w:p w:rsidR="00B264ED" w:rsidRDefault="00B264ED" w:rsidP="00B264ED"/>
    <w:p w:rsidR="00B264ED" w:rsidRDefault="00B264ED" w:rsidP="00B264ED">
      <w:r>
        <w:t>The impacts of the policy of doubling rail track access charges (part of the pro-road strategy) for rail freight operators, on road and rail modes are illustrated in the table below.</w:t>
      </w:r>
    </w:p>
    <w:p w:rsidR="008E40C1" w:rsidRDefault="008E40C1" w:rsidP="00B264ED"/>
    <w:p w:rsidR="008E40C1" w:rsidRDefault="008E40C1" w:rsidP="00B264ED"/>
    <w:p w:rsidR="008E40C1" w:rsidRDefault="008E40C1" w:rsidP="00B264ED"/>
    <w:p w:rsidR="008E40C1" w:rsidRDefault="008E40C1" w:rsidP="00B264ED"/>
    <w:p w:rsidR="008E40C1" w:rsidRDefault="008E40C1" w:rsidP="00B264ED"/>
    <w:p w:rsidR="008E40C1" w:rsidRDefault="008E40C1" w:rsidP="00B264ED"/>
    <w:p w:rsidR="00B264ED" w:rsidRDefault="00B264ED" w:rsidP="00B264ED">
      <w:pPr>
        <w:rPr>
          <w:rFonts w:cs="Arial"/>
        </w:rPr>
      </w:pPr>
    </w:p>
    <w:p w:rsidR="008E40C1" w:rsidRDefault="008E40C1" w:rsidP="00B264ED">
      <w:pPr>
        <w:rPr>
          <w:rFonts w:cs="Arial"/>
        </w:rPr>
      </w:pPr>
    </w:p>
    <w:p w:rsidR="00B264ED" w:rsidRDefault="00B264ED" w:rsidP="00F67B7F">
      <w:pPr>
        <w:pStyle w:val="Caption"/>
        <w:rPr>
          <w:rFonts w:cs="Arial"/>
        </w:rPr>
      </w:pPr>
      <w:bookmarkStart w:id="2" w:name="_Toc183760103"/>
      <w:r>
        <w:rPr>
          <w:rFonts w:cs="Arial"/>
        </w:rPr>
        <w:lastRenderedPageBreak/>
        <w:t xml:space="preserve">Table </w:t>
      </w:r>
      <w:r w:rsidR="002C4C5F">
        <w:rPr>
          <w:rFonts w:cs="Arial"/>
        </w:rPr>
        <w:t>1</w:t>
      </w:r>
      <w:r>
        <w:rPr>
          <w:rFonts w:cs="Arial"/>
        </w:rPr>
        <w:t>: Impact of Doubling Rail Track Access Charges by Mode for 2016</w:t>
      </w:r>
      <w:bookmarkEnd w:id="2"/>
    </w:p>
    <w:tbl>
      <w:tblPr>
        <w:tblW w:w="5900"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8"/>
        <w:gridCol w:w="3092"/>
        <w:gridCol w:w="1500"/>
      </w:tblGrid>
      <w:tr w:rsidR="00B264ED" w:rsidTr="00B264ED">
        <w:trPr>
          <w:trHeight w:val="343"/>
          <w:jc w:val="center"/>
        </w:trPr>
        <w:tc>
          <w:tcPr>
            <w:tcW w:w="1308" w:type="dxa"/>
            <w:tcBorders>
              <w:top w:val="single" w:sz="4" w:space="0" w:color="auto"/>
              <w:left w:val="single" w:sz="4" w:space="0" w:color="auto"/>
              <w:bottom w:val="single" w:sz="4" w:space="0" w:color="auto"/>
              <w:right w:val="single" w:sz="4" w:space="0" w:color="auto"/>
            </w:tcBorders>
            <w:shd w:val="clear" w:color="auto" w:fill="E6E6E6"/>
            <w:vAlign w:val="center"/>
          </w:tcPr>
          <w:p w:rsidR="00B264ED" w:rsidRDefault="00B264ED">
            <w:pPr>
              <w:pStyle w:val="BodyText"/>
              <w:rPr>
                <w:b/>
              </w:rPr>
            </w:pPr>
            <w:r>
              <w:rPr>
                <w:b/>
              </w:rPr>
              <w:t>Mode</w:t>
            </w:r>
          </w:p>
        </w:tc>
        <w:tc>
          <w:tcPr>
            <w:tcW w:w="3092" w:type="dxa"/>
            <w:tcBorders>
              <w:top w:val="single" w:sz="4" w:space="0" w:color="auto"/>
              <w:left w:val="single" w:sz="4" w:space="0" w:color="auto"/>
              <w:bottom w:val="single" w:sz="4" w:space="0" w:color="auto"/>
              <w:right w:val="single" w:sz="4" w:space="0" w:color="auto"/>
            </w:tcBorders>
            <w:shd w:val="clear" w:color="auto" w:fill="E6E6E6"/>
            <w:vAlign w:val="center"/>
          </w:tcPr>
          <w:p w:rsidR="00B264ED" w:rsidRDefault="00B264ED">
            <w:pPr>
              <w:pStyle w:val="BodyText"/>
            </w:pPr>
          </w:p>
        </w:tc>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rsidR="00B264ED" w:rsidRDefault="00B264ED">
            <w:pPr>
              <w:pStyle w:val="BodyText"/>
            </w:pPr>
          </w:p>
        </w:tc>
      </w:tr>
      <w:tr w:rsidR="00B264ED" w:rsidTr="00B264ED">
        <w:trPr>
          <w:trHeight w:val="550"/>
          <w:jc w:val="center"/>
        </w:trPr>
        <w:tc>
          <w:tcPr>
            <w:tcW w:w="1308" w:type="dxa"/>
            <w:vMerge w:val="restart"/>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rPr>
                <w:b/>
              </w:rPr>
            </w:pPr>
            <w:r>
              <w:rPr>
                <w:b/>
              </w:rPr>
              <w:t>Rail</w:t>
            </w:r>
          </w:p>
        </w:tc>
        <w:tc>
          <w:tcPr>
            <w:tcW w:w="3092" w:type="dxa"/>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pPr>
            <w:r>
              <w:t>Tonnes (millions)</w:t>
            </w:r>
          </w:p>
          <w:p w:rsidR="00B264ED" w:rsidRDefault="00B264ED">
            <w:pPr>
              <w:pStyle w:val="BodyText"/>
            </w:pPr>
            <w:r>
              <w:t>Change from do nothing (%)</w:t>
            </w:r>
          </w:p>
        </w:tc>
        <w:tc>
          <w:tcPr>
            <w:tcW w:w="1500" w:type="dxa"/>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pPr>
            <w:r>
              <w:t>196.9</w:t>
            </w:r>
          </w:p>
          <w:p w:rsidR="00B264ED" w:rsidRDefault="00B264ED">
            <w:pPr>
              <w:pStyle w:val="BodyText"/>
            </w:pPr>
            <w:r>
              <w:t>-2.03</w:t>
            </w:r>
          </w:p>
        </w:tc>
      </w:tr>
      <w:tr w:rsidR="00B264ED" w:rsidTr="00B264ED">
        <w:trPr>
          <w:trHeight w:val="6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64ED" w:rsidRDefault="00B264ED">
            <w:pPr>
              <w:jc w:val="left"/>
              <w:rPr>
                <w:rFonts w:eastAsia="Times New Roman"/>
                <w:b/>
                <w:sz w:val="18"/>
                <w:szCs w:val="18"/>
              </w:rPr>
            </w:pPr>
          </w:p>
        </w:tc>
        <w:tc>
          <w:tcPr>
            <w:tcW w:w="3092" w:type="dxa"/>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pPr>
            <w:r>
              <w:t xml:space="preserve">Tonne </w:t>
            </w:r>
            <w:proofErr w:type="spellStart"/>
            <w:r>
              <w:t>kms</w:t>
            </w:r>
            <w:proofErr w:type="spellEnd"/>
            <w:r>
              <w:t xml:space="preserve"> (billions)</w:t>
            </w:r>
          </w:p>
          <w:p w:rsidR="00B264ED" w:rsidRDefault="00B264ED">
            <w:pPr>
              <w:pStyle w:val="BodyText"/>
            </w:pPr>
            <w:r>
              <w:t>Change from do nothing (%)</w:t>
            </w:r>
          </w:p>
        </w:tc>
        <w:tc>
          <w:tcPr>
            <w:tcW w:w="1500" w:type="dxa"/>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pPr>
            <w:r>
              <w:t>28</w:t>
            </w:r>
          </w:p>
          <w:p w:rsidR="00B264ED" w:rsidRDefault="00B264ED">
            <w:pPr>
              <w:pStyle w:val="BodyText"/>
            </w:pPr>
            <w:r>
              <w:t>-4.71</w:t>
            </w:r>
          </w:p>
        </w:tc>
      </w:tr>
      <w:tr w:rsidR="00B264ED" w:rsidTr="00B264ED">
        <w:trPr>
          <w:trHeight w:val="5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64ED" w:rsidRDefault="00B264ED">
            <w:pPr>
              <w:jc w:val="left"/>
              <w:rPr>
                <w:rFonts w:eastAsia="Times New Roman"/>
                <w:b/>
                <w:sz w:val="18"/>
                <w:szCs w:val="18"/>
              </w:rPr>
            </w:pPr>
          </w:p>
        </w:tc>
        <w:tc>
          <w:tcPr>
            <w:tcW w:w="3092" w:type="dxa"/>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pPr>
            <w:r>
              <w:t>Length of Haul</w:t>
            </w:r>
          </w:p>
          <w:p w:rsidR="00B264ED" w:rsidRDefault="00B264ED">
            <w:pPr>
              <w:pStyle w:val="BodyText"/>
            </w:pPr>
            <w:r>
              <w:t>Change from do nothing (%)</w:t>
            </w:r>
          </w:p>
        </w:tc>
        <w:tc>
          <w:tcPr>
            <w:tcW w:w="1500" w:type="dxa"/>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pPr>
            <w:r>
              <w:t>141.9</w:t>
            </w:r>
          </w:p>
          <w:p w:rsidR="00B264ED" w:rsidRDefault="00B264ED">
            <w:pPr>
              <w:pStyle w:val="BodyText"/>
            </w:pPr>
            <w:r>
              <w:t>-2.73</w:t>
            </w:r>
          </w:p>
        </w:tc>
      </w:tr>
      <w:tr w:rsidR="00B264ED" w:rsidTr="00B264ED">
        <w:trPr>
          <w:trHeight w:val="550"/>
          <w:jc w:val="center"/>
        </w:trPr>
        <w:tc>
          <w:tcPr>
            <w:tcW w:w="1308" w:type="dxa"/>
            <w:vMerge w:val="restart"/>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rPr>
                <w:b/>
              </w:rPr>
            </w:pPr>
            <w:r>
              <w:rPr>
                <w:b/>
              </w:rPr>
              <w:t>Road</w:t>
            </w:r>
          </w:p>
        </w:tc>
        <w:tc>
          <w:tcPr>
            <w:tcW w:w="3092" w:type="dxa"/>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pPr>
            <w:r>
              <w:t>Tonnes (millions)</w:t>
            </w:r>
          </w:p>
          <w:p w:rsidR="00B264ED" w:rsidRDefault="00B264ED">
            <w:pPr>
              <w:pStyle w:val="BodyText"/>
            </w:pPr>
            <w:r>
              <w:t>Change from do nothing (%)</w:t>
            </w:r>
          </w:p>
        </w:tc>
        <w:tc>
          <w:tcPr>
            <w:tcW w:w="1500" w:type="dxa"/>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pPr>
            <w:r>
              <w:t>1935.2</w:t>
            </w:r>
          </w:p>
          <w:p w:rsidR="00B264ED" w:rsidRDefault="00B264ED">
            <w:pPr>
              <w:pStyle w:val="BodyText"/>
            </w:pPr>
            <w:r>
              <w:t>0.14</w:t>
            </w:r>
          </w:p>
        </w:tc>
      </w:tr>
      <w:tr w:rsidR="00B264ED" w:rsidTr="00B264ED">
        <w:trPr>
          <w:trHeight w:val="5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64ED" w:rsidRDefault="00B264ED">
            <w:pPr>
              <w:jc w:val="left"/>
              <w:rPr>
                <w:rFonts w:eastAsia="Times New Roman"/>
                <w:b/>
                <w:sz w:val="18"/>
                <w:szCs w:val="18"/>
              </w:rPr>
            </w:pPr>
          </w:p>
        </w:tc>
        <w:tc>
          <w:tcPr>
            <w:tcW w:w="3092" w:type="dxa"/>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pPr>
            <w:r>
              <w:t xml:space="preserve">Tonne </w:t>
            </w:r>
            <w:proofErr w:type="spellStart"/>
            <w:r>
              <w:t>kms</w:t>
            </w:r>
            <w:proofErr w:type="spellEnd"/>
            <w:r>
              <w:t xml:space="preserve"> (billions)</w:t>
            </w:r>
          </w:p>
          <w:p w:rsidR="00B264ED" w:rsidRDefault="00B264ED">
            <w:pPr>
              <w:pStyle w:val="BodyText"/>
            </w:pPr>
            <w:r>
              <w:t>Change from do nothing (%)</w:t>
            </w:r>
          </w:p>
        </w:tc>
        <w:tc>
          <w:tcPr>
            <w:tcW w:w="1500" w:type="dxa"/>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pPr>
            <w:r>
              <w:t>170.3</w:t>
            </w:r>
          </w:p>
          <w:p w:rsidR="00B264ED" w:rsidRDefault="00B264ED">
            <w:pPr>
              <w:pStyle w:val="BodyText"/>
            </w:pPr>
            <w:r>
              <w:t>0.7</w:t>
            </w:r>
          </w:p>
        </w:tc>
      </w:tr>
      <w:tr w:rsidR="00B264ED" w:rsidTr="00B264ED">
        <w:trPr>
          <w:trHeight w:val="5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64ED" w:rsidRDefault="00B264ED">
            <w:pPr>
              <w:jc w:val="left"/>
              <w:rPr>
                <w:rFonts w:eastAsia="Times New Roman"/>
                <w:b/>
                <w:sz w:val="18"/>
                <w:szCs w:val="18"/>
              </w:rPr>
            </w:pPr>
          </w:p>
        </w:tc>
        <w:tc>
          <w:tcPr>
            <w:tcW w:w="3092" w:type="dxa"/>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pPr>
            <w:r>
              <w:t>Length of Haul</w:t>
            </w:r>
          </w:p>
          <w:p w:rsidR="00B264ED" w:rsidRDefault="00B264ED">
            <w:pPr>
              <w:pStyle w:val="BodyText"/>
            </w:pPr>
            <w:r>
              <w:t>Change from do nothing (%)</w:t>
            </w:r>
          </w:p>
        </w:tc>
        <w:tc>
          <w:tcPr>
            <w:tcW w:w="1500" w:type="dxa"/>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pPr>
            <w:r>
              <w:t>87.8</w:t>
            </w:r>
          </w:p>
          <w:p w:rsidR="00B264ED" w:rsidRDefault="00B264ED">
            <w:pPr>
              <w:pStyle w:val="BodyText"/>
            </w:pPr>
            <w:r>
              <w:t>0.56</w:t>
            </w:r>
          </w:p>
        </w:tc>
      </w:tr>
      <w:tr w:rsidR="00B264ED" w:rsidTr="00B264ED">
        <w:trPr>
          <w:trHeight w:val="550"/>
          <w:jc w:val="center"/>
        </w:trPr>
        <w:tc>
          <w:tcPr>
            <w:tcW w:w="1308" w:type="dxa"/>
            <w:vMerge w:val="restart"/>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rPr>
                <w:b/>
              </w:rPr>
            </w:pPr>
            <w:r>
              <w:rPr>
                <w:b/>
              </w:rPr>
              <w:t>Total</w:t>
            </w:r>
          </w:p>
        </w:tc>
        <w:tc>
          <w:tcPr>
            <w:tcW w:w="3092" w:type="dxa"/>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pPr>
            <w:r>
              <w:t>Tonnes (millions)</w:t>
            </w:r>
          </w:p>
          <w:p w:rsidR="00B264ED" w:rsidRDefault="00B264ED">
            <w:pPr>
              <w:pStyle w:val="BodyText"/>
            </w:pPr>
            <w:r>
              <w:t>Change from do nothing (%)</w:t>
            </w:r>
          </w:p>
        </w:tc>
        <w:tc>
          <w:tcPr>
            <w:tcW w:w="1500" w:type="dxa"/>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pPr>
            <w:r>
              <w:t>2132.1</w:t>
            </w:r>
          </w:p>
          <w:p w:rsidR="00B264ED" w:rsidRDefault="00B264ED">
            <w:pPr>
              <w:pStyle w:val="BodyText"/>
            </w:pPr>
            <w:r>
              <w:t>-0.07</w:t>
            </w:r>
          </w:p>
        </w:tc>
      </w:tr>
      <w:tr w:rsidR="00B264ED" w:rsidTr="00B264ED">
        <w:trPr>
          <w:trHeight w:val="5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64ED" w:rsidRDefault="00B264ED">
            <w:pPr>
              <w:jc w:val="left"/>
              <w:rPr>
                <w:rFonts w:eastAsia="Times New Roman"/>
                <w:b/>
                <w:sz w:val="18"/>
                <w:szCs w:val="18"/>
              </w:rPr>
            </w:pPr>
          </w:p>
        </w:tc>
        <w:tc>
          <w:tcPr>
            <w:tcW w:w="3092" w:type="dxa"/>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pPr>
            <w:r>
              <w:t xml:space="preserve">Tonne </w:t>
            </w:r>
            <w:proofErr w:type="spellStart"/>
            <w:r>
              <w:t>kms</w:t>
            </w:r>
            <w:proofErr w:type="spellEnd"/>
            <w:r>
              <w:t xml:space="preserve"> (billions)</w:t>
            </w:r>
          </w:p>
          <w:p w:rsidR="00B264ED" w:rsidRDefault="00B264ED">
            <w:pPr>
              <w:pStyle w:val="BodyText"/>
            </w:pPr>
            <w:r>
              <w:t>Change from do nothing (%)</w:t>
            </w:r>
          </w:p>
        </w:tc>
        <w:tc>
          <w:tcPr>
            <w:tcW w:w="1500" w:type="dxa"/>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pPr>
            <w:r>
              <w:t>198.3</w:t>
            </w:r>
          </w:p>
          <w:p w:rsidR="00B264ED" w:rsidRDefault="00B264ED">
            <w:pPr>
              <w:pStyle w:val="BodyText"/>
            </w:pPr>
            <w:r>
              <w:t>-0.1</w:t>
            </w:r>
          </w:p>
        </w:tc>
      </w:tr>
      <w:tr w:rsidR="00B264ED" w:rsidTr="00B264ED">
        <w:trPr>
          <w:trHeight w:val="5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64ED" w:rsidRDefault="00B264ED">
            <w:pPr>
              <w:jc w:val="left"/>
              <w:rPr>
                <w:rFonts w:eastAsia="Times New Roman"/>
                <w:b/>
                <w:sz w:val="18"/>
                <w:szCs w:val="18"/>
              </w:rPr>
            </w:pPr>
          </w:p>
        </w:tc>
        <w:tc>
          <w:tcPr>
            <w:tcW w:w="3092" w:type="dxa"/>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pPr>
            <w:r>
              <w:t>Length of Haul</w:t>
            </w:r>
          </w:p>
          <w:p w:rsidR="00B264ED" w:rsidRDefault="00B264ED">
            <w:pPr>
              <w:pStyle w:val="BodyText"/>
            </w:pPr>
            <w:r>
              <w:t>Change from do nothing (%)</w:t>
            </w:r>
          </w:p>
        </w:tc>
        <w:tc>
          <w:tcPr>
            <w:tcW w:w="1500" w:type="dxa"/>
            <w:tcBorders>
              <w:top w:val="single" w:sz="4" w:space="0" w:color="auto"/>
              <w:left w:val="single" w:sz="4" w:space="0" w:color="auto"/>
              <w:bottom w:val="single" w:sz="4" w:space="0" w:color="auto"/>
              <w:right w:val="single" w:sz="4" w:space="0" w:color="auto"/>
            </w:tcBorders>
            <w:vAlign w:val="center"/>
          </w:tcPr>
          <w:p w:rsidR="00B264ED" w:rsidRDefault="00B264ED">
            <w:pPr>
              <w:pStyle w:val="BodyText"/>
            </w:pPr>
            <w:r>
              <w:t>92.8</w:t>
            </w:r>
          </w:p>
          <w:p w:rsidR="00B264ED" w:rsidRDefault="00B264ED">
            <w:pPr>
              <w:pStyle w:val="BodyText"/>
            </w:pPr>
            <w:r>
              <w:t>-0.03</w:t>
            </w:r>
          </w:p>
        </w:tc>
      </w:tr>
    </w:tbl>
    <w:p w:rsidR="00B264ED" w:rsidRDefault="00B264ED" w:rsidP="00B264ED">
      <w:pPr>
        <w:ind w:left="720" w:firstLine="720"/>
        <w:rPr>
          <w:rFonts w:cs="Arial"/>
        </w:rPr>
      </w:pPr>
      <w:r>
        <w:rPr>
          <w:rFonts w:cs="Arial"/>
          <w:i/>
        </w:rPr>
        <w:t xml:space="preserve">       Source: adapted from </w:t>
      </w:r>
      <w:r w:rsidR="00BD654F">
        <w:rPr>
          <w:rFonts w:cs="Arial"/>
          <w:i/>
        </w:rPr>
        <w:t xml:space="preserve">Johnson, </w:t>
      </w:r>
      <w:r>
        <w:rPr>
          <w:rFonts w:cs="Arial"/>
          <w:i/>
        </w:rPr>
        <w:t>Whiteing</w:t>
      </w:r>
      <w:r w:rsidR="00BD654F">
        <w:rPr>
          <w:rFonts w:cs="Arial"/>
          <w:i/>
        </w:rPr>
        <w:t xml:space="preserve"> and Fowkes,</w:t>
      </w:r>
      <w:r>
        <w:rPr>
          <w:rFonts w:cs="Arial"/>
          <w:i/>
        </w:rPr>
        <w:t xml:space="preserve"> 2007</w:t>
      </w:r>
    </w:p>
    <w:p w:rsidR="00B264ED" w:rsidRDefault="00B264ED" w:rsidP="00B264ED">
      <w:pPr>
        <w:rPr>
          <w:rFonts w:cs="Arial"/>
        </w:rPr>
      </w:pPr>
    </w:p>
    <w:p w:rsidR="00B264ED" w:rsidRDefault="00B264ED" w:rsidP="00B264ED">
      <w:pPr>
        <w:rPr>
          <w:rFonts w:cs="Arial"/>
        </w:rPr>
      </w:pPr>
      <w:r>
        <w:rPr>
          <w:rFonts w:cs="Arial"/>
        </w:rPr>
        <w:t>Tabl</w:t>
      </w:r>
      <w:r w:rsidR="002C4C5F">
        <w:rPr>
          <w:rFonts w:cs="Arial"/>
        </w:rPr>
        <w:t>e 1</w:t>
      </w:r>
      <w:r>
        <w:rPr>
          <w:rFonts w:cs="Arial"/>
        </w:rPr>
        <w:t xml:space="preserve"> shows that with the doubling of rail track access charges, rail tonnes fall by 2.03% and even further by 4.71% in tonne </w:t>
      </w:r>
      <w:proofErr w:type="spellStart"/>
      <w:r>
        <w:rPr>
          <w:rFonts w:cs="Arial"/>
        </w:rPr>
        <w:t>kms</w:t>
      </w:r>
      <w:proofErr w:type="spellEnd"/>
      <w:r>
        <w:rPr>
          <w:rFonts w:cs="Arial"/>
        </w:rPr>
        <w:t xml:space="preserve"> in comparison to the Do-nothing scenario.  The length of haul falls by 2.73% in comparison to the Do-nothing scenario.  As expected, the impact on road is in the opposite direction with increases in tonnes and tonne-</w:t>
      </w:r>
      <w:proofErr w:type="spellStart"/>
      <w:r>
        <w:rPr>
          <w:rFonts w:cs="Arial"/>
        </w:rPr>
        <w:t>kms</w:t>
      </w:r>
      <w:proofErr w:type="spellEnd"/>
      <w:r>
        <w:rPr>
          <w:rFonts w:cs="Arial"/>
        </w:rPr>
        <w:t xml:space="preserve"> and the length of haul in comparison to the Do-minimum, but the increases are rather modest.  Interestingly, introduction of marginal social cost pricing on roads, part of the pro-rail strategy, increases rail-tonne </w:t>
      </w:r>
      <w:proofErr w:type="spellStart"/>
      <w:r>
        <w:rPr>
          <w:rFonts w:cs="Arial"/>
        </w:rPr>
        <w:t>kms</w:t>
      </w:r>
      <w:proofErr w:type="spellEnd"/>
      <w:r>
        <w:rPr>
          <w:rFonts w:cs="Arial"/>
        </w:rPr>
        <w:t xml:space="preserve"> by 18% (reducing road by 11%). </w:t>
      </w:r>
    </w:p>
    <w:p w:rsidR="00B264ED" w:rsidRDefault="00B264ED" w:rsidP="00B264ED"/>
    <w:p w:rsidR="00B264ED" w:rsidRDefault="00B264ED" w:rsidP="00B264ED">
      <w:pPr>
        <w:pStyle w:val="NormalWeb"/>
        <w:spacing w:before="0" w:beforeAutospacing="0"/>
      </w:pPr>
      <w:r>
        <w:rPr>
          <w:rFonts w:ascii="Arial" w:hAnsi="Arial" w:cs="Arial"/>
          <w:sz w:val="20"/>
        </w:rPr>
        <w:t>It must be noted that several other multimodal models do exist for testing transport policies and scenarios, such as the MODEV model in France. But these models usually do not include a specific representation of infrastructure charges. The impact of infrastructure charges can be taken into account only indirectly, generally through the impact it is supposed to have on final rail prices.</w:t>
      </w:r>
    </w:p>
    <w:p w:rsidR="00B264ED" w:rsidRDefault="00027DF1" w:rsidP="00B264ED">
      <w:pPr>
        <w:rPr>
          <w:rFonts w:cs="Arial"/>
        </w:rPr>
      </w:pPr>
      <w:r>
        <w:rPr>
          <w:rFonts w:cs="Arial"/>
        </w:rPr>
        <w:t xml:space="preserve">Secondly, </w:t>
      </w:r>
      <w:bookmarkStart w:id="3" w:name="OLE_LINK3"/>
      <w:bookmarkStart w:id="4" w:name="OLE_LINK4"/>
      <w:r w:rsidR="00B264ED">
        <w:rPr>
          <w:rFonts w:cs="Arial"/>
        </w:rPr>
        <w:t xml:space="preserve">Preston, </w:t>
      </w:r>
      <w:proofErr w:type="spellStart"/>
      <w:r w:rsidR="00B264ED">
        <w:rPr>
          <w:rFonts w:cs="Arial"/>
        </w:rPr>
        <w:t>Holvad</w:t>
      </w:r>
      <w:proofErr w:type="spellEnd"/>
      <w:r w:rsidR="00B264ED">
        <w:rPr>
          <w:rFonts w:cs="Arial"/>
        </w:rPr>
        <w:t xml:space="preserve"> and </w:t>
      </w:r>
      <w:proofErr w:type="spellStart"/>
      <w:r w:rsidR="00B264ED">
        <w:rPr>
          <w:rFonts w:cs="Arial"/>
        </w:rPr>
        <w:t>Raje</w:t>
      </w:r>
      <w:proofErr w:type="spellEnd"/>
      <w:r w:rsidR="00B264ED">
        <w:rPr>
          <w:rFonts w:cs="Arial"/>
        </w:rPr>
        <w:t xml:space="preserve"> (2002</w:t>
      </w:r>
      <w:bookmarkEnd w:id="3"/>
      <w:bookmarkEnd w:id="4"/>
      <w:r w:rsidR="00B264ED">
        <w:rPr>
          <w:rFonts w:cs="Arial"/>
        </w:rPr>
        <w:t xml:space="preserve">) contrast infrastructure costs and charges in </w:t>
      </w:r>
      <w:smartTag w:uri="urn:schemas-microsoft-com:office:smarttags" w:element="country-region">
        <w:r w:rsidR="00B264ED">
          <w:rPr>
            <w:rFonts w:cs="Arial"/>
          </w:rPr>
          <w:t>Britain</w:t>
        </w:r>
      </w:smartTag>
      <w:r w:rsidR="00B264ED">
        <w:rPr>
          <w:rFonts w:cs="Arial"/>
        </w:rPr>
        <w:t xml:space="preserve"> and </w:t>
      </w:r>
      <w:smartTag w:uri="urn:schemas-microsoft-com:office:smarttags" w:element="place">
        <w:smartTag w:uri="urn:schemas-microsoft-com:office:smarttags" w:element="country-region">
          <w:r w:rsidR="00B264ED">
            <w:rPr>
              <w:rFonts w:cs="Arial"/>
            </w:rPr>
            <w:t>Sweden</w:t>
          </w:r>
        </w:smartTag>
      </w:smartTag>
      <w:r w:rsidR="00B264ED">
        <w:rPr>
          <w:rFonts w:cs="Arial"/>
        </w:rPr>
        <w:t xml:space="preserve"> during the late 1990s.  Although rail infrastructure costs appear similar on a track km basis in both countries, they highlight that British charges per train km were almost eight times those of </w:t>
      </w:r>
      <w:smartTag w:uri="urn:schemas-microsoft-com:office:smarttags" w:element="place">
        <w:smartTag w:uri="urn:schemas-microsoft-com:office:smarttags" w:element="country-region">
          <w:r w:rsidR="00B264ED">
            <w:rPr>
              <w:rFonts w:cs="Arial"/>
            </w:rPr>
            <w:t>Sweden</w:t>
          </w:r>
        </w:smartTag>
      </w:smartTag>
      <w:r w:rsidR="002C4C5F">
        <w:rPr>
          <w:rFonts w:cs="Arial"/>
        </w:rPr>
        <w:t>.   Table 2</w:t>
      </w:r>
      <w:r w:rsidR="00B264ED">
        <w:rPr>
          <w:rFonts w:cs="Arial"/>
        </w:rPr>
        <w:t xml:space="preserve"> shows the similarities in cost figures (particularly in terms of </w:t>
      </w:r>
      <w:r w:rsidR="002C4C5F">
        <w:rPr>
          <w:rFonts w:cs="Arial"/>
        </w:rPr>
        <w:t>cost per track mile) and Table 3</w:t>
      </w:r>
      <w:r w:rsidR="00B264ED">
        <w:rPr>
          <w:rFonts w:cs="Arial"/>
        </w:rPr>
        <w:t xml:space="preserve"> shows the differences in infrastructure charge values.  </w:t>
      </w:r>
      <w:r w:rsidR="00144DA1">
        <w:rPr>
          <w:rFonts w:cs="Arial"/>
        </w:rPr>
        <w:t>T</w:t>
      </w:r>
      <w:r w:rsidR="00B264ED">
        <w:rPr>
          <w:rFonts w:cs="Arial"/>
        </w:rPr>
        <w:t xml:space="preserve">he basis of the charging regimes in </w:t>
      </w:r>
      <w:smartTag w:uri="urn:schemas-microsoft-com:office:smarttags" w:element="country-region">
        <w:r w:rsidR="00B264ED">
          <w:rPr>
            <w:rFonts w:cs="Arial"/>
          </w:rPr>
          <w:t>Britain</w:t>
        </w:r>
      </w:smartTag>
      <w:r w:rsidR="00B264ED">
        <w:rPr>
          <w:rFonts w:cs="Arial"/>
        </w:rPr>
        <w:t xml:space="preserve"> and </w:t>
      </w:r>
      <w:smartTag w:uri="urn:schemas-microsoft-com:office:smarttags" w:element="country-region">
        <w:smartTag w:uri="urn:schemas-microsoft-com:office:smarttags" w:element="place">
          <w:r w:rsidR="00B264ED">
            <w:rPr>
              <w:rFonts w:cs="Arial"/>
            </w:rPr>
            <w:t>Sweden</w:t>
          </w:r>
        </w:smartTag>
      </w:smartTag>
      <w:r w:rsidR="00B264ED">
        <w:rPr>
          <w:rFonts w:cs="Arial"/>
        </w:rPr>
        <w:t xml:space="preserve"> are different.  </w:t>
      </w:r>
      <w:proofErr w:type="gramStart"/>
      <w:r w:rsidR="00B264ED">
        <w:rPr>
          <w:rFonts w:cs="Arial"/>
        </w:rPr>
        <w:t xml:space="preserve">With charges in </w:t>
      </w:r>
      <w:smartTag w:uri="urn:schemas-microsoft-com:office:smarttags" w:element="country-region">
        <w:r w:rsidR="00B264ED">
          <w:rPr>
            <w:rFonts w:cs="Arial"/>
          </w:rPr>
          <w:t>Britain</w:t>
        </w:r>
      </w:smartTag>
      <w:r w:rsidR="00B264ED">
        <w:rPr>
          <w:rFonts w:cs="Arial"/>
        </w:rPr>
        <w:t xml:space="preserve"> being set on the basis of full cost recovery and charges in </w:t>
      </w:r>
      <w:smartTag w:uri="urn:schemas-microsoft-com:office:smarttags" w:element="place">
        <w:smartTag w:uri="urn:schemas-microsoft-com:office:smarttags" w:element="country-region">
          <w:r w:rsidR="00B264ED">
            <w:rPr>
              <w:rFonts w:cs="Arial"/>
            </w:rPr>
            <w:t>Sweden</w:t>
          </w:r>
        </w:smartTag>
      </w:smartTag>
      <w:r w:rsidR="00B264ED">
        <w:rPr>
          <w:rFonts w:cs="Arial"/>
        </w:rPr>
        <w:t xml:space="preserve"> being based on short-run marginal cost.</w:t>
      </w:r>
      <w:proofErr w:type="gramEnd"/>
    </w:p>
    <w:p w:rsidR="008E40C1" w:rsidRDefault="008E40C1" w:rsidP="00B264ED">
      <w:pPr>
        <w:rPr>
          <w:rFonts w:cs="Arial"/>
        </w:rPr>
      </w:pPr>
    </w:p>
    <w:p w:rsidR="008E40C1" w:rsidRDefault="008E40C1" w:rsidP="00B264ED">
      <w:pPr>
        <w:rPr>
          <w:rFonts w:cs="Arial"/>
        </w:rPr>
      </w:pPr>
    </w:p>
    <w:p w:rsidR="00B264ED" w:rsidRDefault="00B264ED" w:rsidP="00067008">
      <w:pPr>
        <w:pStyle w:val="Caption"/>
      </w:pPr>
      <w:bookmarkStart w:id="5" w:name="_Toc183760104"/>
      <w:r>
        <w:t xml:space="preserve">Table </w:t>
      </w:r>
      <w:r w:rsidR="002C4C5F">
        <w:t>2</w:t>
      </w:r>
      <w:r>
        <w:t xml:space="preserve">: Comparison of </w:t>
      </w:r>
      <w:proofErr w:type="spellStart"/>
      <w:r>
        <w:t>Railtrack</w:t>
      </w:r>
      <w:proofErr w:type="spellEnd"/>
      <w:r>
        <w:t xml:space="preserve"> and </w:t>
      </w:r>
      <w:proofErr w:type="spellStart"/>
      <w:r>
        <w:t>Banverket’s</w:t>
      </w:r>
      <w:proofErr w:type="spellEnd"/>
      <w:r>
        <w:t xml:space="preserve"> Infrastructure Wear and Tear Costs – 1998</w:t>
      </w:r>
      <w:bookmarkEnd w:id="5"/>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455"/>
        <w:gridCol w:w="1481"/>
        <w:gridCol w:w="1481"/>
        <w:gridCol w:w="1425"/>
        <w:gridCol w:w="1425"/>
        <w:gridCol w:w="1538"/>
      </w:tblGrid>
      <w:tr w:rsidR="00B264ED" w:rsidTr="00067008">
        <w:trPr>
          <w:cantSplit/>
          <w:trHeight w:val="445"/>
          <w:jc w:val="center"/>
        </w:trPr>
        <w:tc>
          <w:tcPr>
            <w:tcW w:w="1455" w:type="dxa"/>
            <w:tcBorders>
              <w:top w:val="single" w:sz="4" w:space="0" w:color="auto"/>
              <w:left w:val="single" w:sz="4" w:space="0" w:color="auto"/>
              <w:bottom w:val="single" w:sz="4" w:space="0" w:color="auto"/>
              <w:right w:val="single" w:sz="4" w:space="0" w:color="auto"/>
            </w:tcBorders>
            <w:shd w:val="clear" w:color="auto" w:fill="E6E6E6"/>
          </w:tcPr>
          <w:p w:rsidR="00B264ED" w:rsidRDefault="00B264ED">
            <w:pPr>
              <w:pStyle w:val="BodyText"/>
              <w:rPr>
                <w:b/>
                <w:snapToGrid w:val="0"/>
              </w:rPr>
            </w:pPr>
          </w:p>
        </w:tc>
        <w:tc>
          <w:tcPr>
            <w:tcW w:w="1482" w:type="dxa"/>
            <w:tcBorders>
              <w:top w:val="single" w:sz="4" w:space="0" w:color="auto"/>
              <w:left w:val="single" w:sz="4" w:space="0" w:color="auto"/>
              <w:bottom w:val="single" w:sz="4" w:space="0" w:color="auto"/>
              <w:right w:val="single" w:sz="4" w:space="0" w:color="auto"/>
            </w:tcBorders>
            <w:shd w:val="clear" w:color="auto" w:fill="E6E6E6"/>
          </w:tcPr>
          <w:p w:rsidR="00B264ED" w:rsidRDefault="00B264ED">
            <w:pPr>
              <w:pStyle w:val="BodyText"/>
              <w:rPr>
                <w:b/>
                <w:snapToGrid w:val="0"/>
              </w:rPr>
            </w:pPr>
            <w:r>
              <w:rPr>
                <w:b/>
                <w:snapToGrid w:val="0"/>
              </w:rPr>
              <w:t>Infrastructure Wear and Tear Cost £m</w:t>
            </w:r>
          </w:p>
        </w:tc>
        <w:tc>
          <w:tcPr>
            <w:tcW w:w="1482" w:type="dxa"/>
            <w:tcBorders>
              <w:top w:val="single" w:sz="4" w:space="0" w:color="auto"/>
              <w:left w:val="single" w:sz="4" w:space="0" w:color="auto"/>
              <w:bottom w:val="single" w:sz="4" w:space="0" w:color="auto"/>
              <w:right w:val="single" w:sz="4" w:space="0" w:color="auto"/>
            </w:tcBorders>
            <w:shd w:val="clear" w:color="auto" w:fill="E6E6E6"/>
          </w:tcPr>
          <w:p w:rsidR="00B264ED" w:rsidRDefault="00B264ED">
            <w:pPr>
              <w:pStyle w:val="BodyText"/>
              <w:rPr>
                <w:b/>
                <w:snapToGrid w:val="0"/>
              </w:rPr>
            </w:pPr>
            <w:r>
              <w:rPr>
                <w:b/>
                <w:snapToGrid w:val="0"/>
              </w:rPr>
              <w:t>Cost per Route</w:t>
            </w:r>
          </w:p>
          <w:p w:rsidR="00B264ED" w:rsidRDefault="00B264ED">
            <w:pPr>
              <w:pStyle w:val="BodyText"/>
              <w:rPr>
                <w:b/>
                <w:snapToGrid w:val="0"/>
              </w:rPr>
            </w:pPr>
            <w:r>
              <w:rPr>
                <w:b/>
                <w:snapToGrid w:val="0"/>
              </w:rPr>
              <w:t>Mile (£)</w:t>
            </w:r>
          </w:p>
        </w:tc>
        <w:tc>
          <w:tcPr>
            <w:tcW w:w="1425" w:type="dxa"/>
            <w:tcBorders>
              <w:top w:val="single" w:sz="4" w:space="0" w:color="auto"/>
              <w:left w:val="single" w:sz="4" w:space="0" w:color="auto"/>
              <w:bottom w:val="single" w:sz="4" w:space="0" w:color="auto"/>
              <w:right w:val="single" w:sz="4" w:space="0" w:color="auto"/>
            </w:tcBorders>
            <w:shd w:val="clear" w:color="auto" w:fill="E6E6E6"/>
          </w:tcPr>
          <w:p w:rsidR="00B264ED" w:rsidRDefault="00B264ED">
            <w:pPr>
              <w:pStyle w:val="BodyText"/>
              <w:rPr>
                <w:b/>
                <w:snapToGrid w:val="0"/>
              </w:rPr>
            </w:pPr>
            <w:r>
              <w:rPr>
                <w:b/>
                <w:snapToGrid w:val="0"/>
              </w:rPr>
              <w:t>Cost per Track</w:t>
            </w:r>
          </w:p>
          <w:p w:rsidR="00B264ED" w:rsidRDefault="00B264ED">
            <w:pPr>
              <w:pStyle w:val="BodyText"/>
              <w:rPr>
                <w:b/>
                <w:snapToGrid w:val="0"/>
              </w:rPr>
            </w:pPr>
            <w:r>
              <w:rPr>
                <w:b/>
                <w:snapToGrid w:val="0"/>
              </w:rPr>
              <w:t>Mile (£)</w:t>
            </w:r>
          </w:p>
        </w:tc>
        <w:tc>
          <w:tcPr>
            <w:tcW w:w="1425" w:type="dxa"/>
            <w:tcBorders>
              <w:top w:val="single" w:sz="4" w:space="0" w:color="auto"/>
              <w:left w:val="single" w:sz="4" w:space="0" w:color="auto"/>
              <w:bottom w:val="single" w:sz="4" w:space="0" w:color="auto"/>
              <w:right w:val="single" w:sz="4" w:space="0" w:color="auto"/>
            </w:tcBorders>
            <w:shd w:val="clear" w:color="auto" w:fill="E6E6E6"/>
          </w:tcPr>
          <w:p w:rsidR="00B264ED" w:rsidRDefault="00B264ED">
            <w:pPr>
              <w:pStyle w:val="BodyText"/>
              <w:rPr>
                <w:b/>
                <w:snapToGrid w:val="0"/>
              </w:rPr>
            </w:pPr>
            <w:r>
              <w:rPr>
                <w:b/>
                <w:snapToGrid w:val="0"/>
              </w:rPr>
              <w:t xml:space="preserve">Cost per Train </w:t>
            </w:r>
          </w:p>
          <w:p w:rsidR="00B264ED" w:rsidRDefault="00B264ED">
            <w:pPr>
              <w:pStyle w:val="BodyText"/>
              <w:rPr>
                <w:b/>
                <w:snapToGrid w:val="0"/>
              </w:rPr>
            </w:pPr>
            <w:r>
              <w:rPr>
                <w:b/>
                <w:snapToGrid w:val="0"/>
              </w:rPr>
              <w:t>Mile (£)</w:t>
            </w:r>
          </w:p>
        </w:tc>
        <w:tc>
          <w:tcPr>
            <w:tcW w:w="1539" w:type="dxa"/>
            <w:tcBorders>
              <w:top w:val="single" w:sz="4" w:space="0" w:color="auto"/>
              <w:left w:val="single" w:sz="4" w:space="0" w:color="auto"/>
              <w:bottom w:val="single" w:sz="4" w:space="0" w:color="auto"/>
              <w:right w:val="single" w:sz="4" w:space="0" w:color="auto"/>
            </w:tcBorders>
            <w:shd w:val="clear" w:color="auto" w:fill="E6E6E6"/>
          </w:tcPr>
          <w:p w:rsidR="00B264ED" w:rsidRDefault="00B264ED">
            <w:pPr>
              <w:pStyle w:val="BodyText"/>
              <w:rPr>
                <w:b/>
                <w:snapToGrid w:val="0"/>
              </w:rPr>
            </w:pPr>
            <w:r>
              <w:rPr>
                <w:b/>
                <w:snapToGrid w:val="0"/>
              </w:rPr>
              <w:t>Cost per Traffic Unit (£)</w:t>
            </w:r>
          </w:p>
        </w:tc>
      </w:tr>
      <w:tr w:rsidR="00B264ED" w:rsidTr="00067008">
        <w:trPr>
          <w:trHeight w:val="247"/>
          <w:jc w:val="center"/>
        </w:trPr>
        <w:tc>
          <w:tcPr>
            <w:tcW w:w="1455" w:type="dxa"/>
            <w:tcBorders>
              <w:top w:val="single" w:sz="4" w:space="0" w:color="auto"/>
              <w:left w:val="single" w:sz="4" w:space="0" w:color="auto"/>
              <w:bottom w:val="single" w:sz="4" w:space="0" w:color="auto"/>
              <w:right w:val="single" w:sz="4" w:space="0" w:color="auto"/>
            </w:tcBorders>
          </w:tcPr>
          <w:p w:rsidR="00B264ED" w:rsidRDefault="00B264ED">
            <w:pPr>
              <w:pStyle w:val="BodyText"/>
              <w:rPr>
                <w:b/>
                <w:snapToGrid w:val="0"/>
              </w:rPr>
            </w:pPr>
            <w:proofErr w:type="spellStart"/>
            <w:r>
              <w:rPr>
                <w:b/>
                <w:snapToGrid w:val="0"/>
              </w:rPr>
              <w:t>Railtrack</w:t>
            </w:r>
            <w:proofErr w:type="spellEnd"/>
          </w:p>
        </w:tc>
        <w:tc>
          <w:tcPr>
            <w:tcW w:w="1482" w:type="dxa"/>
            <w:tcBorders>
              <w:top w:val="single" w:sz="4" w:space="0" w:color="auto"/>
              <w:left w:val="single" w:sz="4" w:space="0" w:color="auto"/>
              <w:bottom w:val="single" w:sz="4" w:space="0" w:color="auto"/>
              <w:right w:val="single" w:sz="4" w:space="0" w:color="auto"/>
            </w:tcBorders>
          </w:tcPr>
          <w:p w:rsidR="00B264ED" w:rsidRDefault="00B264ED">
            <w:pPr>
              <w:pStyle w:val="BodyText"/>
              <w:rPr>
                <w:snapToGrid w:val="0"/>
              </w:rPr>
            </w:pPr>
            <w:r>
              <w:rPr>
                <w:snapToGrid w:val="0"/>
              </w:rPr>
              <w:t>2290</w:t>
            </w:r>
          </w:p>
        </w:tc>
        <w:tc>
          <w:tcPr>
            <w:tcW w:w="1482" w:type="dxa"/>
            <w:tcBorders>
              <w:top w:val="single" w:sz="4" w:space="0" w:color="auto"/>
              <w:left w:val="single" w:sz="4" w:space="0" w:color="auto"/>
              <w:bottom w:val="single" w:sz="4" w:space="0" w:color="auto"/>
              <w:right w:val="single" w:sz="4" w:space="0" w:color="auto"/>
            </w:tcBorders>
          </w:tcPr>
          <w:p w:rsidR="00B264ED" w:rsidRDefault="00B264ED">
            <w:pPr>
              <w:pStyle w:val="BodyText"/>
              <w:rPr>
                <w:snapToGrid w:val="0"/>
              </w:rPr>
            </w:pPr>
            <w:r>
              <w:rPr>
                <w:snapToGrid w:val="0"/>
              </w:rPr>
              <w:t>217000</w:t>
            </w:r>
          </w:p>
        </w:tc>
        <w:tc>
          <w:tcPr>
            <w:tcW w:w="1425" w:type="dxa"/>
            <w:tcBorders>
              <w:top w:val="single" w:sz="4" w:space="0" w:color="auto"/>
              <w:left w:val="single" w:sz="4" w:space="0" w:color="auto"/>
              <w:bottom w:val="single" w:sz="4" w:space="0" w:color="auto"/>
              <w:right w:val="single" w:sz="4" w:space="0" w:color="auto"/>
            </w:tcBorders>
          </w:tcPr>
          <w:p w:rsidR="00B264ED" w:rsidRDefault="00B264ED">
            <w:pPr>
              <w:pStyle w:val="BodyText"/>
              <w:rPr>
                <w:snapToGrid w:val="0"/>
              </w:rPr>
            </w:pPr>
            <w:r>
              <w:rPr>
                <w:snapToGrid w:val="0"/>
              </w:rPr>
              <w:t>108000</w:t>
            </w:r>
          </w:p>
        </w:tc>
        <w:tc>
          <w:tcPr>
            <w:tcW w:w="1425" w:type="dxa"/>
            <w:tcBorders>
              <w:top w:val="single" w:sz="4" w:space="0" w:color="auto"/>
              <w:left w:val="single" w:sz="4" w:space="0" w:color="auto"/>
              <w:bottom w:val="single" w:sz="4" w:space="0" w:color="auto"/>
              <w:right w:val="single" w:sz="4" w:space="0" w:color="auto"/>
            </w:tcBorders>
          </w:tcPr>
          <w:p w:rsidR="00B264ED" w:rsidRDefault="00B264ED">
            <w:pPr>
              <w:pStyle w:val="BodyText"/>
              <w:rPr>
                <w:snapToGrid w:val="0"/>
              </w:rPr>
            </w:pPr>
            <w:r>
              <w:rPr>
                <w:snapToGrid w:val="0"/>
              </w:rPr>
              <w:t>7.95</w:t>
            </w:r>
          </w:p>
        </w:tc>
        <w:tc>
          <w:tcPr>
            <w:tcW w:w="1539" w:type="dxa"/>
            <w:tcBorders>
              <w:top w:val="single" w:sz="4" w:space="0" w:color="auto"/>
              <w:left w:val="single" w:sz="4" w:space="0" w:color="auto"/>
              <w:bottom w:val="single" w:sz="4" w:space="0" w:color="auto"/>
              <w:right w:val="single" w:sz="4" w:space="0" w:color="auto"/>
            </w:tcBorders>
          </w:tcPr>
          <w:p w:rsidR="00B264ED" w:rsidRDefault="00B264ED">
            <w:pPr>
              <w:pStyle w:val="BodyText"/>
              <w:rPr>
                <w:snapToGrid w:val="0"/>
              </w:rPr>
            </w:pPr>
            <w:r>
              <w:rPr>
                <w:snapToGrid w:val="0"/>
              </w:rPr>
              <w:t>0.051</w:t>
            </w:r>
          </w:p>
        </w:tc>
      </w:tr>
      <w:tr w:rsidR="00B264ED" w:rsidTr="00067008">
        <w:trPr>
          <w:trHeight w:val="247"/>
          <w:jc w:val="center"/>
        </w:trPr>
        <w:tc>
          <w:tcPr>
            <w:tcW w:w="1455" w:type="dxa"/>
            <w:tcBorders>
              <w:top w:val="single" w:sz="4" w:space="0" w:color="auto"/>
              <w:left w:val="single" w:sz="4" w:space="0" w:color="auto"/>
              <w:bottom w:val="single" w:sz="4" w:space="0" w:color="auto"/>
              <w:right w:val="single" w:sz="4" w:space="0" w:color="auto"/>
            </w:tcBorders>
          </w:tcPr>
          <w:p w:rsidR="00B264ED" w:rsidRDefault="00B264ED">
            <w:pPr>
              <w:pStyle w:val="BodyText"/>
              <w:rPr>
                <w:b/>
                <w:snapToGrid w:val="0"/>
              </w:rPr>
            </w:pPr>
            <w:proofErr w:type="spellStart"/>
            <w:r>
              <w:rPr>
                <w:b/>
                <w:snapToGrid w:val="0"/>
              </w:rPr>
              <w:t>Banverket</w:t>
            </w:r>
            <w:proofErr w:type="spellEnd"/>
          </w:p>
        </w:tc>
        <w:tc>
          <w:tcPr>
            <w:tcW w:w="1482" w:type="dxa"/>
            <w:tcBorders>
              <w:top w:val="single" w:sz="4" w:space="0" w:color="auto"/>
              <w:left w:val="single" w:sz="4" w:space="0" w:color="auto"/>
              <w:bottom w:val="single" w:sz="4" w:space="0" w:color="auto"/>
              <w:right w:val="single" w:sz="4" w:space="0" w:color="auto"/>
            </w:tcBorders>
          </w:tcPr>
          <w:p w:rsidR="00B264ED" w:rsidRDefault="00B264ED">
            <w:pPr>
              <w:pStyle w:val="BodyText"/>
              <w:rPr>
                <w:snapToGrid w:val="0"/>
              </w:rPr>
            </w:pPr>
            <w:r>
              <w:rPr>
                <w:snapToGrid w:val="0"/>
              </w:rPr>
              <w:t>874</w:t>
            </w:r>
          </w:p>
        </w:tc>
        <w:tc>
          <w:tcPr>
            <w:tcW w:w="1482" w:type="dxa"/>
            <w:tcBorders>
              <w:top w:val="single" w:sz="4" w:space="0" w:color="auto"/>
              <w:left w:val="single" w:sz="4" w:space="0" w:color="auto"/>
              <w:bottom w:val="single" w:sz="4" w:space="0" w:color="auto"/>
              <w:right w:val="single" w:sz="4" w:space="0" w:color="auto"/>
            </w:tcBorders>
          </w:tcPr>
          <w:p w:rsidR="00B264ED" w:rsidRDefault="00B264ED">
            <w:pPr>
              <w:pStyle w:val="BodyText"/>
              <w:rPr>
                <w:snapToGrid w:val="0"/>
              </w:rPr>
            </w:pPr>
            <w:r>
              <w:rPr>
                <w:snapToGrid w:val="0"/>
              </w:rPr>
              <w:t>129000</w:t>
            </w:r>
          </w:p>
        </w:tc>
        <w:tc>
          <w:tcPr>
            <w:tcW w:w="1425" w:type="dxa"/>
            <w:tcBorders>
              <w:top w:val="single" w:sz="4" w:space="0" w:color="auto"/>
              <w:left w:val="single" w:sz="4" w:space="0" w:color="auto"/>
              <w:bottom w:val="single" w:sz="4" w:space="0" w:color="auto"/>
              <w:right w:val="single" w:sz="4" w:space="0" w:color="auto"/>
            </w:tcBorders>
          </w:tcPr>
          <w:p w:rsidR="00B264ED" w:rsidRDefault="00B264ED">
            <w:pPr>
              <w:pStyle w:val="BodyText"/>
              <w:rPr>
                <w:snapToGrid w:val="0"/>
              </w:rPr>
            </w:pPr>
            <w:r>
              <w:rPr>
                <w:snapToGrid w:val="0"/>
              </w:rPr>
              <w:t>113000</w:t>
            </w:r>
          </w:p>
        </w:tc>
        <w:tc>
          <w:tcPr>
            <w:tcW w:w="1425" w:type="dxa"/>
            <w:tcBorders>
              <w:top w:val="single" w:sz="4" w:space="0" w:color="auto"/>
              <w:left w:val="single" w:sz="4" w:space="0" w:color="auto"/>
              <w:bottom w:val="single" w:sz="4" w:space="0" w:color="auto"/>
              <w:right w:val="single" w:sz="4" w:space="0" w:color="auto"/>
            </w:tcBorders>
          </w:tcPr>
          <w:p w:rsidR="00B264ED" w:rsidRDefault="00B264ED">
            <w:pPr>
              <w:pStyle w:val="BodyText"/>
              <w:rPr>
                <w:snapToGrid w:val="0"/>
              </w:rPr>
            </w:pPr>
            <w:r>
              <w:rPr>
                <w:snapToGrid w:val="0"/>
              </w:rPr>
              <w:t>6.71</w:t>
            </w:r>
          </w:p>
        </w:tc>
        <w:tc>
          <w:tcPr>
            <w:tcW w:w="1539" w:type="dxa"/>
            <w:tcBorders>
              <w:top w:val="single" w:sz="4" w:space="0" w:color="auto"/>
              <w:left w:val="single" w:sz="4" w:space="0" w:color="auto"/>
              <w:bottom w:val="single" w:sz="4" w:space="0" w:color="auto"/>
              <w:right w:val="single" w:sz="4" w:space="0" w:color="auto"/>
            </w:tcBorders>
          </w:tcPr>
          <w:p w:rsidR="00B264ED" w:rsidRDefault="00B264ED">
            <w:pPr>
              <w:pStyle w:val="BodyText"/>
              <w:rPr>
                <w:snapToGrid w:val="0"/>
              </w:rPr>
            </w:pPr>
            <w:r>
              <w:rPr>
                <w:snapToGrid w:val="0"/>
              </w:rPr>
              <w:t>0.033</w:t>
            </w:r>
          </w:p>
        </w:tc>
      </w:tr>
    </w:tbl>
    <w:p w:rsidR="00B264ED" w:rsidRDefault="00B264ED" w:rsidP="00B264ED">
      <w:pPr>
        <w:rPr>
          <w:rFonts w:cs="Arial"/>
          <w:i/>
        </w:rPr>
      </w:pPr>
      <w:r>
        <w:rPr>
          <w:rFonts w:cs="Arial"/>
          <w:i/>
        </w:rPr>
        <w:t xml:space="preserve">   Source:  </w:t>
      </w:r>
      <w:smartTag w:uri="urn:schemas-microsoft-com:office:smarttags" w:element="place">
        <w:r>
          <w:rPr>
            <w:rFonts w:cs="Arial"/>
            <w:i/>
          </w:rPr>
          <w:t>Preston</w:t>
        </w:r>
      </w:smartTag>
      <w:r>
        <w:rPr>
          <w:rFonts w:cs="Arial"/>
          <w:i/>
        </w:rPr>
        <w:t xml:space="preserve">, </w:t>
      </w:r>
      <w:proofErr w:type="spellStart"/>
      <w:r>
        <w:rPr>
          <w:rFonts w:cs="Arial"/>
          <w:i/>
        </w:rPr>
        <w:t>Holvad</w:t>
      </w:r>
      <w:proofErr w:type="spellEnd"/>
      <w:r>
        <w:rPr>
          <w:rFonts w:cs="Arial"/>
          <w:i/>
        </w:rPr>
        <w:t xml:space="preserve"> and </w:t>
      </w:r>
      <w:proofErr w:type="spellStart"/>
      <w:r>
        <w:rPr>
          <w:rFonts w:cs="Arial"/>
          <w:i/>
        </w:rPr>
        <w:t>Raje</w:t>
      </w:r>
      <w:proofErr w:type="spellEnd"/>
      <w:r>
        <w:rPr>
          <w:rFonts w:cs="Arial"/>
          <w:i/>
        </w:rPr>
        <w:t>, 2002</w:t>
      </w:r>
    </w:p>
    <w:p w:rsidR="00B264ED" w:rsidRDefault="00B264ED" w:rsidP="00B264ED">
      <w:pPr>
        <w:rPr>
          <w:rFonts w:cs="Arial"/>
          <w:i/>
        </w:rPr>
      </w:pPr>
    </w:p>
    <w:p w:rsidR="00B264ED" w:rsidRDefault="00B264ED" w:rsidP="00067008">
      <w:pPr>
        <w:pStyle w:val="Caption"/>
        <w:rPr>
          <w:rFonts w:cs="Arial"/>
        </w:rPr>
      </w:pPr>
      <w:bookmarkStart w:id="6" w:name="_Toc183760105"/>
      <w:r>
        <w:rPr>
          <w:rFonts w:cs="Arial"/>
        </w:rPr>
        <w:lastRenderedPageBreak/>
        <w:t xml:space="preserve">Table </w:t>
      </w:r>
      <w:r w:rsidR="002C4C5F">
        <w:rPr>
          <w:rFonts w:cs="Arial"/>
        </w:rPr>
        <w:t>3</w:t>
      </w:r>
      <w:r>
        <w:rPr>
          <w:rFonts w:cs="Arial"/>
        </w:rPr>
        <w:t>: Swedish and British Rail Infrastructure Charges Compared (1999/2000 prices £ per train km)</w:t>
      </w:r>
      <w:bookmarkEnd w:id="6"/>
    </w:p>
    <w:tbl>
      <w:tblPr>
        <w:tblW w:w="0" w:type="auto"/>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1"/>
        <w:gridCol w:w="1476"/>
        <w:gridCol w:w="1476"/>
        <w:gridCol w:w="1476"/>
        <w:gridCol w:w="1476"/>
        <w:gridCol w:w="1612"/>
      </w:tblGrid>
      <w:tr w:rsidR="00B264ED" w:rsidTr="002C4C5F">
        <w:trPr>
          <w:cantSplit/>
          <w:jc w:val="center"/>
        </w:trPr>
        <w:tc>
          <w:tcPr>
            <w:tcW w:w="1341" w:type="dxa"/>
            <w:vMerge w:val="restart"/>
            <w:tcBorders>
              <w:top w:val="single" w:sz="4" w:space="0" w:color="auto"/>
              <w:left w:val="single" w:sz="4" w:space="0" w:color="auto"/>
              <w:bottom w:val="single" w:sz="4" w:space="0" w:color="auto"/>
              <w:right w:val="single" w:sz="4" w:space="0" w:color="auto"/>
            </w:tcBorders>
          </w:tcPr>
          <w:p w:rsidR="00B264ED" w:rsidRDefault="00B264ED">
            <w:pPr>
              <w:pStyle w:val="BodyText"/>
            </w:pPr>
            <w:smartTag w:uri="urn:schemas-microsoft-com:office:smarttags" w:element="place">
              <w:smartTag w:uri="urn:schemas-microsoft-com:office:smarttags" w:element="country-region">
                <w:r>
                  <w:t>Sweden</w:t>
                </w:r>
              </w:smartTag>
            </w:smartTag>
          </w:p>
        </w:tc>
        <w:tc>
          <w:tcPr>
            <w:tcW w:w="1476"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1990</w:t>
            </w:r>
            <w:r>
              <w:tab/>
            </w:r>
          </w:p>
        </w:tc>
        <w:tc>
          <w:tcPr>
            <w:tcW w:w="1476"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0.882</w:t>
            </w:r>
          </w:p>
        </w:tc>
        <w:tc>
          <w:tcPr>
            <w:tcW w:w="1476" w:type="dxa"/>
            <w:vMerge w:val="restart"/>
            <w:tcBorders>
              <w:top w:val="single" w:sz="4" w:space="0" w:color="auto"/>
              <w:left w:val="single" w:sz="4" w:space="0" w:color="auto"/>
              <w:bottom w:val="single" w:sz="4" w:space="0" w:color="auto"/>
              <w:right w:val="single" w:sz="4" w:space="0" w:color="auto"/>
            </w:tcBorders>
          </w:tcPr>
          <w:p w:rsidR="00B264ED" w:rsidRDefault="00B264ED">
            <w:pPr>
              <w:pStyle w:val="BodyText"/>
            </w:pPr>
            <w:smartTag w:uri="urn:schemas-microsoft-com:office:smarttags" w:element="place">
              <w:smartTag w:uri="urn:schemas-microsoft-com:office:smarttags" w:element="country-region">
                <w:r>
                  <w:t>Great Britain</w:t>
                </w:r>
              </w:smartTag>
            </w:smartTag>
          </w:p>
        </w:tc>
        <w:tc>
          <w:tcPr>
            <w:tcW w:w="1476"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1994/5</w:t>
            </w:r>
            <w:r>
              <w:tab/>
            </w:r>
          </w:p>
        </w:tc>
        <w:tc>
          <w:tcPr>
            <w:tcW w:w="1612"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6.032</w:t>
            </w:r>
          </w:p>
        </w:tc>
      </w:tr>
      <w:tr w:rsidR="00B264ED" w:rsidTr="002C4C5F">
        <w:trPr>
          <w:cantSplit/>
          <w:jc w:val="center"/>
        </w:trPr>
        <w:tc>
          <w:tcPr>
            <w:tcW w:w="1341" w:type="dxa"/>
            <w:vMerge/>
            <w:tcBorders>
              <w:top w:val="single" w:sz="4" w:space="0" w:color="auto"/>
              <w:left w:val="single" w:sz="4" w:space="0" w:color="auto"/>
              <w:bottom w:val="single" w:sz="4" w:space="0" w:color="auto"/>
              <w:right w:val="single" w:sz="4" w:space="0" w:color="auto"/>
            </w:tcBorders>
            <w:vAlign w:val="center"/>
          </w:tcPr>
          <w:p w:rsidR="00B264ED" w:rsidRDefault="00B264ED">
            <w:pPr>
              <w:jc w:val="left"/>
              <w:rPr>
                <w:rFonts w:eastAsia="Times New Roman"/>
                <w:sz w:val="18"/>
                <w:szCs w:val="18"/>
              </w:rPr>
            </w:pPr>
          </w:p>
        </w:tc>
        <w:tc>
          <w:tcPr>
            <w:tcW w:w="1476"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2000</w:t>
            </w:r>
          </w:p>
        </w:tc>
        <w:tc>
          <w:tcPr>
            <w:tcW w:w="1476"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0.646</w:t>
            </w:r>
          </w:p>
        </w:tc>
        <w:tc>
          <w:tcPr>
            <w:tcW w:w="1476" w:type="dxa"/>
            <w:vMerge/>
            <w:tcBorders>
              <w:top w:val="single" w:sz="4" w:space="0" w:color="auto"/>
              <w:left w:val="single" w:sz="4" w:space="0" w:color="auto"/>
              <w:bottom w:val="single" w:sz="4" w:space="0" w:color="auto"/>
              <w:right w:val="single" w:sz="4" w:space="0" w:color="auto"/>
            </w:tcBorders>
            <w:vAlign w:val="center"/>
          </w:tcPr>
          <w:p w:rsidR="00B264ED" w:rsidRDefault="00B264ED">
            <w:pPr>
              <w:jc w:val="left"/>
              <w:rPr>
                <w:rFonts w:eastAsia="Times New Roman"/>
                <w:sz w:val="18"/>
                <w:szCs w:val="18"/>
              </w:rPr>
            </w:pPr>
          </w:p>
        </w:tc>
        <w:tc>
          <w:tcPr>
            <w:tcW w:w="1476"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1999/2000</w:t>
            </w:r>
          </w:p>
        </w:tc>
        <w:tc>
          <w:tcPr>
            <w:tcW w:w="1612"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5.039</w:t>
            </w:r>
          </w:p>
        </w:tc>
      </w:tr>
    </w:tbl>
    <w:p w:rsidR="00B264ED" w:rsidRDefault="00B264ED" w:rsidP="002C4C5F">
      <w:pPr>
        <w:ind w:left="142"/>
        <w:rPr>
          <w:rFonts w:cs="Arial"/>
          <w:i/>
        </w:rPr>
      </w:pPr>
      <w:r>
        <w:rPr>
          <w:rFonts w:cs="Arial"/>
          <w:i/>
        </w:rPr>
        <w:t xml:space="preserve">Sources: Nash, 1997, </w:t>
      </w:r>
      <w:proofErr w:type="spellStart"/>
      <w:r>
        <w:rPr>
          <w:rFonts w:cs="Arial"/>
          <w:i/>
        </w:rPr>
        <w:t>Prognos</w:t>
      </w:r>
      <w:proofErr w:type="spellEnd"/>
      <w:r>
        <w:rPr>
          <w:rFonts w:cs="Arial"/>
          <w:i/>
        </w:rPr>
        <w:t>, A.G., 2000. Assumes increases in RPI 1990/91 to 1999/2000 are 27.8% (</w:t>
      </w:r>
      <w:hyperlink r:id="rId7" w:history="1">
        <w:r>
          <w:rPr>
            <w:rStyle w:val="Hyperlink"/>
            <w:i/>
          </w:rPr>
          <w:t>http://www.netaccountants.com/rpi.html</w:t>
        </w:r>
      </w:hyperlink>
      <w:r>
        <w:rPr>
          <w:rFonts w:cs="Arial"/>
          <w:i/>
        </w:rPr>
        <w:t>). Assumes that €1=£0.646 Oct 1999</w:t>
      </w:r>
    </w:p>
    <w:p w:rsidR="00B264ED" w:rsidRDefault="00B264ED" w:rsidP="002C4C5F">
      <w:pPr>
        <w:ind w:left="142"/>
        <w:rPr>
          <w:rFonts w:cs="Arial"/>
          <w:i/>
        </w:rPr>
      </w:pPr>
      <w:r>
        <w:rPr>
          <w:rFonts w:cs="Arial"/>
          <w:i/>
        </w:rPr>
        <w:t>(</w:t>
      </w:r>
      <w:hyperlink r:id="rId8" w:history="1">
        <w:r>
          <w:rPr>
            <w:rStyle w:val="Hyperlink"/>
            <w:i/>
          </w:rPr>
          <w:t>http://www.ecb.int/pub/pdf/mb199912en.pdf</w:t>
        </w:r>
      </w:hyperlink>
      <w:r>
        <w:rPr>
          <w:rFonts w:cs="Arial"/>
          <w:i/>
        </w:rPr>
        <w:t>).</w:t>
      </w:r>
    </w:p>
    <w:p w:rsidR="00B264ED" w:rsidRDefault="00B264ED" w:rsidP="00B264ED">
      <w:pPr>
        <w:rPr>
          <w:rFonts w:cs="Arial"/>
          <w:i/>
        </w:rPr>
      </w:pPr>
    </w:p>
    <w:p w:rsidR="00B264ED" w:rsidRDefault="00B264ED" w:rsidP="00B264ED">
      <w:pPr>
        <w:rPr>
          <w:rFonts w:cs="Arial"/>
        </w:rPr>
      </w:pPr>
      <w:r>
        <w:rPr>
          <w:rFonts w:cs="Arial"/>
        </w:rPr>
        <w:t xml:space="preserve">Preston et al (2002) noted that on track competition in the passenger rail market is currently limited, but postulated that were such competition to be permitted on a wider scale, the extent would be influenced by the level of track access charges.  To explore this, they used a simulation model – PRAISE - to assess the impact of on-track competition in both </w:t>
      </w:r>
      <w:smartTag w:uri="urn:schemas-microsoft-com:office:smarttags" w:element="country-region">
        <w:r>
          <w:rPr>
            <w:rFonts w:cs="Arial"/>
          </w:rPr>
          <w:t>Britain</w:t>
        </w:r>
      </w:smartTag>
      <w:r>
        <w:rPr>
          <w:rFonts w:cs="Arial"/>
        </w:rPr>
        <w:t xml:space="preserve"> and </w:t>
      </w:r>
      <w:smartTag w:uri="urn:schemas-microsoft-com:office:smarttags" w:element="place">
        <w:smartTag w:uri="urn:schemas-microsoft-com:office:smarttags" w:element="country-region">
          <w:r>
            <w:rPr>
              <w:rFonts w:cs="Arial"/>
            </w:rPr>
            <w:t>Sweden</w:t>
          </w:r>
        </w:smartTag>
      </w:smartTag>
      <w:r>
        <w:rPr>
          <w:rFonts w:cs="Arial"/>
        </w:rPr>
        <w:t xml:space="preserve">.  </w:t>
      </w:r>
    </w:p>
    <w:p w:rsidR="00B264ED" w:rsidRDefault="00B264ED" w:rsidP="00B264ED">
      <w:pPr>
        <w:rPr>
          <w:rFonts w:cs="Arial"/>
        </w:rPr>
      </w:pPr>
    </w:p>
    <w:p w:rsidR="00B264ED" w:rsidRDefault="00B264ED" w:rsidP="00B264ED">
      <w:pPr>
        <w:rPr>
          <w:rFonts w:cs="Arial"/>
        </w:rPr>
      </w:pPr>
      <w:r>
        <w:rPr>
          <w:rFonts w:cs="Arial"/>
        </w:rPr>
        <w:t xml:space="preserve">They found that, for a main line intercity route in </w:t>
      </w:r>
      <w:smartTag w:uri="urn:schemas-microsoft-com:office:smarttags" w:element="place">
        <w:smartTag w:uri="urn:schemas-microsoft-com:office:smarttags" w:element="country-region">
          <w:r>
            <w:rPr>
              <w:rFonts w:cs="Arial"/>
            </w:rPr>
            <w:t>Britain</w:t>
          </w:r>
        </w:smartTag>
      </w:smartTag>
      <w:r>
        <w:rPr>
          <w:rFonts w:cs="Arial"/>
        </w:rPr>
        <w:t xml:space="preserve">, competition would be largely of a cream skimming nature, with the new entrant concentrating its services during the peak periods of the day. Evaluation of this competition found that, although it was profitable for the new entrant, it would not improve welfare overall.  Furthermore, head on and fares competition did not appear to be profitable where infrastructure charges are based on full cost recovery, with the possible exceptions of some route and product competition.  By contrast, for Route S1 in </w:t>
      </w:r>
      <w:smartTag w:uri="urn:schemas-microsoft-com:office:smarttags" w:element="place">
        <w:smartTag w:uri="urn:schemas-microsoft-com:office:smarttags" w:element="country-region">
          <w:r>
            <w:rPr>
              <w:rFonts w:cs="Arial"/>
            </w:rPr>
            <w:t>Sweden</w:t>
          </w:r>
        </w:smartTag>
      </w:smartTag>
      <w:r>
        <w:rPr>
          <w:rFonts w:cs="Arial"/>
        </w:rPr>
        <w:t xml:space="preserve">, it was found that on-track competition would lead to large service increases and significant fare reductions, and that this would represent a welfare improvement on the current situation; however, it would force a parallel route, currently commercial, into requiring subsidy.  They went on to observe that, in </w:t>
      </w:r>
      <w:smartTag w:uri="urn:schemas-microsoft-com:office:smarttags" w:element="country-region">
        <w:r>
          <w:rPr>
            <w:rFonts w:cs="Arial"/>
          </w:rPr>
          <w:t>Sweden</w:t>
        </w:r>
      </w:smartTag>
      <w:r>
        <w:rPr>
          <w:rFonts w:cs="Arial"/>
        </w:rPr>
        <w:t xml:space="preserve">, a greater proportion of the passenger rail network can be operated commercially because infrastructure charges are much lower than in </w:t>
      </w:r>
      <w:smartTag w:uri="urn:schemas-microsoft-com:office:smarttags" w:element="place">
        <w:smartTag w:uri="urn:schemas-microsoft-com:office:smarttags" w:element="country-region">
          <w:r>
            <w:rPr>
              <w:rFonts w:cs="Arial"/>
            </w:rPr>
            <w:t>Great Britain</w:t>
          </w:r>
        </w:smartTag>
      </w:smartTag>
      <w:r>
        <w:rPr>
          <w:rFonts w:cs="Arial"/>
        </w:rPr>
        <w:t xml:space="preserve">.  Hence, there is greater scope for commercial on-track competition in </w:t>
      </w:r>
      <w:smartTag w:uri="urn:schemas-microsoft-com:office:smarttags" w:element="country-region">
        <w:r>
          <w:rPr>
            <w:rFonts w:cs="Arial"/>
          </w:rPr>
          <w:t>Sweden</w:t>
        </w:r>
      </w:smartTag>
      <w:r>
        <w:rPr>
          <w:rFonts w:cs="Arial"/>
        </w:rPr>
        <w:t xml:space="preserve"> than in </w:t>
      </w:r>
      <w:smartTag w:uri="urn:schemas-microsoft-com:office:smarttags" w:element="place">
        <w:smartTag w:uri="urn:schemas-microsoft-com:office:smarttags" w:element="country-region">
          <w:r>
            <w:rPr>
              <w:rFonts w:cs="Arial"/>
            </w:rPr>
            <w:t>Britain</w:t>
          </w:r>
        </w:smartTag>
      </w:smartTag>
      <w:r>
        <w:rPr>
          <w:rFonts w:cs="Arial"/>
        </w:rPr>
        <w:t xml:space="preserve">. </w:t>
      </w:r>
    </w:p>
    <w:p w:rsidR="00B264ED" w:rsidRDefault="00B264ED" w:rsidP="00B264ED">
      <w:pPr>
        <w:rPr>
          <w:rFonts w:cs="Arial"/>
          <w:i/>
        </w:rPr>
      </w:pPr>
    </w:p>
    <w:p w:rsidR="00B264ED" w:rsidRDefault="00B264ED" w:rsidP="00B264ED">
      <w:r>
        <w:t xml:space="preserve">Finally, the British Office of Rail Regulation (ORR) commissioned MDS </w:t>
      </w:r>
      <w:proofErr w:type="spellStart"/>
      <w:r>
        <w:t>Transmodal</w:t>
      </w:r>
      <w:proofErr w:type="spellEnd"/>
      <w:r>
        <w:t xml:space="preserve"> to assess the impact of an increase in track access charges on freight traffic (ORR, 2006).  This work formed part of their work to review British charges, and was designed to investigate the impacts of including a mark-up on infrastructure charges for freight so as to recover the costs of freight-only lines.  MDS used the GB Freight model along with models for intermodal and coal traffic, and their r</w:t>
      </w:r>
      <w:r w:rsidR="00283E01">
        <w:t>esults are summarised in Table 4</w:t>
      </w:r>
      <w:r>
        <w:t>.</w:t>
      </w:r>
    </w:p>
    <w:p w:rsidR="002C4C5F" w:rsidRDefault="002C4C5F" w:rsidP="00B264ED"/>
    <w:p w:rsidR="00B264ED" w:rsidRDefault="00B264ED" w:rsidP="00067008">
      <w:pPr>
        <w:pStyle w:val="Caption"/>
        <w:jc w:val="both"/>
        <w:rPr>
          <w:rFonts w:cs="Arial"/>
        </w:rPr>
      </w:pPr>
      <w:bookmarkStart w:id="7" w:name="_Toc183760106"/>
      <w:r>
        <w:rPr>
          <w:rFonts w:cs="Arial"/>
        </w:rPr>
        <w:t xml:space="preserve">Table </w:t>
      </w:r>
      <w:r w:rsidR="00283E01">
        <w:rPr>
          <w:rFonts w:cs="Arial"/>
        </w:rPr>
        <w:t>4</w:t>
      </w:r>
      <w:r>
        <w:rPr>
          <w:rFonts w:cs="Arial"/>
        </w:rPr>
        <w:t>: Estimated Impact of an Increase in Track Access Charges on Rail Freight Traffic (tonnage in 2014)</w:t>
      </w:r>
      <w:bookmarkEnd w:id="7"/>
    </w:p>
    <w:tbl>
      <w:tblPr>
        <w:tblW w:w="0" w:type="auto"/>
        <w:jc w:val="center"/>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1655"/>
        <w:gridCol w:w="1420"/>
        <w:gridCol w:w="1421"/>
      </w:tblGrid>
      <w:tr w:rsidR="00B264ED" w:rsidTr="00B264ED">
        <w:trPr>
          <w:jc w:val="center"/>
        </w:trPr>
        <w:tc>
          <w:tcPr>
            <w:tcW w:w="2600" w:type="dxa"/>
            <w:vMerge w:val="restart"/>
            <w:tcBorders>
              <w:top w:val="single" w:sz="4" w:space="0" w:color="auto"/>
              <w:left w:val="single" w:sz="4" w:space="0" w:color="auto"/>
              <w:bottom w:val="single" w:sz="4" w:space="0" w:color="auto"/>
              <w:right w:val="single" w:sz="4" w:space="0" w:color="auto"/>
            </w:tcBorders>
            <w:shd w:val="clear" w:color="auto" w:fill="E6E6E6"/>
          </w:tcPr>
          <w:p w:rsidR="00B264ED" w:rsidRDefault="00B264ED">
            <w:pPr>
              <w:pStyle w:val="BodyText"/>
              <w:rPr>
                <w:b/>
              </w:rPr>
            </w:pPr>
            <w:r>
              <w:rPr>
                <w:b/>
              </w:rPr>
              <w:t>Commodity</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E6E6E6"/>
          </w:tcPr>
          <w:p w:rsidR="00B264ED" w:rsidRDefault="00B264ED">
            <w:pPr>
              <w:pStyle w:val="BodyText"/>
              <w:rPr>
                <w:b/>
              </w:rPr>
            </w:pPr>
            <w:r>
              <w:rPr>
                <w:b/>
              </w:rPr>
              <w:t>Growth by 2014 (%)</w:t>
            </w:r>
          </w:p>
        </w:tc>
        <w:tc>
          <w:tcPr>
            <w:tcW w:w="2841" w:type="dxa"/>
            <w:gridSpan w:val="2"/>
            <w:tcBorders>
              <w:top w:val="single" w:sz="4" w:space="0" w:color="auto"/>
              <w:left w:val="single" w:sz="4" w:space="0" w:color="auto"/>
              <w:bottom w:val="single" w:sz="4" w:space="0" w:color="auto"/>
              <w:right w:val="single" w:sz="4" w:space="0" w:color="auto"/>
            </w:tcBorders>
            <w:shd w:val="clear" w:color="auto" w:fill="E6E6E6"/>
          </w:tcPr>
          <w:p w:rsidR="00B264ED" w:rsidRDefault="00B264ED">
            <w:pPr>
              <w:pStyle w:val="BodyText"/>
              <w:rPr>
                <w:b/>
              </w:rPr>
            </w:pPr>
            <w:r>
              <w:rPr>
                <w:b/>
              </w:rPr>
              <w:t>Impact of a track access charge increase (%)</w:t>
            </w:r>
          </w:p>
        </w:tc>
      </w:tr>
      <w:tr w:rsidR="00B264ED" w:rsidTr="00B264E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64ED" w:rsidRDefault="00B264ED">
            <w:pPr>
              <w:jc w:val="left"/>
              <w:rPr>
                <w:rFonts w:eastAsia="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264ED" w:rsidRDefault="00B264ED">
            <w:pPr>
              <w:jc w:val="left"/>
              <w:rPr>
                <w:rFonts w:eastAsia="Times New Roman"/>
                <w:b/>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E6E6E6"/>
          </w:tcPr>
          <w:p w:rsidR="00B264ED" w:rsidRDefault="00B264ED">
            <w:pPr>
              <w:pStyle w:val="BodyText"/>
              <w:rPr>
                <w:b/>
              </w:rPr>
            </w:pPr>
            <w:r>
              <w:rPr>
                <w:b/>
              </w:rPr>
              <w:t>+20%</w:t>
            </w:r>
          </w:p>
        </w:tc>
        <w:tc>
          <w:tcPr>
            <w:tcW w:w="1421" w:type="dxa"/>
            <w:tcBorders>
              <w:top w:val="single" w:sz="4" w:space="0" w:color="auto"/>
              <w:left w:val="single" w:sz="4" w:space="0" w:color="auto"/>
              <w:bottom w:val="single" w:sz="4" w:space="0" w:color="auto"/>
              <w:right w:val="single" w:sz="4" w:space="0" w:color="auto"/>
            </w:tcBorders>
            <w:shd w:val="clear" w:color="auto" w:fill="E6E6E6"/>
          </w:tcPr>
          <w:p w:rsidR="00B264ED" w:rsidRDefault="00B264ED">
            <w:pPr>
              <w:pStyle w:val="BodyText"/>
              <w:rPr>
                <w:b/>
              </w:rPr>
            </w:pPr>
            <w:r>
              <w:rPr>
                <w:b/>
              </w:rPr>
              <w:t>+50%</w:t>
            </w:r>
          </w:p>
        </w:tc>
      </w:tr>
      <w:tr w:rsidR="00B264ED" w:rsidTr="00B264ED">
        <w:trPr>
          <w:jc w:val="center"/>
        </w:trPr>
        <w:tc>
          <w:tcPr>
            <w:tcW w:w="2600" w:type="dxa"/>
            <w:tcBorders>
              <w:top w:val="single" w:sz="4" w:space="0" w:color="auto"/>
              <w:left w:val="single" w:sz="4" w:space="0" w:color="auto"/>
              <w:bottom w:val="single" w:sz="4" w:space="0" w:color="auto"/>
              <w:right w:val="single" w:sz="4" w:space="0" w:color="auto"/>
            </w:tcBorders>
          </w:tcPr>
          <w:p w:rsidR="00B264ED" w:rsidRDefault="00B264ED">
            <w:pPr>
              <w:pStyle w:val="BodyText"/>
              <w:rPr>
                <w:b/>
              </w:rPr>
            </w:pPr>
            <w:r>
              <w:rPr>
                <w:b/>
              </w:rPr>
              <w:t>Maritime Containers</w:t>
            </w:r>
          </w:p>
        </w:tc>
        <w:tc>
          <w:tcPr>
            <w:tcW w:w="1655"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50</w:t>
            </w:r>
          </w:p>
        </w:tc>
        <w:tc>
          <w:tcPr>
            <w:tcW w:w="1420"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-6.4</w:t>
            </w:r>
          </w:p>
        </w:tc>
        <w:tc>
          <w:tcPr>
            <w:tcW w:w="1421"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-15.2</w:t>
            </w:r>
          </w:p>
        </w:tc>
      </w:tr>
      <w:tr w:rsidR="00B264ED" w:rsidTr="00B264ED">
        <w:trPr>
          <w:jc w:val="center"/>
        </w:trPr>
        <w:tc>
          <w:tcPr>
            <w:tcW w:w="2600" w:type="dxa"/>
            <w:tcBorders>
              <w:top w:val="single" w:sz="4" w:space="0" w:color="auto"/>
              <w:left w:val="single" w:sz="4" w:space="0" w:color="auto"/>
              <w:bottom w:val="single" w:sz="4" w:space="0" w:color="auto"/>
              <w:right w:val="single" w:sz="4" w:space="0" w:color="auto"/>
            </w:tcBorders>
          </w:tcPr>
          <w:p w:rsidR="00B264ED" w:rsidRDefault="00B264ED">
            <w:pPr>
              <w:pStyle w:val="BodyText"/>
              <w:rPr>
                <w:b/>
              </w:rPr>
            </w:pPr>
            <w:r>
              <w:rPr>
                <w:b/>
              </w:rPr>
              <w:t>ESI coal</w:t>
            </w:r>
          </w:p>
        </w:tc>
        <w:tc>
          <w:tcPr>
            <w:tcW w:w="1655"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-9</w:t>
            </w:r>
          </w:p>
        </w:tc>
        <w:tc>
          <w:tcPr>
            <w:tcW w:w="1420"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-0.4</w:t>
            </w:r>
          </w:p>
        </w:tc>
        <w:tc>
          <w:tcPr>
            <w:tcW w:w="1421"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-1.1</w:t>
            </w:r>
          </w:p>
        </w:tc>
      </w:tr>
      <w:tr w:rsidR="00B264ED" w:rsidTr="00B264ED">
        <w:trPr>
          <w:jc w:val="center"/>
        </w:trPr>
        <w:tc>
          <w:tcPr>
            <w:tcW w:w="2600" w:type="dxa"/>
            <w:tcBorders>
              <w:top w:val="single" w:sz="4" w:space="0" w:color="auto"/>
              <w:left w:val="single" w:sz="4" w:space="0" w:color="auto"/>
              <w:bottom w:val="single" w:sz="4" w:space="0" w:color="auto"/>
              <w:right w:val="single" w:sz="4" w:space="0" w:color="auto"/>
            </w:tcBorders>
          </w:tcPr>
          <w:p w:rsidR="00B264ED" w:rsidRDefault="00B264ED">
            <w:pPr>
              <w:pStyle w:val="BodyText"/>
              <w:rPr>
                <w:b/>
              </w:rPr>
            </w:pPr>
            <w:r>
              <w:rPr>
                <w:b/>
              </w:rPr>
              <w:t>Other coal</w:t>
            </w:r>
          </w:p>
        </w:tc>
        <w:tc>
          <w:tcPr>
            <w:tcW w:w="1655"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0</w:t>
            </w:r>
          </w:p>
        </w:tc>
        <w:tc>
          <w:tcPr>
            <w:tcW w:w="1420"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-0.7</w:t>
            </w:r>
          </w:p>
        </w:tc>
        <w:tc>
          <w:tcPr>
            <w:tcW w:w="1421"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-1.6</w:t>
            </w:r>
          </w:p>
        </w:tc>
      </w:tr>
      <w:tr w:rsidR="00B264ED" w:rsidTr="00B264ED">
        <w:trPr>
          <w:jc w:val="center"/>
        </w:trPr>
        <w:tc>
          <w:tcPr>
            <w:tcW w:w="2600" w:type="dxa"/>
            <w:tcBorders>
              <w:top w:val="single" w:sz="4" w:space="0" w:color="auto"/>
              <w:left w:val="single" w:sz="4" w:space="0" w:color="auto"/>
              <w:bottom w:val="single" w:sz="4" w:space="0" w:color="auto"/>
              <w:right w:val="single" w:sz="4" w:space="0" w:color="auto"/>
            </w:tcBorders>
          </w:tcPr>
          <w:p w:rsidR="00B264ED" w:rsidRDefault="00B264ED">
            <w:pPr>
              <w:pStyle w:val="BodyText"/>
              <w:rPr>
                <w:b/>
              </w:rPr>
            </w:pPr>
            <w:r>
              <w:rPr>
                <w:b/>
              </w:rPr>
              <w:t>Metals</w:t>
            </w:r>
          </w:p>
        </w:tc>
        <w:tc>
          <w:tcPr>
            <w:tcW w:w="1655"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12</w:t>
            </w:r>
          </w:p>
        </w:tc>
        <w:tc>
          <w:tcPr>
            <w:tcW w:w="1420"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-1.9</w:t>
            </w:r>
          </w:p>
        </w:tc>
        <w:tc>
          <w:tcPr>
            <w:tcW w:w="1421"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-6.3</w:t>
            </w:r>
          </w:p>
        </w:tc>
      </w:tr>
      <w:tr w:rsidR="00B264ED" w:rsidTr="00B264ED">
        <w:trPr>
          <w:jc w:val="center"/>
        </w:trPr>
        <w:tc>
          <w:tcPr>
            <w:tcW w:w="2600" w:type="dxa"/>
            <w:tcBorders>
              <w:top w:val="single" w:sz="4" w:space="0" w:color="auto"/>
              <w:left w:val="single" w:sz="4" w:space="0" w:color="auto"/>
              <w:bottom w:val="single" w:sz="4" w:space="0" w:color="auto"/>
              <w:right w:val="single" w:sz="4" w:space="0" w:color="auto"/>
            </w:tcBorders>
          </w:tcPr>
          <w:p w:rsidR="00B264ED" w:rsidRDefault="00B264ED">
            <w:pPr>
              <w:pStyle w:val="BodyText"/>
              <w:rPr>
                <w:b/>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p>
        </w:tc>
        <w:tc>
          <w:tcPr>
            <w:tcW w:w="1655"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-5</w:t>
            </w:r>
          </w:p>
        </w:tc>
        <w:tc>
          <w:tcPr>
            <w:tcW w:w="1420"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0</w:t>
            </w:r>
          </w:p>
        </w:tc>
        <w:tc>
          <w:tcPr>
            <w:tcW w:w="1421"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0</w:t>
            </w:r>
          </w:p>
        </w:tc>
      </w:tr>
      <w:tr w:rsidR="00B264ED" w:rsidTr="00B264ED">
        <w:trPr>
          <w:jc w:val="center"/>
        </w:trPr>
        <w:tc>
          <w:tcPr>
            <w:tcW w:w="2600" w:type="dxa"/>
            <w:tcBorders>
              <w:top w:val="single" w:sz="4" w:space="0" w:color="auto"/>
              <w:left w:val="single" w:sz="4" w:space="0" w:color="auto"/>
              <w:bottom w:val="single" w:sz="4" w:space="0" w:color="auto"/>
              <w:right w:val="single" w:sz="4" w:space="0" w:color="auto"/>
            </w:tcBorders>
          </w:tcPr>
          <w:p w:rsidR="00B264ED" w:rsidRDefault="00B264ED">
            <w:pPr>
              <w:pStyle w:val="BodyText"/>
              <w:rPr>
                <w:b/>
              </w:rPr>
            </w:pPr>
            <w:r>
              <w:rPr>
                <w:b/>
              </w:rPr>
              <w:t>Construction</w:t>
            </w:r>
          </w:p>
        </w:tc>
        <w:tc>
          <w:tcPr>
            <w:tcW w:w="1655"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46</w:t>
            </w:r>
          </w:p>
        </w:tc>
        <w:tc>
          <w:tcPr>
            <w:tcW w:w="1420"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-10.5</w:t>
            </w:r>
          </w:p>
        </w:tc>
        <w:tc>
          <w:tcPr>
            <w:tcW w:w="1421"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-17.7</w:t>
            </w:r>
          </w:p>
        </w:tc>
      </w:tr>
      <w:tr w:rsidR="00B264ED" w:rsidTr="00B264ED">
        <w:trPr>
          <w:jc w:val="center"/>
        </w:trPr>
        <w:tc>
          <w:tcPr>
            <w:tcW w:w="2600" w:type="dxa"/>
            <w:tcBorders>
              <w:top w:val="single" w:sz="4" w:space="0" w:color="auto"/>
              <w:left w:val="single" w:sz="4" w:space="0" w:color="auto"/>
              <w:bottom w:val="single" w:sz="4" w:space="0" w:color="auto"/>
              <w:right w:val="single" w:sz="4" w:space="0" w:color="auto"/>
            </w:tcBorders>
          </w:tcPr>
          <w:p w:rsidR="00B264ED" w:rsidRDefault="00B264ED">
            <w:pPr>
              <w:pStyle w:val="BodyText"/>
              <w:rPr>
                <w:b/>
              </w:rPr>
            </w:pPr>
            <w:r>
              <w:rPr>
                <w:b/>
              </w:rPr>
              <w:t>Automotive</w:t>
            </w:r>
          </w:p>
        </w:tc>
        <w:tc>
          <w:tcPr>
            <w:tcW w:w="1655"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100</w:t>
            </w:r>
          </w:p>
        </w:tc>
        <w:tc>
          <w:tcPr>
            <w:tcW w:w="1420"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-3.2</w:t>
            </w:r>
          </w:p>
        </w:tc>
        <w:tc>
          <w:tcPr>
            <w:tcW w:w="1421"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-8.5</w:t>
            </w:r>
          </w:p>
        </w:tc>
      </w:tr>
      <w:tr w:rsidR="00B264ED" w:rsidTr="00B264ED">
        <w:trPr>
          <w:jc w:val="center"/>
        </w:trPr>
        <w:tc>
          <w:tcPr>
            <w:tcW w:w="2600" w:type="dxa"/>
            <w:tcBorders>
              <w:top w:val="single" w:sz="4" w:space="0" w:color="auto"/>
              <w:left w:val="single" w:sz="4" w:space="0" w:color="auto"/>
              <w:bottom w:val="single" w:sz="4" w:space="0" w:color="auto"/>
              <w:right w:val="single" w:sz="4" w:space="0" w:color="auto"/>
            </w:tcBorders>
          </w:tcPr>
          <w:p w:rsidR="00B264ED" w:rsidRDefault="00B264ED">
            <w:pPr>
              <w:pStyle w:val="BodyText"/>
              <w:rPr>
                <w:b/>
              </w:rPr>
            </w:pPr>
            <w:r>
              <w:rPr>
                <w:b/>
              </w:rPr>
              <w:t>Petroleum and chemicals</w:t>
            </w:r>
          </w:p>
        </w:tc>
        <w:tc>
          <w:tcPr>
            <w:tcW w:w="1655"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4</w:t>
            </w:r>
          </w:p>
        </w:tc>
        <w:tc>
          <w:tcPr>
            <w:tcW w:w="1420"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-1.8</w:t>
            </w:r>
          </w:p>
        </w:tc>
        <w:tc>
          <w:tcPr>
            <w:tcW w:w="1421"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-5.9</w:t>
            </w:r>
          </w:p>
        </w:tc>
      </w:tr>
      <w:tr w:rsidR="00B264ED" w:rsidTr="00B264ED">
        <w:trPr>
          <w:jc w:val="center"/>
        </w:trPr>
        <w:tc>
          <w:tcPr>
            <w:tcW w:w="2600" w:type="dxa"/>
            <w:tcBorders>
              <w:top w:val="single" w:sz="4" w:space="0" w:color="auto"/>
              <w:left w:val="single" w:sz="4" w:space="0" w:color="auto"/>
              <w:bottom w:val="single" w:sz="4" w:space="0" w:color="auto"/>
              <w:right w:val="single" w:sz="4" w:space="0" w:color="auto"/>
            </w:tcBorders>
          </w:tcPr>
          <w:p w:rsidR="00B264ED" w:rsidRDefault="00B264ED">
            <w:pPr>
              <w:pStyle w:val="BodyText"/>
              <w:rPr>
                <w:b/>
              </w:rPr>
            </w:pPr>
            <w:r>
              <w:rPr>
                <w:b/>
              </w:rPr>
              <w:t>Waste</w:t>
            </w:r>
          </w:p>
        </w:tc>
        <w:tc>
          <w:tcPr>
            <w:tcW w:w="1655"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15</w:t>
            </w:r>
          </w:p>
        </w:tc>
        <w:tc>
          <w:tcPr>
            <w:tcW w:w="1420"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-0.1</w:t>
            </w:r>
          </w:p>
        </w:tc>
        <w:tc>
          <w:tcPr>
            <w:tcW w:w="1421"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-0.2</w:t>
            </w:r>
          </w:p>
        </w:tc>
      </w:tr>
      <w:tr w:rsidR="00B264ED" w:rsidTr="00B264ED">
        <w:trPr>
          <w:jc w:val="center"/>
        </w:trPr>
        <w:tc>
          <w:tcPr>
            <w:tcW w:w="2600" w:type="dxa"/>
            <w:tcBorders>
              <w:top w:val="single" w:sz="4" w:space="0" w:color="auto"/>
              <w:left w:val="single" w:sz="4" w:space="0" w:color="auto"/>
              <w:bottom w:val="single" w:sz="4" w:space="0" w:color="auto"/>
              <w:right w:val="single" w:sz="4" w:space="0" w:color="auto"/>
            </w:tcBorders>
          </w:tcPr>
          <w:p w:rsidR="00B264ED" w:rsidRDefault="00B264ED">
            <w:pPr>
              <w:pStyle w:val="BodyText"/>
              <w:rPr>
                <w:b/>
              </w:rPr>
            </w:pPr>
            <w:r>
              <w:rPr>
                <w:b/>
              </w:rPr>
              <w:t>Domestic intermodal</w:t>
            </w:r>
          </w:p>
        </w:tc>
        <w:tc>
          <w:tcPr>
            <w:tcW w:w="1655"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215</w:t>
            </w:r>
          </w:p>
        </w:tc>
        <w:tc>
          <w:tcPr>
            <w:tcW w:w="1420"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-5.4</w:t>
            </w:r>
          </w:p>
        </w:tc>
        <w:tc>
          <w:tcPr>
            <w:tcW w:w="1421"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-13.5</w:t>
            </w:r>
          </w:p>
        </w:tc>
      </w:tr>
      <w:tr w:rsidR="00B264ED" w:rsidTr="00B264ED">
        <w:trPr>
          <w:jc w:val="center"/>
        </w:trPr>
        <w:tc>
          <w:tcPr>
            <w:tcW w:w="2600" w:type="dxa"/>
            <w:tcBorders>
              <w:top w:val="single" w:sz="4" w:space="0" w:color="auto"/>
              <w:left w:val="single" w:sz="4" w:space="0" w:color="auto"/>
              <w:bottom w:val="single" w:sz="4" w:space="0" w:color="auto"/>
              <w:right w:val="single" w:sz="4" w:space="0" w:color="auto"/>
            </w:tcBorders>
          </w:tcPr>
          <w:p w:rsidR="00B264ED" w:rsidRDefault="00B264ED">
            <w:pPr>
              <w:pStyle w:val="BodyText"/>
              <w:rPr>
                <w:b/>
              </w:rPr>
            </w:pPr>
            <w:r>
              <w:rPr>
                <w:b/>
              </w:rPr>
              <w:t>Spent nuclear fuel</w:t>
            </w:r>
          </w:p>
        </w:tc>
        <w:tc>
          <w:tcPr>
            <w:tcW w:w="1655"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0</w:t>
            </w:r>
          </w:p>
        </w:tc>
        <w:tc>
          <w:tcPr>
            <w:tcW w:w="1420"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0</w:t>
            </w:r>
          </w:p>
        </w:tc>
        <w:tc>
          <w:tcPr>
            <w:tcW w:w="1421"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0</w:t>
            </w:r>
          </w:p>
        </w:tc>
      </w:tr>
      <w:tr w:rsidR="00B264ED" w:rsidTr="00B264ED">
        <w:trPr>
          <w:jc w:val="center"/>
        </w:trPr>
        <w:tc>
          <w:tcPr>
            <w:tcW w:w="2600" w:type="dxa"/>
            <w:tcBorders>
              <w:top w:val="single" w:sz="4" w:space="0" w:color="auto"/>
              <w:left w:val="single" w:sz="4" w:space="0" w:color="auto"/>
              <w:bottom w:val="single" w:sz="4" w:space="0" w:color="auto"/>
              <w:right w:val="single" w:sz="4" w:space="0" w:color="auto"/>
            </w:tcBorders>
          </w:tcPr>
          <w:p w:rsidR="00B264ED" w:rsidRDefault="00B264ED">
            <w:pPr>
              <w:pStyle w:val="BodyText"/>
              <w:rPr>
                <w:b/>
              </w:rPr>
            </w:pPr>
            <w:r>
              <w:rPr>
                <w:b/>
              </w:rPr>
              <w:t>Mail/premium logistics</w:t>
            </w:r>
          </w:p>
        </w:tc>
        <w:tc>
          <w:tcPr>
            <w:tcW w:w="1655"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n/a</w:t>
            </w:r>
          </w:p>
        </w:tc>
        <w:tc>
          <w:tcPr>
            <w:tcW w:w="1420"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-2.3</w:t>
            </w:r>
          </w:p>
        </w:tc>
        <w:tc>
          <w:tcPr>
            <w:tcW w:w="1421"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-5.8</w:t>
            </w:r>
          </w:p>
        </w:tc>
      </w:tr>
      <w:tr w:rsidR="00B264ED" w:rsidTr="00B264ED">
        <w:trPr>
          <w:jc w:val="center"/>
        </w:trPr>
        <w:tc>
          <w:tcPr>
            <w:tcW w:w="2600" w:type="dxa"/>
            <w:tcBorders>
              <w:top w:val="single" w:sz="4" w:space="0" w:color="auto"/>
              <w:left w:val="single" w:sz="4" w:space="0" w:color="auto"/>
              <w:bottom w:val="single" w:sz="4" w:space="0" w:color="auto"/>
              <w:right w:val="single" w:sz="4" w:space="0" w:color="auto"/>
            </w:tcBorders>
          </w:tcPr>
          <w:p w:rsidR="00B264ED" w:rsidRDefault="00B264ED">
            <w:pPr>
              <w:pStyle w:val="BodyText"/>
              <w:rPr>
                <w:b/>
              </w:rPr>
            </w:pPr>
            <w:r>
              <w:rPr>
                <w:b/>
              </w:rPr>
              <w:t>Channel Tunnel</w:t>
            </w:r>
          </w:p>
        </w:tc>
        <w:tc>
          <w:tcPr>
            <w:tcW w:w="1655"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261</w:t>
            </w:r>
          </w:p>
        </w:tc>
        <w:tc>
          <w:tcPr>
            <w:tcW w:w="1420"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-2.1</w:t>
            </w:r>
          </w:p>
        </w:tc>
        <w:tc>
          <w:tcPr>
            <w:tcW w:w="1421"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-5</w:t>
            </w:r>
          </w:p>
        </w:tc>
      </w:tr>
      <w:tr w:rsidR="00B264ED" w:rsidTr="00B264ED">
        <w:trPr>
          <w:jc w:val="center"/>
        </w:trPr>
        <w:tc>
          <w:tcPr>
            <w:tcW w:w="2600" w:type="dxa"/>
            <w:tcBorders>
              <w:top w:val="single" w:sz="4" w:space="0" w:color="auto"/>
              <w:left w:val="single" w:sz="4" w:space="0" w:color="auto"/>
              <w:bottom w:val="single" w:sz="4" w:space="0" w:color="auto"/>
              <w:right w:val="single" w:sz="4" w:space="0" w:color="auto"/>
            </w:tcBorders>
          </w:tcPr>
          <w:p w:rsidR="00B264ED" w:rsidRDefault="00B264ED">
            <w:pPr>
              <w:pStyle w:val="BodyText"/>
              <w:rPr>
                <w:b/>
              </w:rPr>
            </w:pPr>
            <w:r>
              <w:rPr>
                <w:b/>
              </w:rPr>
              <w:t>Total</w:t>
            </w:r>
          </w:p>
        </w:tc>
        <w:tc>
          <w:tcPr>
            <w:tcW w:w="1655"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20</w:t>
            </w:r>
          </w:p>
        </w:tc>
        <w:tc>
          <w:tcPr>
            <w:tcW w:w="1420"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-3.9</w:t>
            </w:r>
          </w:p>
        </w:tc>
        <w:tc>
          <w:tcPr>
            <w:tcW w:w="1421" w:type="dxa"/>
            <w:tcBorders>
              <w:top w:val="single" w:sz="4" w:space="0" w:color="auto"/>
              <w:left w:val="single" w:sz="4" w:space="0" w:color="auto"/>
              <w:bottom w:val="single" w:sz="4" w:space="0" w:color="auto"/>
              <w:right w:val="single" w:sz="4" w:space="0" w:color="auto"/>
            </w:tcBorders>
          </w:tcPr>
          <w:p w:rsidR="00B264ED" w:rsidRDefault="00B264ED">
            <w:pPr>
              <w:pStyle w:val="BodyText"/>
            </w:pPr>
            <w:r>
              <w:t>-7.9</w:t>
            </w:r>
          </w:p>
        </w:tc>
      </w:tr>
    </w:tbl>
    <w:p w:rsidR="00854221" w:rsidRPr="009E729E" w:rsidRDefault="00EC3B90" w:rsidP="00067008">
      <w:pPr>
        <w:rPr>
          <w:rFonts w:cs="Arial"/>
          <w:b/>
        </w:rPr>
      </w:pPr>
      <w:r>
        <w:rPr>
          <w:rFonts w:cs="Arial"/>
          <w:b/>
        </w:rPr>
        <w:lastRenderedPageBreak/>
        <w:t>3</w:t>
      </w:r>
      <w:r w:rsidR="00067008" w:rsidRPr="009E729E">
        <w:rPr>
          <w:rFonts w:cs="Arial"/>
          <w:b/>
        </w:rPr>
        <w:t>.</w:t>
      </w:r>
      <w:r w:rsidR="00B264ED" w:rsidRPr="009E729E">
        <w:rPr>
          <w:rFonts w:cs="Arial"/>
          <w:b/>
        </w:rPr>
        <w:t xml:space="preserve"> </w:t>
      </w:r>
      <w:r w:rsidR="00027DF1">
        <w:rPr>
          <w:rFonts w:cs="Arial"/>
          <w:b/>
        </w:rPr>
        <w:t xml:space="preserve">Stakeholder </w:t>
      </w:r>
      <w:r w:rsidR="00067008" w:rsidRPr="009E729E">
        <w:rPr>
          <w:rFonts w:cs="Arial"/>
          <w:b/>
        </w:rPr>
        <w:t>Interviews</w:t>
      </w:r>
    </w:p>
    <w:p w:rsidR="00067008" w:rsidRDefault="00067008" w:rsidP="00067008">
      <w:pPr>
        <w:rPr>
          <w:rFonts w:cs="Arial"/>
        </w:rPr>
      </w:pPr>
    </w:p>
    <w:p w:rsidR="00027DF1" w:rsidRDefault="00027DF1" w:rsidP="00854221">
      <w:r>
        <w:t xml:space="preserve">A next step in our methodology involved a </w:t>
      </w:r>
      <w:r w:rsidR="00854221" w:rsidRPr="00D80E11">
        <w:t>round of 25 interviews with industry stakeholders</w:t>
      </w:r>
      <w:r>
        <w:t xml:space="preserve">, undertaken in early 2007.  Rail infrastructure managers, regulators and train operators (both passenger and freight) from six countries – </w:t>
      </w:r>
      <w:smartTag w:uri="urn:schemas-microsoft-com:office:smarttags" w:element="country-region">
        <w:r>
          <w:t>Austria</w:t>
        </w:r>
      </w:smartTag>
      <w:r>
        <w:t xml:space="preserve">, </w:t>
      </w:r>
      <w:smartTag w:uri="urn:schemas-microsoft-com:office:smarttags" w:element="country-region">
        <w:r>
          <w:t>Britain</w:t>
        </w:r>
      </w:smartTag>
      <w:r>
        <w:t xml:space="preserve">, </w:t>
      </w:r>
      <w:smartTag w:uri="urn:schemas-microsoft-com:office:smarttags" w:element="country-region">
        <w:r>
          <w:t>France</w:t>
        </w:r>
      </w:smartTag>
      <w:r>
        <w:t xml:space="preserve">, </w:t>
      </w:r>
      <w:smartTag w:uri="urn:schemas-microsoft-com:office:smarttags" w:element="country-region">
        <w:r>
          <w:t>Germany</w:t>
        </w:r>
      </w:smartTag>
      <w:r>
        <w:t xml:space="preserve">, </w:t>
      </w:r>
      <w:smartTag w:uri="urn:schemas-microsoft-com:office:smarttags" w:element="country-region">
        <w:r>
          <w:t>Italy</w:t>
        </w:r>
      </w:smartTag>
      <w:r>
        <w:t xml:space="preserve"> and </w:t>
      </w:r>
      <w:smartTag w:uri="urn:schemas-microsoft-com:office:smarttags" w:element="country-region">
        <w:smartTag w:uri="urn:schemas-microsoft-com:office:smarttags" w:element="place">
          <w:r>
            <w:t>Sweden</w:t>
          </w:r>
        </w:smartTag>
      </w:smartTag>
      <w:r>
        <w:t xml:space="preserve"> – were interviewed using a common semi-structured interview framework.  Full details of the interviews are reported in Matthews et al (2007); here we provide a summary of the key findings to emerge.</w:t>
      </w:r>
    </w:p>
    <w:p w:rsidR="00854221" w:rsidRPr="00D80E11" w:rsidRDefault="00854221" w:rsidP="00854221"/>
    <w:p w:rsidR="00854221" w:rsidRPr="00D80E11" w:rsidRDefault="00854221" w:rsidP="00854221">
      <w:r w:rsidRPr="00D80E11">
        <w:t>One early finding was that, whilst infrastructure charges are a potential influence on train operator behaviour, other cost elements for train operators (staffing costs, train operating costs etc) and demand elements (demand reactivity to price levels, to quality of service, willingness to pay, etc) would also be expected to be important influences on the market.  Furthermore, the rail market is also likely to be affected by a host of contextual factors, including the competitive and regulatory framework (monopoly or oligopoly, type of regulation) and levels of car ownership and economic growth.</w:t>
      </w:r>
    </w:p>
    <w:p w:rsidR="00854221" w:rsidRPr="00D80E11" w:rsidRDefault="00854221" w:rsidP="00854221"/>
    <w:p w:rsidR="00854221" w:rsidRPr="00D80E11" w:rsidRDefault="00854221" w:rsidP="00854221">
      <w:r w:rsidRPr="00D80E11">
        <w:t xml:space="preserve">Secondly, whilst we were able to gather information about infrastructure charge categories and levels for the selected case study countries, we very often encountered a lack of even the basic information about precise infrastructure charge quantities (i.e. train-paths, or train-km) bought for each category.  Many of the other elements are viewed by train operators as being commercially sensitive; even the price levels are often not precisely observable, due to yield management techniques introduced in preparation for competition in the rail market. </w:t>
      </w:r>
    </w:p>
    <w:p w:rsidR="00854221" w:rsidRPr="00D80E11" w:rsidRDefault="00854221" w:rsidP="00854221"/>
    <w:p w:rsidR="00854221" w:rsidRPr="00D80E11" w:rsidRDefault="00854221" w:rsidP="00854221">
      <w:r w:rsidRPr="00D80E11">
        <w:t xml:space="preserve">Hence, it was concluded that a systematic analysis of the impact of infrastructure charge differentiation seems an extremely difficult prospect at this point.  Disentangling the impact of charges from the impacts of all of the other significant influences on the rail market, amidst a diversity of charging regimes and contexts, with a limited supply of detailed data, would appear to be highly problematic.   </w:t>
      </w:r>
    </w:p>
    <w:p w:rsidR="00854221" w:rsidRPr="00D80E11" w:rsidRDefault="00854221" w:rsidP="00854221"/>
    <w:p w:rsidR="00854221" w:rsidRPr="00D80E11" w:rsidRDefault="00854221" w:rsidP="00854221">
      <w:r w:rsidRPr="00D80E11">
        <w:t xml:space="preserve">The rail market is comprised of many different sub-markets, and there are potentially different scales of impacts in different sub-markets.  In actuality, it appears to be the case that, in many situations, operators have relatively limited scope to adapt their supply policy and their tariffs in response to infrastructure charges.  For instance, where services are franchised, e.g. as is the case with regional passenger services in </w:t>
      </w:r>
      <w:smartTag w:uri="urn:schemas-microsoft-com:office:smarttags" w:element="country-region">
        <w:r w:rsidRPr="00D80E11">
          <w:t>Germany</w:t>
        </w:r>
      </w:smartTag>
      <w:r w:rsidRPr="00D80E11">
        <w:t xml:space="preserve"> </w:t>
      </w:r>
      <w:r w:rsidR="006A5D83">
        <w:t xml:space="preserve">or </w:t>
      </w:r>
      <w:smartTag w:uri="urn:schemas-microsoft-com:office:smarttags" w:element="country-region">
        <w:r w:rsidR="006A5D83">
          <w:t>France</w:t>
        </w:r>
      </w:smartTag>
      <w:r w:rsidR="006A5D83">
        <w:t xml:space="preserve">, </w:t>
      </w:r>
      <w:r w:rsidRPr="00D80E11">
        <w:t xml:space="preserve">and with nearly all passenger services in </w:t>
      </w:r>
      <w:smartTag w:uri="urn:schemas-microsoft-com:office:smarttags" w:element="country-region">
        <w:smartTag w:uri="urn:schemas-microsoft-com:office:smarttags" w:element="place">
          <w:r w:rsidRPr="00D80E11">
            <w:t>Britain</w:t>
          </w:r>
        </w:smartTag>
      </w:smartTag>
      <w:r w:rsidRPr="00D80E11">
        <w:t xml:space="preserve">, services are quite closely defined by the terms of those franchises.  Hence, there is limited scope for operator response to infrastructure charges during the life of the franchise.  However, charges may serve to influence the terms of franchises, either through franchising authorities examining the implications of the charges for the services they wish to specify or through the terms of the franchise bids submitted by competing operators.  This mechanism for response, being contained within the planning process, is very difficult indeed to tap into. </w:t>
      </w:r>
    </w:p>
    <w:p w:rsidR="00854221" w:rsidRPr="00D80E11" w:rsidRDefault="00854221" w:rsidP="00854221"/>
    <w:p w:rsidR="00854221" w:rsidRPr="00D80E11" w:rsidRDefault="00854221" w:rsidP="00854221">
      <w:r w:rsidRPr="00D80E11">
        <w:t xml:space="preserve">In some situations, there may be no reaction at all on the part of train operators, due to mechanisms of compensation being in place.  For instance, again where services are franchised it is common (and reasonable) for the terms of that franchise to require operators to be compensated by the franchising authority for any changes in infrastructure charges during the course of the franchise.  Again, it may be possible to tap into the impacts as they relate to the franchising authority, but this would again be expected to be problematic. </w:t>
      </w:r>
    </w:p>
    <w:p w:rsidR="00854221" w:rsidRPr="00D80E11" w:rsidRDefault="00854221" w:rsidP="00854221"/>
    <w:p w:rsidR="00854221" w:rsidRPr="00D80E11" w:rsidRDefault="00854221" w:rsidP="00854221">
      <w:r w:rsidRPr="00D80E11">
        <w:t>Nevertheless, whilst reactions may be difficult to analyse and, in certain situations, relatively limited in scale, our interviews did uncover which sorts of parameters have been affected.  Main reactions observed were in relation to:</w:t>
      </w:r>
    </w:p>
    <w:p w:rsidR="00854221" w:rsidRPr="00D80E11" w:rsidRDefault="00854221" w:rsidP="00854221">
      <w:pPr>
        <w:pStyle w:val="BulletPoint"/>
        <w:numPr>
          <w:ilvl w:val="0"/>
          <w:numId w:val="3"/>
          <w:numberingChange w:id="8" w:author="USER" w:date="2009-10-24T23:18:00Z" w:original=""/>
        </w:numPr>
        <w:tabs>
          <w:tab w:val="clear" w:pos="360"/>
        </w:tabs>
        <w:ind w:left="425" w:hanging="425"/>
      </w:pPr>
      <w:r w:rsidRPr="00D80E11">
        <w:t xml:space="preserve">Design and choice of rolling stock; </w:t>
      </w:r>
    </w:p>
    <w:p w:rsidR="00854221" w:rsidRPr="00D80E11" w:rsidRDefault="00854221" w:rsidP="00854221">
      <w:pPr>
        <w:pStyle w:val="BulletPoint"/>
        <w:numPr>
          <w:ilvl w:val="0"/>
          <w:numId w:val="3"/>
          <w:numberingChange w:id="9" w:author="USER" w:date="2009-10-24T23:18:00Z" w:original=""/>
        </w:numPr>
        <w:tabs>
          <w:tab w:val="clear" w:pos="360"/>
        </w:tabs>
        <w:ind w:left="425" w:hanging="425"/>
      </w:pPr>
      <w:r w:rsidRPr="00D80E11">
        <w:t xml:space="preserve">Suppression of unnecessary path reservations when reservation charges were introduced in </w:t>
      </w:r>
      <w:commentRangeStart w:id="10"/>
      <w:r w:rsidRPr="00D80E11">
        <w:t>France</w:t>
      </w:r>
      <w:commentRangeEnd w:id="10"/>
      <w:r w:rsidR="006A5D83">
        <w:rPr>
          <w:rStyle w:val="CommentReference"/>
          <w:rFonts w:eastAsia="Times"/>
        </w:rPr>
        <w:commentReference w:id="10"/>
      </w:r>
      <w:r w:rsidR="006A5D83">
        <w:t xml:space="preserve"> </w:t>
      </w:r>
    </w:p>
    <w:p w:rsidR="00854221" w:rsidRPr="00D80E11" w:rsidRDefault="00854221" w:rsidP="00854221"/>
    <w:p w:rsidR="00854221" w:rsidRPr="00D80E11" w:rsidRDefault="00854221" w:rsidP="00854221">
      <w:r w:rsidRPr="00D80E11">
        <w:t xml:space="preserve">There was some interesting discussion of the share of train operating costs comprised of infrastructure charge-payments, and we have come to the view that the scale and form of reaction to infrastructure charges is </w:t>
      </w:r>
      <w:r>
        <w:t>l</w:t>
      </w:r>
      <w:r w:rsidRPr="00D80E11">
        <w:t xml:space="preserve">ikely to depend </w:t>
      </w:r>
      <w:r w:rsidR="00027475">
        <w:t>crucially on these cost shares.</w:t>
      </w:r>
      <w:r w:rsidRPr="00D80E11">
        <w:t xml:space="preserve"> The cost shares for the use of infrastructure vary markedly across the inter</w:t>
      </w:r>
      <w:r w:rsidR="00027475">
        <w:t>viewees in different countries.</w:t>
      </w:r>
      <w:r w:rsidRPr="00D80E11">
        <w:t xml:space="preserve"> In general, the share of infrastructure charge costs as a proportion of train operating costs was reporte</w:t>
      </w:r>
      <w:r w:rsidR="00027475">
        <w:t>d to range between 10% and 30%.</w:t>
      </w:r>
      <w:r w:rsidRPr="00D80E11">
        <w:t xml:space="preserve"> </w:t>
      </w:r>
      <w:r w:rsidRPr="00D80E11">
        <w:lastRenderedPageBreak/>
        <w:t xml:space="preserve">However, in </w:t>
      </w:r>
      <w:smartTag w:uri="urn:schemas-microsoft-com:office:smarttags" w:element="country-region">
        <w:r w:rsidRPr="00D80E11">
          <w:t>Sweden</w:t>
        </w:r>
      </w:smartTag>
      <w:r w:rsidRPr="00D80E11">
        <w:t xml:space="preserve"> the cost share was estimated at approximately 5%, whilst in </w:t>
      </w:r>
      <w:smartTag w:uri="urn:schemas-microsoft-com:office:smarttags" w:element="place">
        <w:smartTag w:uri="urn:schemas-microsoft-com:office:smarttags" w:element="country-region">
          <w:r w:rsidRPr="00D80E11">
            <w:t>Germany</w:t>
          </w:r>
        </w:smartTag>
      </w:smartTag>
      <w:r w:rsidRPr="00D80E11">
        <w:t xml:space="preserve"> some operators estimated it to be as high as 60%.</w:t>
      </w:r>
    </w:p>
    <w:p w:rsidR="00854221" w:rsidRPr="00D80E11" w:rsidRDefault="00854221" w:rsidP="00854221"/>
    <w:p w:rsidR="00854221" w:rsidRPr="00D80E11" w:rsidRDefault="00854221" w:rsidP="00854221">
      <w:r w:rsidRPr="00D80E11">
        <w:t xml:space="preserve">Almost all participants indicated </w:t>
      </w:r>
      <w:proofErr w:type="spellStart"/>
      <w:r w:rsidRPr="00D80E11">
        <w:t>elasticities</w:t>
      </w:r>
      <w:proofErr w:type="spellEnd"/>
      <w:r w:rsidRPr="00D80E11">
        <w:t xml:space="preserve"> gr</w:t>
      </w:r>
      <w:r w:rsidR="00027475">
        <w:t>eater than one.</w:t>
      </w:r>
      <w:r w:rsidRPr="00D80E11">
        <w:t xml:space="preserve"> There are reasons to doubt whether elasticity in all cases is greater than one, since the interviewed persons represent at the same time the interests of their industry, and therefore it is natural that interviewed persons in such cases tend to exaggerate.</w:t>
      </w:r>
    </w:p>
    <w:p w:rsidR="00854221" w:rsidRPr="00D80E11" w:rsidRDefault="00854221" w:rsidP="00854221"/>
    <w:p w:rsidR="00854221" w:rsidRPr="00D80E11" w:rsidRDefault="00854221" w:rsidP="00854221">
      <w:r w:rsidRPr="00D80E11">
        <w:t xml:space="preserve">Interestingly, on a number of occasions, operators reported that current degrees of differentiation were actually insufficient to elicit a reaction.  For example, participants in Austria and Germany </w:t>
      </w:r>
      <w:r w:rsidR="00027DF1">
        <w:t xml:space="preserve">expressed the view that charge </w:t>
      </w:r>
      <w:r w:rsidRPr="00D80E11">
        <w:t>differentiation for high</w:t>
      </w:r>
      <w:r w:rsidR="00027DF1">
        <w:t>ly</w:t>
      </w:r>
      <w:r w:rsidRPr="00D80E11">
        <w:t xml:space="preserve"> utilized </w:t>
      </w:r>
      <w:r w:rsidR="00027DF1">
        <w:t xml:space="preserve">lines </w:t>
      </w:r>
      <w:r w:rsidRPr="00D80E11">
        <w:t>seems, due to the higher operati</w:t>
      </w:r>
      <w:r w:rsidR="00027DF1">
        <w:t>ng</w:t>
      </w:r>
      <w:r w:rsidRPr="00D80E11">
        <w:t xml:space="preserve"> costs of the lower charged tracks, to miss its goals.  Apparently there would be </w:t>
      </w:r>
      <w:r w:rsidR="00027DF1">
        <w:t xml:space="preserve">more </w:t>
      </w:r>
      <w:r w:rsidR="00027DF1" w:rsidRPr="00D80E11">
        <w:t xml:space="preserve">recognizable </w:t>
      </w:r>
      <w:r w:rsidRPr="00D80E11">
        <w:t xml:space="preserve">effects if there was a higher degree of differentiation.  Furthermore, many operators reported that they would be ready to accept higher charges in exchange for better quality of service. </w:t>
      </w:r>
    </w:p>
    <w:p w:rsidR="00854221" w:rsidRPr="00D80E11" w:rsidRDefault="00854221" w:rsidP="00854221"/>
    <w:p w:rsidR="00854221" w:rsidRPr="00D80E11" w:rsidRDefault="00854221" w:rsidP="00854221">
      <w:r w:rsidRPr="00D80E11">
        <w:t>In all of our sets of interviews, freight operators indicated a greater degree of sensitivity to infrastructure charge</w:t>
      </w:r>
      <w:r w:rsidR="00027475">
        <w:t>s than did passenger operators.</w:t>
      </w:r>
      <w:r w:rsidRPr="00D80E11">
        <w:t xml:space="preserve"> In general rail freight tends to be privately operated, </w:t>
      </w:r>
      <w:r w:rsidRPr="00D80E11">
        <w:rPr>
          <w:rFonts w:cs="Arial"/>
        </w:rPr>
        <w:t>is confronted with severe competition from the road,</w:t>
      </w:r>
      <w:r w:rsidRPr="00D80E11">
        <w:t xml:space="preserve"> has experienced more open access competition and receives less government financial support, than do passenger services, and together these factors may explain this apparent</w:t>
      </w:r>
      <w:r w:rsidR="00027475">
        <w:t xml:space="preserve"> greater degree of sensitivity.</w:t>
      </w:r>
      <w:r w:rsidRPr="00D80E11">
        <w:t xml:space="preserve"> In </w:t>
      </w:r>
      <w:smartTag w:uri="urn:schemas-microsoft-com:office:smarttags" w:element="country-region">
        <w:smartTag w:uri="urn:schemas-microsoft-com:office:smarttags" w:element="place">
          <w:r w:rsidRPr="00D80E11">
            <w:t>Britain</w:t>
          </w:r>
        </w:smartTag>
      </w:smartTag>
      <w:r w:rsidRPr="00D80E11">
        <w:t>, for example, there has been significant growth in the rail freight market since infrastructure charges for freight operators were revised – incorporating a marked reduction in their level</w:t>
      </w:r>
      <w:r w:rsidR="00027475">
        <w:t xml:space="preserve"> – in 2001.</w:t>
      </w:r>
      <w:r w:rsidRPr="00D80E11">
        <w:t xml:space="preserve"> The extent to which this growth is as a result of this revision is, however, not clear as other changes in the market have occurred simultaneously; nevertheless, it potentially offers an interesting line of further enquiry.  </w:t>
      </w:r>
    </w:p>
    <w:p w:rsidR="00854221" w:rsidRPr="00D80E11" w:rsidRDefault="00854221" w:rsidP="00854221"/>
    <w:p w:rsidR="00854221" w:rsidRPr="00D80E11" w:rsidRDefault="00854221" w:rsidP="00854221">
      <w:r w:rsidRPr="00D80E11">
        <w:t>An initial hypothesis was that one of the impacts of differentiated infrastructure charges would be on prices charged to end-users – pas</w:t>
      </w:r>
      <w:r w:rsidR="00027475">
        <w:t>sengers and freight forwarders.</w:t>
      </w:r>
      <w:r w:rsidRPr="00D80E11">
        <w:t xml:space="preserve"> In some cases, e.g. where services are franchised and infrastructure charges change during the course of the franchise, it seems clear that any such impact on prices to end-us</w:t>
      </w:r>
      <w:r w:rsidR="00027475">
        <w:t>ers is minimal or non-existent.</w:t>
      </w:r>
      <w:r w:rsidRPr="00D80E11">
        <w:t xml:space="preserve"> Beyond this, it would seem that there would be some impact, but that this impact would be heavily influence</w:t>
      </w:r>
      <w:r w:rsidR="006A5D83">
        <w:t>d</w:t>
      </w:r>
      <w:r w:rsidRPr="00D80E11">
        <w:t xml:space="preserve"> by the degree of external competition – be that from other rail operators or from other transport modes - in the end-user market.  In general, the greater the degree of external competition the smaller the likely impact of infrastructure </w:t>
      </w:r>
      <w:r w:rsidR="00027475">
        <w:t>charges on prices to end-users.</w:t>
      </w:r>
      <w:r w:rsidRPr="00D80E11">
        <w:t xml:space="preserve"> Indeed, the level of external competition often appears to be more important in determining end-user prices than infrastructure charges</w:t>
      </w:r>
      <w:r w:rsidR="00027DF1">
        <w:t>.</w:t>
      </w:r>
      <w:r w:rsidRPr="00D80E11">
        <w:t xml:space="preserve"> </w:t>
      </w:r>
    </w:p>
    <w:p w:rsidR="00854221" w:rsidRPr="00D80E11" w:rsidRDefault="00854221" w:rsidP="00854221"/>
    <w:p w:rsidR="00854221" w:rsidRPr="00D80E11" w:rsidRDefault="00854221" w:rsidP="00854221">
      <w:r w:rsidRPr="00D80E11">
        <w:t xml:space="preserve">Finally, it </w:t>
      </w:r>
      <w:r w:rsidR="00AA1600">
        <w:t xml:space="preserve">became clear </w:t>
      </w:r>
      <w:r w:rsidRPr="00D80E11">
        <w:t>that the data situation with respect to user reactions to differentiation of track access charges in rail is very proble</w:t>
      </w:r>
      <w:r w:rsidR="00027475">
        <w:t>matic.</w:t>
      </w:r>
      <w:r w:rsidRPr="00D80E11">
        <w:t xml:space="preserve"> Certainly, the charges themselves are public (although in freight some are the subject of private contracts) but the necessary data to analyse the reactions of the train operators with respect to output quantity (e.g. train kilometres), prices, costs and adjustment of production processes (choice of path or of type of rolling stock etc.) are extremely unsatisfactory or none existent. </w:t>
      </w:r>
    </w:p>
    <w:p w:rsidR="00854221" w:rsidRPr="00D80E11" w:rsidRDefault="00854221" w:rsidP="00854221">
      <w:pPr>
        <w:rPr>
          <w:rFonts w:cs="Arial"/>
        </w:rPr>
      </w:pPr>
    </w:p>
    <w:p w:rsidR="00854221" w:rsidRPr="00CE22CF" w:rsidRDefault="00EC3B90" w:rsidP="00CE22CF">
      <w:pPr>
        <w:rPr>
          <w:rFonts w:cs="Arial"/>
          <w:b/>
        </w:rPr>
      </w:pPr>
      <w:r>
        <w:rPr>
          <w:rFonts w:cs="Arial"/>
          <w:b/>
        </w:rPr>
        <w:t>4</w:t>
      </w:r>
      <w:r w:rsidR="00CE22CF" w:rsidRPr="00CE22CF">
        <w:rPr>
          <w:rFonts w:cs="Arial"/>
          <w:b/>
        </w:rPr>
        <w:t>.</w:t>
      </w:r>
      <w:r w:rsidR="00B264ED" w:rsidRPr="00CE22CF">
        <w:rPr>
          <w:rFonts w:cs="Arial"/>
          <w:b/>
        </w:rPr>
        <w:t xml:space="preserve"> </w:t>
      </w:r>
      <w:r w:rsidR="00CE22CF" w:rsidRPr="00CE22CF">
        <w:rPr>
          <w:rFonts w:cs="Arial"/>
          <w:b/>
        </w:rPr>
        <w:t>Case studies</w:t>
      </w:r>
    </w:p>
    <w:p w:rsidR="00CE22CF" w:rsidRDefault="00CE22CF" w:rsidP="00CE22CF">
      <w:pPr>
        <w:rPr>
          <w:rFonts w:cs="Arial"/>
        </w:rPr>
      </w:pPr>
    </w:p>
    <w:p w:rsidR="00854221" w:rsidRPr="00D80E11" w:rsidRDefault="00027DF1" w:rsidP="00854221">
      <w:r>
        <w:rPr>
          <w:rFonts w:cs="Arial"/>
        </w:rPr>
        <w:t>H</w:t>
      </w:r>
      <w:r w:rsidR="00854221" w:rsidRPr="00D80E11">
        <w:rPr>
          <w:rFonts w:cs="Arial"/>
        </w:rPr>
        <w:t xml:space="preserve">aving found that </w:t>
      </w:r>
      <w:r w:rsidR="00854221" w:rsidRPr="00D80E11">
        <w:t xml:space="preserve">freight operators indicated a greater degree of sensitivity to infrastructure charges than did passenger operators, we concentrated much of our </w:t>
      </w:r>
      <w:r w:rsidR="00414399">
        <w:t xml:space="preserve">subsequent </w:t>
      </w:r>
      <w:r w:rsidR="00854221" w:rsidRPr="00D80E11">
        <w:t>a</w:t>
      </w:r>
      <w:r w:rsidR="008E40C1">
        <w:t>ttention on the freight market.</w:t>
      </w:r>
      <w:r w:rsidR="00854221" w:rsidRPr="00D80E11">
        <w:t xml:space="preserve"> As referred to above, rail freight tends to be privately operated, </w:t>
      </w:r>
      <w:r w:rsidR="00854221" w:rsidRPr="00D80E11">
        <w:rPr>
          <w:rFonts w:cs="Arial"/>
        </w:rPr>
        <w:t>is confronted with severe competition from the road,</w:t>
      </w:r>
      <w:r w:rsidR="00854221" w:rsidRPr="00D80E11">
        <w:t xml:space="preserve"> has experienced more open access competition and receives less government financial support, than do passenger services, and together these factors may explain this apparent greater degree of sensitivity.  </w:t>
      </w:r>
    </w:p>
    <w:p w:rsidR="00854221" w:rsidRPr="00D80E11" w:rsidRDefault="00854221" w:rsidP="00854221">
      <w:pPr>
        <w:rPr>
          <w:rFonts w:cs="Arial"/>
        </w:rPr>
      </w:pPr>
    </w:p>
    <w:p w:rsidR="00AA1600" w:rsidRDefault="00AA1600" w:rsidP="00414399">
      <w:pPr>
        <w:pStyle w:val="BulletPoint"/>
        <w:numPr>
          <w:ilvl w:val="0"/>
          <w:numId w:val="0"/>
        </w:numPr>
      </w:pPr>
      <w:r>
        <w:t>We undertook four case s</w:t>
      </w:r>
      <w:r w:rsidR="008E40C1">
        <w:t>tudies focused on rail freight.</w:t>
      </w:r>
      <w:r>
        <w:t xml:space="preserve"> Three </w:t>
      </w:r>
      <w:r w:rsidRPr="00D80E11">
        <w:t>case stud</w:t>
      </w:r>
      <w:r>
        <w:t>ies</w:t>
      </w:r>
      <w:r w:rsidRPr="00D80E11">
        <w:t xml:space="preserve"> analyse</w:t>
      </w:r>
      <w:r>
        <w:t>d</w:t>
      </w:r>
      <w:r w:rsidRPr="00D80E11">
        <w:t xml:space="preserve"> changes in the rail freight market in order to make informed observations regarding potential linkages between changes in the infrastructure charging regimes and changes in rail freight traffic</w:t>
      </w:r>
      <w:r w:rsidR="00414399">
        <w:t xml:space="preserve">; one focused on </w:t>
      </w:r>
      <w:smartTag w:uri="urn:schemas-microsoft-com:office:smarttags" w:element="country-region">
        <w:r w:rsidR="00414399">
          <w:t>Britain</w:t>
        </w:r>
      </w:smartTag>
      <w:r w:rsidR="00414399">
        <w:t xml:space="preserve">, </w:t>
      </w:r>
      <w:r>
        <w:t xml:space="preserve">one on </w:t>
      </w:r>
      <w:smartTag w:uri="urn:schemas-microsoft-com:office:smarttags" w:element="country-region">
        <w:smartTag w:uri="urn:schemas-microsoft-com:office:smarttags" w:element="place">
          <w:r w:rsidR="00854221" w:rsidRPr="00D80E11">
            <w:t>France</w:t>
          </w:r>
        </w:smartTag>
      </w:smartTag>
      <w:r w:rsidR="00854221" w:rsidRPr="00D80E11">
        <w:t xml:space="preserve"> and </w:t>
      </w:r>
      <w:r>
        <w:t xml:space="preserve">the third on </w:t>
      </w:r>
      <w:r w:rsidR="00854221" w:rsidRPr="00D80E11">
        <w:t>Eurotunnel</w:t>
      </w:r>
      <w:r w:rsidR="008E40C1">
        <w:t>.</w:t>
      </w:r>
      <w:r>
        <w:t xml:space="preserve"> The fourth case study </w:t>
      </w:r>
      <w:r w:rsidR="00854221" w:rsidRPr="00D80E11">
        <w:t>undert</w:t>
      </w:r>
      <w:r>
        <w:t>oo</w:t>
      </w:r>
      <w:r w:rsidR="00854221" w:rsidRPr="00D80E11">
        <w:t>k aggregate modelling</w:t>
      </w:r>
      <w:r>
        <w:t>, applying the LEFT model to the British rail freight market,</w:t>
      </w:r>
      <w:r w:rsidR="00854221" w:rsidRPr="00D80E11">
        <w:t xml:space="preserve"> to test a number of chargi</w:t>
      </w:r>
      <w:r w:rsidR="008E40C1">
        <w:t>ng scenarios for their impacts.</w:t>
      </w:r>
      <w:r w:rsidR="00854221" w:rsidRPr="00D80E11">
        <w:t xml:space="preserve"> </w:t>
      </w:r>
      <w:r>
        <w:t>Additional case studies, focused on passenger services, were also undertaken, details of which are reported in Matthews et al (2008).</w:t>
      </w:r>
    </w:p>
    <w:p w:rsidR="00EF237B" w:rsidRPr="00D80E11" w:rsidRDefault="00EF237B" w:rsidP="00854221"/>
    <w:p w:rsidR="00854221" w:rsidRPr="003D2FE7" w:rsidRDefault="00EC3B90" w:rsidP="003D2FE7">
      <w:pPr>
        <w:pStyle w:val="Heading2"/>
        <w:numPr>
          <w:ilvl w:val="0"/>
          <w:numId w:val="0"/>
        </w:numPr>
        <w:ind w:left="851" w:hanging="851"/>
        <w:rPr>
          <w:rFonts w:ascii="Arial" w:hAnsi="Arial"/>
          <w:smallCaps w:val="0"/>
          <w:color w:val="auto"/>
          <w:sz w:val="20"/>
          <w:szCs w:val="20"/>
        </w:rPr>
      </w:pPr>
      <w:bookmarkStart w:id="11" w:name="_Toc207526683"/>
      <w:r>
        <w:rPr>
          <w:rFonts w:ascii="Arial" w:hAnsi="Arial"/>
          <w:smallCaps w:val="0"/>
          <w:color w:val="auto"/>
          <w:sz w:val="20"/>
          <w:szCs w:val="20"/>
        </w:rPr>
        <w:lastRenderedPageBreak/>
        <w:t>4</w:t>
      </w:r>
      <w:r w:rsidR="003D2FE7" w:rsidRPr="003D2FE7">
        <w:rPr>
          <w:rFonts w:ascii="Arial" w:hAnsi="Arial"/>
          <w:smallCaps w:val="0"/>
          <w:color w:val="auto"/>
          <w:sz w:val="20"/>
          <w:szCs w:val="20"/>
        </w:rPr>
        <w:t xml:space="preserve">.1 </w:t>
      </w:r>
      <w:r w:rsidR="00854221" w:rsidRPr="003D2FE7">
        <w:rPr>
          <w:rFonts w:ascii="Arial" w:hAnsi="Arial"/>
          <w:smallCaps w:val="0"/>
          <w:color w:val="auto"/>
          <w:sz w:val="20"/>
          <w:szCs w:val="20"/>
        </w:rPr>
        <w:t>Observations of Reactions in the British Freight Market</w:t>
      </w:r>
      <w:bookmarkEnd w:id="11"/>
    </w:p>
    <w:p w:rsidR="00854221" w:rsidRPr="00D80E11" w:rsidRDefault="00854221" w:rsidP="00854221">
      <w:pPr>
        <w:rPr>
          <w:rFonts w:cs="Arial"/>
        </w:rPr>
      </w:pPr>
      <w:r w:rsidRPr="00D80E11">
        <w:rPr>
          <w:rFonts w:cs="Arial"/>
        </w:rPr>
        <w:t xml:space="preserve">Up to the point of </w:t>
      </w:r>
      <w:r w:rsidR="00255CEA">
        <w:rPr>
          <w:rFonts w:cs="Arial"/>
        </w:rPr>
        <w:t xml:space="preserve">British </w:t>
      </w:r>
      <w:r w:rsidRPr="00D80E11">
        <w:rPr>
          <w:rFonts w:cs="Arial"/>
        </w:rPr>
        <w:t>rail privatisation which commenced in 1993, the demand for rail freight had been on a 40-year downwar</w:t>
      </w:r>
      <w:r w:rsidR="008E40C1">
        <w:rPr>
          <w:rFonts w:cs="Arial"/>
        </w:rPr>
        <w:t>d trend.</w:t>
      </w:r>
      <w:r w:rsidRPr="00D80E11">
        <w:rPr>
          <w:rFonts w:cs="Arial"/>
        </w:rPr>
        <w:t xml:space="preserve"> However, having reached a low-point in 1995, demand has grown over the subsequent 1</w:t>
      </w:r>
      <w:r w:rsidR="008E40C1">
        <w:rPr>
          <w:rFonts w:cs="Arial"/>
        </w:rPr>
        <w:t>0 years for which we have data.</w:t>
      </w:r>
      <w:r w:rsidRPr="00D80E11">
        <w:rPr>
          <w:rFonts w:cs="Arial"/>
        </w:rPr>
        <w:t xml:space="preserve"> There has been an increase in rail freight over the last ten years from 15 billion </w:t>
      </w:r>
      <w:proofErr w:type="spellStart"/>
      <w:r w:rsidRPr="00D80E11">
        <w:rPr>
          <w:rFonts w:cs="Arial"/>
        </w:rPr>
        <w:t>tkm</w:t>
      </w:r>
      <w:proofErr w:type="spellEnd"/>
      <w:r w:rsidRPr="00D80E11">
        <w:rPr>
          <w:rFonts w:cs="Arial"/>
        </w:rPr>
        <w:t xml:space="preserve"> moved in 1996 to 22 billion </w:t>
      </w:r>
      <w:proofErr w:type="spellStart"/>
      <w:r w:rsidRPr="00D80E11">
        <w:rPr>
          <w:rFonts w:cs="Arial"/>
        </w:rPr>
        <w:t>tkm</w:t>
      </w:r>
      <w:proofErr w:type="spellEnd"/>
      <w:r w:rsidRPr="00D80E11">
        <w:rPr>
          <w:rFonts w:cs="Arial"/>
        </w:rPr>
        <w:t xml:space="preserve"> in </w:t>
      </w:r>
      <w:smartTag w:uri="urn:schemas-microsoft-com:office:smarttags" w:element="metricconverter">
        <w:smartTagPr>
          <w:attr w:name="ProductID" w:val="2006. In"/>
        </w:smartTagPr>
        <w:r w:rsidRPr="00D80E11">
          <w:rPr>
            <w:rFonts w:cs="Arial"/>
          </w:rPr>
          <w:t>2006. In</w:t>
        </w:r>
      </w:smartTag>
      <w:r w:rsidRPr="00D80E11">
        <w:rPr>
          <w:rFonts w:cs="Arial"/>
        </w:rPr>
        <w:t xml:space="preserve"> terms of the total growth in freight across all four modes illustrated, there has been an increase of 189% from 1953 to 2005.</w:t>
      </w:r>
    </w:p>
    <w:p w:rsidR="00854221" w:rsidRDefault="00854221" w:rsidP="00854221">
      <w:pPr>
        <w:rPr>
          <w:rFonts w:cs="Arial"/>
        </w:rPr>
      </w:pPr>
    </w:p>
    <w:p w:rsidR="00283E01" w:rsidRPr="00D80E11" w:rsidRDefault="00283E01" w:rsidP="00283E01">
      <w:r w:rsidRPr="00D80E11">
        <w:t xml:space="preserve">Privatisation established a series of privately-owned open access rail freight operators, required to pay Track Access Charges to the infrastructure manager for the use of the network.  During this period there have been 2 sets of infrastructure charges in place for freight operators.  The first framework of charges for freight train operators was put in place in 1995.  This framework remained in place until 2001, when the first Periodic Review of Track Access Charges recommended substantial changes be made.  </w:t>
      </w:r>
    </w:p>
    <w:p w:rsidR="00283E01" w:rsidRDefault="00283E01" w:rsidP="00854221">
      <w:pPr>
        <w:rPr>
          <w:rFonts w:cs="Arial"/>
        </w:rPr>
      </w:pPr>
    </w:p>
    <w:p w:rsidR="00283E01" w:rsidRPr="00D80E11" w:rsidRDefault="00283E01" w:rsidP="00283E01">
      <w:pPr>
        <w:rPr>
          <w:rFonts w:cs="Arial"/>
        </w:rPr>
      </w:pPr>
      <w:r w:rsidRPr="00D80E11">
        <w:rPr>
          <w:rFonts w:cs="Arial"/>
        </w:rPr>
        <w:t xml:space="preserve">The first charging framework, introduced in 1995, was a negotiated two-part tariff, based on the value to each user of using the infrastructure, subject to the constraints of covering avoidable costs and avoiding discrimination between operators competing in the same sector.  A charge ‘floor’ and a charge ‘ceiling’ were established. The floor was based on the avoidable costs, whilst the ceiling was based on standalone costs, I.E. those costs that ‘… would be incurred by a notionally efficient competitor providing a dedicated network for the service(s) in question.’ </w:t>
      </w:r>
      <w:proofErr w:type="gramStart"/>
      <w:r w:rsidRPr="00D80E11">
        <w:rPr>
          <w:rFonts w:cs="Arial"/>
        </w:rPr>
        <w:t>(</w:t>
      </w:r>
      <w:bookmarkStart w:id="12" w:name="OLE_LINK5"/>
      <w:bookmarkStart w:id="13" w:name="OLE_LINK6"/>
      <w:r w:rsidRPr="00D80E11">
        <w:rPr>
          <w:rFonts w:cs="Arial"/>
        </w:rPr>
        <w:t>ORR</w:t>
      </w:r>
      <w:r w:rsidR="008E40C1">
        <w:rPr>
          <w:rFonts w:cs="Arial"/>
        </w:rPr>
        <w:t xml:space="preserve">, 1997, cited in </w:t>
      </w:r>
      <w:proofErr w:type="spellStart"/>
      <w:r w:rsidR="008E40C1">
        <w:rPr>
          <w:rFonts w:cs="Arial"/>
        </w:rPr>
        <w:t>Stitle</w:t>
      </w:r>
      <w:proofErr w:type="spellEnd"/>
      <w:r w:rsidR="008E40C1">
        <w:rPr>
          <w:rFonts w:cs="Arial"/>
        </w:rPr>
        <w:t>, 2004).</w:t>
      </w:r>
      <w:proofErr w:type="gramEnd"/>
      <w:r w:rsidRPr="00D80E11">
        <w:rPr>
          <w:rFonts w:cs="Arial"/>
        </w:rPr>
        <w:t xml:space="preserve"> </w:t>
      </w:r>
      <w:bookmarkEnd w:id="12"/>
      <w:bookmarkEnd w:id="13"/>
      <w:r w:rsidRPr="00D80E11">
        <w:rPr>
          <w:rFonts w:cs="Arial"/>
        </w:rPr>
        <w:t>In fact, the two-part tariff comprised a large fixed component and a relat</w:t>
      </w:r>
      <w:r w:rsidR="008E40C1">
        <w:rPr>
          <w:rFonts w:cs="Arial"/>
        </w:rPr>
        <w:t>ively small variable component.</w:t>
      </w:r>
      <w:r w:rsidRPr="00D80E11">
        <w:rPr>
          <w:rFonts w:cs="Arial"/>
        </w:rPr>
        <w:t xml:space="preserve"> The average track access charge under that framework payable by freight operators was estimated as being approximately £6.23 per thousand gross tonne miles (</w:t>
      </w:r>
      <w:proofErr w:type="spellStart"/>
      <w:r w:rsidRPr="00D80E11">
        <w:rPr>
          <w:rFonts w:cs="Arial"/>
        </w:rPr>
        <w:t>kgtm</w:t>
      </w:r>
      <w:proofErr w:type="spellEnd"/>
      <w:r w:rsidRPr="00D80E11">
        <w:rPr>
          <w:rFonts w:cs="Arial"/>
        </w:rPr>
        <w:t xml:space="preserve">), whilst </w:t>
      </w:r>
      <w:proofErr w:type="spellStart"/>
      <w:r w:rsidRPr="00D80E11">
        <w:rPr>
          <w:rFonts w:cs="Arial"/>
        </w:rPr>
        <w:t>Railtrack's</w:t>
      </w:r>
      <w:proofErr w:type="spellEnd"/>
      <w:r w:rsidRPr="00D80E11">
        <w:rPr>
          <w:rFonts w:cs="Arial"/>
        </w:rPr>
        <w:t xml:space="preserve"> freight-specific costs were of £5.53 (CFIT, 2001).</w:t>
      </w:r>
    </w:p>
    <w:p w:rsidR="00283E01" w:rsidRPr="00D80E11" w:rsidRDefault="00283E01" w:rsidP="00854221">
      <w:pPr>
        <w:rPr>
          <w:rFonts w:cs="Arial"/>
        </w:rPr>
      </w:pPr>
    </w:p>
    <w:p w:rsidR="00854221" w:rsidRPr="00D80E11" w:rsidRDefault="00C94AE6" w:rsidP="00854221">
      <w:pPr>
        <w:jc w:val="center"/>
        <w:rPr>
          <w:rFonts w:cs="Arial"/>
        </w:rPr>
      </w:pPr>
      <w:r w:rsidRPr="00A85131">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384pt;height:23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">
            <v:imagedata r:id="rId10" o:title="" cropbottom="-11f"/>
            <o:lock v:ext="edit" aspectratio="f"/>
          </v:shape>
        </w:pict>
      </w:r>
    </w:p>
    <w:p w:rsidR="00854221" w:rsidRPr="00CF0622" w:rsidRDefault="00854221" w:rsidP="00854221">
      <w:pPr>
        <w:pStyle w:val="Caption"/>
        <w:rPr>
          <w:rFonts w:cs="Arial"/>
        </w:rPr>
      </w:pPr>
      <w:bookmarkStart w:id="14" w:name="_Toc204771703"/>
      <w:r w:rsidRPr="00CF0622">
        <w:rPr>
          <w:rFonts w:cs="Arial"/>
        </w:rPr>
        <w:t xml:space="preserve">Figure </w:t>
      </w:r>
      <w:r w:rsidR="00A85131" w:rsidRPr="00CF0622">
        <w:rPr>
          <w:rFonts w:cs="Arial"/>
        </w:rPr>
        <w:fldChar w:fldCharType="begin"/>
      </w:r>
      <w:r w:rsidRPr="00CF0622">
        <w:rPr>
          <w:rFonts w:cs="Arial"/>
        </w:rPr>
        <w:instrText xml:space="preserve"> SEQ Figure \* ARABIC \s 1 </w:instrText>
      </w:r>
      <w:r w:rsidR="00A85131" w:rsidRPr="00CF0622">
        <w:rPr>
          <w:rFonts w:cs="Arial"/>
        </w:rPr>
        <w:fldChar w:fldCharType="separate"/>
      </w:r>
      <w:r w:rsidR="00C621E3">
        <w:rPr>
          <w:rFonts w:cs="Arial"/>
          <w:noProof/>
        </w:rPr>
        <w:t>1</w:t>
      </w:r>
      <w:r w:rsidR="00A85131" w:rsidRPr="00CF0622">
        <w:rPr>
          <w:rFonts w:cs="Arial"/>
        </w:rPr>
        <w:fldChar w:fldCharType="end"/>
      </w:r>
      <w:r w:rsidR="00283E01">
        <w:rPr>
          <w:rFonts w:cs="Arial"/>
        </w:rPr>
        <w:t>:</w:t>
      </w:r>
      <w:r w:rsidRPr="00CF0622">
        <w:rPr>
          <w:rFonts w:cs="Arial"/>
        </w:rPr>
        <w:t xml:space="preserve">  Domestic Freight Transport Moved (Billion </w:t>
      </w:r>
      <w:proofErr w:type="spellStart"/>
      <w:r w:rsidRPr="00CF0622">
        <w:rPr>
          <w:rFonts w:cs="Arial"/>
        </w:rPr>
        <w:t>Tkm</w:t>
      </w:r>
      <w:proofErr w:type="spellEnd"/>
      <w:r w:rsidRPr="00CF0622">
        <w:rPr>
          <w:rFonts w:cs="Arial"/>
        </w:rPr>
        <w:t>) by Mode 1953-2005</w:t>
      </w:r>
      <w:bookmarkEnd w:id="14"/>
    </w:p>
    <w:p w:rsidR="00854221" w:rsidRPr="00D80E11" w:rsidRDefault="00854221" w:rsidP="00854221">
      <w:pPr>
        <w:pStyle w:val="Source"/>
      </w:pPr>
      <w:r w:rsidRPr="00D80E11">
        <w:t>Source: Transport Statistics Great Britain 2007</w:t>
      </w:r>
    </w:p>
    <w:p w:rsidR="00854221" w:rsidRPr="00D80E11" w:rsidRDefault="00854221" w:rsidP="00854221">
      <w:pPr>
        <w:rPr>
          <w:rFonts w:cs="Arial"/>
          <w:i/>
        </w:rPr>
      </w:pPr>
    </w:p>
    <w:p w:rsidR="00854221" w:rsidRPr="00D80E11" w:rsidRDefault="00854221" w:rsidP="00854221">
      <w:pPr>
        <w:rPr>
          <w:rFonts w:cs="Arial"/>
        </w:rPr>
      </w:pPr>
    </w:p>
    <w:p w:rsidR="00854221" w:rsidRPr="00D80E11" w:rsidRDefault="00854221" w:rsidP="00854221">
      <w:pPr>
        <w:rPr>
          <w:rFonts w:cs="Arial"/>
        </w:rPr>
      </w:pPr>
      <w:r w:rsidRPr="00D80E11">
        <w:rPr>
          <w:rFonts w:cs="Arial"/>
        </w:rPr>
        <w:t>By 2001, gross tonne mileage had increased by more than 35% and add</w:t>
      </w:r>
      <w:r w:rsidR="008E40C1">
        <w:rPr>
          <w:rFonts w:cs="Arial"/>
        </w:rPr>
        <w:t>itional growth was anticipated.</w:t>
      </w:r>
      <w:r w:rsidRPr="00D80E11">
        <w:rPr>
          <w:rFonts w:cs="Arial"/>
        </w:rPr>
        <w:t xml:space="preserve"> Indeed, the government had set out an ambitious strategy for increasing demand for rail freight, with a target of achieving 80% growth over the period 1998/99-2010 and, with this in mind, a number of  new operators were c</w:t>
      </w:r>
      <w:r w:rsidR="008E40C1">
        <w:rPr>
          <w:rFonts w:cs="Arial"/>
        </w:rPr>
        <w:t>onsidering entering the market.</w:t>
      </w:r>
      <w:r>
        <w:rPr>
          <w:rFonts w:cs="Arial"/>
        </w:rPr>
        <w:t xml:space="preserve"> </w:t>
      </w:r>
      <w:r w:rsidRPr="00D80E11">
        <w:rPr>
          <w:rFonts w:cs="Arial"/>
        </w:rPr>
        <w:t>Concurrently, rail freight was thought to be facing increased competitive press</w:t>
      </w:r>
      <w:r w:rsidR="008E40C1">
        <w:rPr>
          <w:rFonts w:cs="Arial"/>
        </w:rPr>
        <w:t>ures from road and other modes.</w:t>
      </w:r>
      <w:r w:rsidRPr="00D80E11">
        <w:rPr>
          <w:rFonts w:cs="Arial"/>
        </w:rPr>
        <w:t xml:space="preserve"> For example, decisions to allow the operation of 44 tonne </w:t>
      </w:r>
      <w:proofErr w:type="gramStart"/>
      <w:r w:rsidRPr="00D80E11">
        <w:rPr>
          <w:rFonts w:cs="Arial"/>
        </w:rPr>
        <w:t>lorries</w:t>
      </w:r>
      <w:proofErr w:type="gramEnd"/>
      <w:r w:rsidRPr="00D80E11">
        <w:rPr>
          <w:rFonts w:cs="Arial"/>
        </w:rPr>
        <w:t xml:space="preserve"> and to stabilise vehicle/fuel duty were considered to be giving road haulage a sig</w:t>
      </w:r>
      <w:r w:rsidR="008E40C1">
        <w:rPr>
          <w:rFonts w:cs="Arial"/>
        </w:rPr>
        <w:t>nificant competitive advantage.</w:t>
      </w:r>
      <w:r>
        <w:rPr>
          <w:rFonts w:cs="Arial"/>
        </w:rPr>
        <w:t xml:space="preserve"> </w:t>
      </w:r>
      <w:r w:rsidRPr="00D80E11">
        <w:rPr>
          <w:rFonts w:cs="Arial"/>
        </w:rPr>
        <w:t>Furthermore, the periodic review of access charges for franchised passenger train services had the effect of changing the balance of incentives between rail passenger and freight services on the network.</w:t>
      </w:r>
    </w:p>
    <w:p w:rsidR="00854221" w:rsidRPr="00D80E11" w:rsidRDefault="00854221" w:rsidP="00854221">
      <w:pPr>
        <w:rPr>
          <w:rFonts w:cs="Arial"/>
        </w:rPr>
      </w:pPr>
      <w:r w:rsidRPr="00D80E11">
        <w:rPr>
          <w:rFonts w:cs="Arial"/>
        </w:rPr>
        <w:lastRenderedPageBreak/>
        <w:t>These changes in rail freight market conditions led the Regulator to conclude that it was appropriate to undertake a</w:t>
      </w:r>
      <w:r w:rsidR="008E40C1">
        <w:rPr>
          <w:rFonts w:cs="Arial"/>
        </w:rPr>
        <w:t xml:space="preserve"> review of the freight charges.</w:t>
      </w:r>
      <w:r w:rsidRPr="00D80E11">
        <w:rPr>
          <w:rFonts w:cs="Arial"/>
        </w:rPr>
        <w:t xml:space="preserve"> Crucially, a better understanding of cost causation had developed, meaning that there was a stronger body of evidence on which to base a new set of charges.  </w:t>
      </w:r>
    </w:p>
    <w:p w:rsidR="00854221" w:rsidRPr="00D80E11" w:rsidRDefault="00854221" w:rsidP="00854221">
      <w:pPr>
        <w:rPr>
          <w:rFonts w:cs="Arial"/>
        </w:rPr>
      </w:pPr>
    </w:p>
    <w:p w:rsidR="00854221" w:rsidRPr="00D80E11" w:rsidRDefault="00854221" w:rsidP="00854221">
      <w:pPr>
        <w:rPr>
          <w:rFonts w:cs="Arial"/>
        </w:rPr>
      </w:pPr>
      <w:r w:rsidRPr="00D80E11">
        <w:rPr>
          <w:rFonts w:cs="Arial"/>
        </w:rPr>
        <w:t>Prior to the outcome of the Periodic Review of Track Access Charges in 2001, an independent government advisory body, the Commission for Integrated Transport (CFIT) established a Rail Freight Working Group to</w:t>
      </w:r>
      <w:r w:rsidR="008E40C1">
        <w:rPr>
          <w:rFonts w:cs="Arial"/>
        </w:rPr>
        <w:t xml:space="preserve"> consider track access charges.</w:t>
      </w:r>
      <w:r w:rsidRPr="00D80E11">
        <w:rPr>
          <w:rFonts w:cs="Arial"/>
        </w:rPr>
        <w:t xml:space="preserve"> CFIT believed that rail infrastructure charges for freight services were “a significant factor for the further expansion o</w:t>
      </w:r>
      <w:r w:rsidR="008E40C1">
        <w:rPr>
          <w:rFonts w:cs="Arial"/>
        </w:rPr>
        <w:t>f the domestic freight market”.</w:t>
      </w:r>
      <w:r w:rsidRPr="00D80E11">
        <w:rPr>
          <w:rFonts w:cs="Arial"/>
        </w:rPr>
        <w:t xml:space="preserve"> In particular, their view was that the high costs of track access were serving to hold back rail freight operators from dive</w:t>
      </w:r>
      <w:r w:rsidR="008E40C1">
        <w:rPr>
          <w:rFonts w:cs="Arial"/>
        </w:rPr>
        <w:t>rsifying into non-bulk traffic.</w:t>
      </w:r>
      <w:r w:rsidRPr="00D80E11">
        <w:rPr>
          <w:rFonts w:cs="Arial"/>
        </w:rPr>
        <w:t xml:space="preserve"> They commissioned research to analyse how rail freight operators could set about achieving the Government’s target of growing the rail freight market by 80% by 2010, with particular attention given to the influence of the amount paid for track access.  </w:t>
      </w:r>
    </w:p>
    <w:p w:rsidR="00854221" w:rsidRPr="00D80E11" w:rsidRDefault="00854221" w:rsidP="00854221">
      <w:pPr>
        <w:rPr>
          <w:rFonts w:cs="Arial"/>
        </w:rPr>
      </w:pPr>
    </w:p>
    <w:p w:rsidR="00854221" w:rsidRPr="00D80E11" w:rsidRDefault="00854221" w:rsidP="00854221">
      <w:pPr>
        <w:rPr>
          <w:rFonts w:cs="Arial"/>
        </w:rPr>
      </w:pPr>
      <w:r w:rsidRPr="00D80E11">
        <w:rPr>
          <w:rFonts w:cs="Arial"/>
        </w:rPr>
        <w:t xml:space="preserve">This work identified infrastructure charges as one of seven key issues associated with growing the rail freight market and estimated the level of track access charges which would need to apply, under various scenarios, to deliver the </w:t>
      </w:r>
      <w:r w:rsidR="008E40C1">
        <w:rPr>
          <w:rFonts w:cs="Arial"/>
        </w:rPr>
        <w:t>Government's 80% growth target.</w:t>
      </w:r>
      <w:r w:rsidRPr="00D80E11">
        <w:rPr>
          <w:rFonts w:cs="Arial"/>
        </w:rPr>
        <w:t xml:space="preserve"> Under a central scenario, which assumed relatively small improvements in rail service efficiency, and continued decline in road haulage journey times (and efficiency), they estimated that an average track access charge of £3.50 per </w:t>
      </w:r>
      <w:proofErr w:type="spellStart"/>
      <w:r w:rsidRPr="00D80E11">
        <w:rPr>
          <w:rFonts w:cs="Arial"/>
        </w:rPr>
        <w:t>kgtm</w:t>
      </w:r>
      <w:proofErr w:type="spellEnd"/>
      <w:r w:rsidRPr="00D80E11">
        <w:rPr>
          <w:rFonts w:cs="Arial"/>
        </w:rPr>
        <w:t xml:space="preserve"> would deliver ap</w:t>
      </w:r>
      <w:r w:rsidR="008E40C1">
        <w:rPr>
          <w:rFonts w:cs="Arial"/>
        </w:rPr>
        <w:t>proximately 80% growth by 2010.</w:t>
      </w:r>
      <w:r>
        <w:rPr>
          <w:rFonts w:cs="Arial"/>
        </w:rPr>
        <w:t xml:space="preserve"> </w:t>
      </w:r>
      <w:r w:rsidRPr="00D80E11">
        <w:rPr>
          <w:rFonts w:cs="Arial"/>
        </w:rPr>
        <w:t>This implied almost a halving of the th</w:t>
      </w:r>
      <w:r w:rsidR="008E40C1">
        <w:rPr>
          <w:rFonts w:cs="Arial"/>
        </w:rPr>
        <w:t>en average track access charge.</w:t>
      </w:r>
      <w:r w:rsidRPr="00D80E11">
        <w:rPr>
          <w:rFonts w:cs="Arial"/>
        </w:rPr>
        <w:t xml:space="preserve"> Under a "worst case" scenario, assuming no improvement in rail service efficiency or journey times over road haulage, they estimated that an average track access charge of £1.50 per </w:t>
      </w:r>
      <w:proofErr w:type="spellStart"/>
      <w:r w:rsidRPr="00D80E11">
        <w:rPr>
          <w:rFonts w:cs="Arial"/>
        </w:rPr>
        <w:t>kgtm</w:t>
      </w:r>
      <w:proofErr w:type="spellEnd"/>
      <w:r w:rsidRPr="00D80E11">
        <w:rPr>
          <w:rFonts w:cs="Arial"/>
        </w:rPr>
        <w:t xml:space="preserve"> would be required to deliver the same volume of growth by 2010. </w:t>
      </w:r>
    </w:p>
    <w:p w:rsidR="00854221" w:rsidRPr="00D80E11" w:rsidRDefault="00854221" w:rsidP="00854221">
      <w:pPr>
        <w:rPr>
          <w:rFonts w:cs="Arial"/>
        </w:rPr>
      </w:pPr>
    </w:p>
    <w:p w:rsidR="00854221" w:rsidRPr="00D80E11" w:rsidRDefault="00854221" w:rsidP="00854221">
      <w:pPr>
        <w:rPr>
          <w:rFonts w:cs="Arial"/>
        </w:rPr>
      </w:pPr>
      <w:r w:rsidRPr="00D80E11">
        <w:rPr>
          <w:rFonts w:cs="Arial"/>
        </w:rPr>
        <w:t>The outcome of the 2001 Periodic Review represented a fundamental shift away from a negotiation-based approach to a published set of charges, the stated aim of which was to reflect the variable costs to the infrastructure manager of freight operations. The intention was that this would reduce transaction costs, improve operators’ ability to plan their businesses and create a more level playing field for new and potential freight operators.</w:t>
      </w:r>
    </w:p>
    <w:p w:rsidR="00854221" w:rsidRPr="00D80E11" w:rsidRDefault="00854221" w:rsidP="00854221">
      <w:pPr>
        <w:rPr>
          <w:rFonts w:cs="Arial"/>
        </w:rPr>
      </w:pPr>
    </w:p>
    <w:p w:rsidR="00854221" w:rsidRPr="00D80E11" w:rsidRDefault="00854221" w:rsidP="00854221">
      <w:pPr>
        <w:rPr>
          <w:rFonts w:cs="Arial"/>
        </w:rPr>
      </w:pPr>
      <w:r w:rsidRPr="00D80E11">
        <w:rPr>
          <w:rFonts w:cs="Arial"/>
        </w:rPr>
        <w:t xml:space="preserve">A fundamental change involved the Regulator no longer requiring that freight operators be expected to pay either fixed freight costs or the infrastructure manager’s costs which are common between freight and passenger operations for use of the existing network. </w:t>
      </w:r>
      <w:r>
        <w:rPr>
          <w:rFonts w:cs="Arial"/>
        </w:rPr>
        <w:t xml:space="preserve"> </w:t>
      </w:r>
      <w:r w:rsidRPr="00D80E11">
        <w:rPr>
          <w:rFonts w:cs="Arial"/>
        </w:rPr>
        <w:t>The charges comprised three components:</w:t>
      </w:r>
    </w:p>
    <w:p w:rsidR="00854221" w:rsidRPr="00D80E11" w:rsidRDefault="00854221" w:rsidP="00854221">
      <w:pPr>
        <w:pStyle w:val="BulletPoint"/>
        <w:numPr>
          <w:numberingChange w:id="15" w:author="USER" w:date="2009-10-24T23:18:00Z" w:original=""/>
        </w:numPr>
      </w:pPr>
      <w:r>
        <w:t>U</w:t>
      </w:r>
      <w:r w:rsidRPr="00D80E11">
        <w:t>sage charges – designed to reflect infrastructure wear and tear costs directly attributable to particular services;</w:t>
      </w:r>
    </w:p>
    <w:p w:rsidR="00854221" w:rsidRPr="00D80E11" w:rsidRDefault="00854221" w:rsidP="00854221">
      <w:pPr>
        <w:pStyle w:val="BulletPoint"/>
        <w:numPr>
          <w:numberingChange w:id="16" w:author="USER" w:date="2009-10-24T23:18:00Z" w:original=""/>
        </w:numPr>
      </w:pPr>
      <w:r>
        <w:t>T</w:t>
      </w:r>
      <w:r w:rsidRPr="00D80E11">
        <w:t xml:space="preserve">raction electricity charges – designed to relate directly to the amount of electricity consumed by any particular vehicle; and </w:t>
      </w:r>
    </w:p>
    <w:p w:rsidR="00854221" w:rsidRPr="00D80E11" w:rsidRDefault="00854221" w:rsidP="00854221">
      <w:pPr>
        <w:pStyle w:val="BulletPoint"/>
        <w:numPr>
          <w:numberingChange w:id="17" w:author="USER" w:date="2009-10-24T23:18:00Z" w:original=""/>
        </w:numPr>
      </w:pPr>
      <w:r>
        <w:t>C</w:t>
      </w:r>
      <w:r w:rsidRPr="00D80E11">
        <w:t>apacity charges – designed to broadly reflect the congestion costs associated with increases in capacity utilization.</w:t>
      </w:r>
    </w:p>
    <w:p w:rsidR="00854221" w:rsidRPr="00D80E11" w:rsidRDefault="00854221" w:rsidP="00854221">
      <w:pPr>
        <w:pStyle w:val="PlainText"/>
        <w:rPr>
          <w:rFonts w:ascii="Arial" w:hAnsi="Arial" w:cs="Arial"/>
          <w:lang w:val="en-GB"/>
        </w:rPr>
      </w:pPr>
    </w:p>
    <w:p w:rsidR="00854221" w:rsidRPr="00D80E11" w:rsidRDefault="00854221" w:rsidP="00854221">
      <w:pPr>
        <w:rPr>
          <w:rFonts w:cs="Arial"/>
        </w:rPr>
      </w:pPr>
      <w:r w:rsidRPr="00D80E11">
        <w:rPr>
          <w:rFonts w:cs="Arial"/>
        </w:rPr>
        <w:t>The effect of these changes was that, on average, the charges tha</w:t>
      </w:r>
      <w:r w:rsidR="008E40C1">
        <w:rPr>
          <w:rFonts w:cs="Arial"/>
        </w:rPr>
        <w:t>t freight operators paid to the</w:t>
      </w:r>
      <w:r w:rsidR="008E40C1" w:rsidRPr="00D80E11">
        <w:rPr>
          <w:rFonts w:cs="Arial"/>
        </w:rPr>
        <w:t xml:space="preserve"> infrastructure</w:t>
      </w:r>
      <w:r w:rsidR="008E40C1">
        <w:rPr>
          <w:rFonts w:cs="Arial"/>
        </w:rPr>
        <w:t xml:space="preserve"> manager were halved.</w:t>
      </w:r>
      <w:r w:rsidRPr="00D80E11">
        <w:rPr>
          <w:rFonts w:cs="Arial"/>
        </w:rPr>
        <w:t xml:space="preserve"> The resulting shortfall in revenue to the infrastructure manager from freight operations, which was estimated as being £500 million over a 5 year period, was to be funded by the government (via</w:t>
      </w:r>
      <w:r w:rsidR="008E40C1">
        <w:rPr>
          <w:rFonts w:cs="Arial"/>
        </w:rPr>
        <w:t xml:space="preserve"> the Strategic Rail Authority).</w:t>
      </w:r>
      <w:r w:rsidRPr="00D80E11">
        <w:rPr>
          <w:rFonts w:cs="Arial"/>
        </w:rPr>
        <w:t xml:space="preserve"> In addition, performance regime arrangements were put in place to provide both freight operators and the infrastructure manager with an incentive to reduce the delay which they impose on users of the network. </w:t>
      </w:r>
    </w:p>
    <w:p w:rsidR="00854221" w:rsidRPr="00D80E11" w:rsidRDefault="00854221" w:rsidP="00854221">
      <w:pPr>
        <w:pStyle w:val="PlainText"/>
        <w:rPr>
          <w:rFonts w:ascii="Arial" w:hAnsi="Arial" w:cs="Arial"/>
          <w:lang w:val="en-GB"/>
        </w:rPr>
      </w:pPr>
    </w:p>
    <w:p w:rsidR="00854221" w:rsidRPr="00D80E11" w:rsidRDefault="00854221" w:rsidP="00854221">
      <w:pPr>
        <w:rPr>
          <w:rFonts w:cs="Arial"/>
        </w:rPr>
      </w:pPr>
      <w:r w:rsidRPr="00D80E11">
        <w:rPr>
          <w:rFonts w:cs="Arial"/>
        </w:rPr>
        <w:t>Interestingly, the outcome of the Periodic Review was very close to the charges associated with the ‘central scenario’</w:t>
      </w:r>
      <w:r w:rsidR="008E40C1">
        <w:rPr>
          <w:rFonts w:cs="Arial"/>
        </w:rPr>
        <w:t xml:space="preserve"> examined in the work for CFIT.</w:t>
      </w:r>
      <w:r w:rsidRPr="00D80E11">
        <w:rPr>
          <w:rFonts w:cs="Arial"/>
        </w:rPr>
        <w:t xml:space="preserve"> It is, therefore, revealing to examine the growth in the demand for rail freight and how that compares with that projected in the CFIT </w:t>
      </w:r>
      <w:proofErr w:type="gramStart"/>
      <w:r w:rsidRPr="00D80E11">
        <w:rPr>
          <w:rFonts w:cs="Arial"/>
        </w:rPr>
        <w:t>work</w:t>
      </w:r>
      <w:proofErr w:type="gramEnd"/>
      <w:r w:rsidRPr="00D80E11">
        <w:rPr>
          <w:rFonts w:cs="Arial"/>
        </w:rPr>
        <w:t>.</w:t>
      </w:r>
    </w:p>
    <w:p w:rsidR="00854221" w:rsidRPr="00D80E11" w:rsidRDefault="00854221" w:rsidP="00854221">
      <w:pPr>
        <w:rPr>
          <w:rFonts w:cs="Arial"/>
        </w:rPr>
      </w:pPr>
    </w:p>
    <w:p w:rsidR="00854221" w:rsidRDefault="00854221" w:rsidP="00854221">
      <w:pPr>
        <w:rPr>
          <w:rFonts w:cs="Arial"/>
        </w:rPr>
      </w:pPr>
      <w:r w:rsidRPr="00D80E11">
        <w:rPr>
          <w:rFonts w:cs="Arial"/>
        </w:rPr>
        <w:t>The trends in commodities moved by rail over 1998-99 to 2006-07 are illustrated in</w:t>
      </w:r>
      <w:r w:rsidR="00283E01">
        <w:rPr>
          <w:rFonts w:cs="Arial"/>
        </w:rPr>
        <w:t xml:space="preserve"> Table 5</w:t>
      </w:r>
      <w:r w:rsidR="008E40C1">
        <w:rPr>
          <w:rFonts w:cs="Arial"/>
        </w:rPr>
        <w:t>.</w:t>
      </w:r>
      <w:r w:rsidRPr="00D80E11">
        <w:rPr>
          <w:rFonts w:cs="Arial"/>
        </w:rPr>
        <w:t xml:space="preserve"> It shows that, across all commodities, t</w:t>
      </w:r>
      <w:r w:rsidR="008E40C1">
        <w:rPr>
          <w:rFonts w:cs="Arial"/>
        </w:rPr>
        <w:t xml:space="preserve">here has been a growth of 28%. </w:t>
      </w:r>
      <w:r w:rsidRPr="00D80E11">
        <w:rPr>
          <w:rFonts w:cs="Arial"/>
        </w:rPr>
        <w:t xml:space="preserve">Within this, it is notable that coal traffic has almost doubled and construction traffic has increased by a significant 29%. </w:t>
      </w:r>
    </w:p>
    <w:p w:rsidR="00854221" w:rsidRDefault="00854221" w:rsidP="00854221">
      <w:pPr>
        <w:rPr>
          <w:rFonts w:cs="Arial"/>
        </w:rPr>
      </w:pPr>
    </w:p>
    <w:p w:rsidR="008E40C1" w:rsidRDefault="008E40C1" w:rsidP="00854221">
      <w:pPr>
        <w:rPr>
          <w:rFonts w:cs="Arial"/>
        </w:rPr>
      </w:pPr>
    </w:p>
    <w:p w:rsidR="008E40C1" w:rsidRDefault="008E40C1" w:rsidP="00854221">
      <w:pPr>
        <w:rPr>
          <w:rFonts w:cs="Arial"/>
        </w:rPr>
      </w:pPr>
    </w:p>
    <w:p w:rsidR="008E40C1" w:rsidRDefault="008E40C1" w:rsidP="00854221">
      <w:pPr>
        <w:rPr>
          <w:rFonts w:cs="Arial"/>
        </w:rPr>
      </w:pPr>
    </w:p>
    <w:p w:rsidR="008E40C1" w:rsidRPr="00D80E11" w:rsidRDefault="008E40C1" w:rsidP="00854221">
      <w:pPr>
        <w:rPr>
          <w:rFonts w:cs="Arial"/>
        </w:rPr>
      </w:pPr>
    </w:p>
    <w:p w:rsidR="00854221" w:rsidRPr="00CF0622" w:rsidRDefault="00854221" w:rsidP="00854221">
      <w:pPr>
        <w:pStyle w:val="Caption"/>
        <w:rPr>
          <w:rFonts w:cs="Arial"/>
        </w:rPr>
      </w:pPr>
      <w:bookmarkStart w:id="18" w:name="_Ref203881898"/>
      <w:bookmarkStart w:id="19" w:name="_Toc207524647"/>
      <w:r w:rsidRPr="00CF0622">
        <w:rPr>
          <w:rFonts w:cs="Arial"/>
        </w:rPr>
        <w:lastRenderedPageBreak/>
        <w:t xml:space="preserve">Table </w:t>
      </w:r>
      <w:bookmarkEnd w:id="18"/>
      <w:r w:rsidR="00283E01">
        <w:rPr>
          <w:rFonts w:cs="Arial"/>
        </w:rPr>
        <w:t>5:</w:t>
      </w:r>
      <w:r w:rsidRPr="00CF0622">
        <w:rPr>
          <w:rFonts w:cs="Arial"/>
        </w:rPr>
        <w:t xml:space="preserve">  National Railways Freight - Freight Moved by Commodity 1998-99 to 2006-07 (Billion Tonne-Kilometres)</w:t>
      </w:r>
      <w:bookmarkEnd w:id="19"/>
    </w:p>
    <w:tbl>
      <w:tblPr>
        <w:tblpPr w:leftFromText="180" w:rightFromText="180" w:bottomFromText="200" w:vertAnchor="text" w:horzAnchor="margin" w:tblpX="-184" w:tblpY="131"/>
        <w:tblW w:w="0" w:type="auto"/>
        <w:tblLook w:val="04A0"/>
      </w:tblPr>
      <w:tblGrid>
        <w:gridCol w:w="1637"/>
        <w:gridCol w:w="877"/>
        <w:gridCol w:w="877"/>
        <w:gridCol w:w="877"/>
        <w:gridCol w:w="877"/>
        <w:gridCol w:w="877"/>
        <w:gridCol w:w="877"/>
        <w:gridCol w:w="877"/>
        <w:gridCol w:w="877"/>
        <w:gridCol w:w="877"/>
      </w:tblGrid>
      <w:tr w:rsidR="00854221" w:rsidRPr="00D80E11" w:rsidTr="00854221">
        <w:trPr>
          <w:trHeight w:val="293"/>
        </w:trPr>
        <w:tc>
          <w:tcPr>
            <w:tcW w:w="0" w:type="auto"/>
            <w:tcBorders>
              <w:top w:val="single" w:sz="4" w:space="0" w:color="auto"/>
              <w:left w:val="single" w:sz="4" w:space="0" w:color="auto"/>
              <w:bottom w:val="single" w:sz="4" w:space="0" w:color="auto"/>
              <w:right w:val="single" w:sz="4" w:space="0" w:color="auto"/>
            </w:tcBorders>
            <w:shd w:val="clear" w:color="auto" w:fill="E6E6E6"/>
            <w:noWrap/>
            <w:vAlign w:val="bottom"/>
          </w:tcPr>
          <w:p w:rsidR="00854221" w:rsidRPr="00D80E11" w:rsidRDefault="00854221" w:rsidP="00854221">
            <w:pPr>
              <w:pStyle w:val="BodyTextHeader"/>
              <w:rPr>
                <w:lang w:eastAsia="en-GB"/>
              </w:rPr>
            </w:pPr>
            <w:r w:rsidRPr="00D80E11">
              <w:t> </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854221" w:rsidRPr="00D80E11" w:rsidRDefault="00854221" w:rsidP="00854221">
            <w:pPr>
              <w:pStyle w:val="BodyTextHeader"/>
              <w:rPr>
                <w:bCs/>
                <w:lang w:eastAsia="en-GB"/>
              </w:rPr>
            </w:pPr>
            <w:r w:rsidRPr="00D80E11">
              <w:rPr>
                <w:bCs/>
              </w:rPr>
              <w:t>1998-99</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854221" w:rsidRPr="00D80E11" w:rsidRDefault="00854221" w:rsidP="00854221">
            <w:pPr>
              <w:pStyle w:val="BodyTextHeader"/>
              <w:rPr>
                <w:bCs/>
                <w:lang w:eastAsia="en-GB"/>
              </w:rPr>
            </w:pPr>
            <w:r w:rsidRPr="00D80E11">
              <w:rPr>
                <w:bCs/>
              </w:rPr>
              <w:t>1999-00</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854221" w:rsidRPr="00D80E11" w:rsidRDefault="00854221" w:rsidP="00854221">
            <w:pPr>
              <w:pStyle w:val="BodyTextHeader"/>
              <w:rPr>
                <w:bCs/>
                <w:lang w:eastAsia="en-GB"/>
              </w:rPr>
            </w:pPr>
            <w:r w:rsidRPr="00D80E11">
              <w:rPr>
                <w:bCs/>
              </w:rPr>
              <w:t>2000-01</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854221" w:rsidRPr="00D80E11" w:rsidRDefault="00854221" w:rsidP="00854221">
            <w:pPr>
              <w:pStyle w:val="BodyTextHeader"/>
              <w:rPr>
                <w:bCs/>
                <w:lang w:eastAsia="en-GB"/>
              </w:rPr>
            </w:pPr>
            <w:r w:rsidRPr="00D80E11">
              <w:rPr>
                <w:bCs/>
              </w:rPr>
              <w:t>2001-02</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854221" w:rsidRPr="00D80E11" w:rsidRDefault="00854221" w:rsidP="00854221">
            <w:pPr>
              <w:pStyle w:val="BodyTextHeader"/>
              <w:rPr>
                <w:bCs/>
                <w:lang w:eastAsia="en-GB"/>
              </w:rPr>
            </w:pPr>
            <w:r w:rsidRPr="00D80E11">
              <w:rPr>
                <w:bCs/>
              </w:rPr>
              <w:t>2002-03</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854221" w:rsidRPr="00D80E11" w:rsidRDefault="00854221" w:rsidP="00854221">
            <w:pPr>
              <w:pStyle w:val="BodyTextHeader"/>
              <w:rPr>
                <w:bCs/>
                <w:lang w:eastAsia="en-GB"/>
              </w:rPr>
            </w:pPr>
            <w:r w:rsidRPr="00D80E11">
              <w:rPr>
                <w:bCs/>
              </w:rPr>
              <w:t>2003-04</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854221" w:rsidRPr="00D80E11" w:rsidRDefault="00854221" w:rsidP="00854221">
            <w:pPr>
              <w:pStyle w:val="BodyTextHeader"/>
              <w:rPr>
                <w:bCs/>
                <w:lang w:eastAsia="en-GB"/>
              </w:rPr>
            </w:pPr>
            <w:r w:rsidRPr="00D80E11">
              <w:rPr>
                <w:bCs/>
              </w:rPr>
              <w:t>2004-05</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854221" w:rsidRPr="00D80E11" w:rsidRDefault="00854221" w:rsidP="00854221">
            <w:pPr>
              <w:pStyle w:val="BodyTextHeader"/>
              <w:rPr>
                <w:bCs/>
                <w:lang w:eastAsia="en-GB"/>
              </w:rPr>
            </w:pPr>
            <w:r w:rsidRPr="00D80E11">
              <w:rPr>
                <w:bCs/>
              </w:rPr>
              <w:t>2005-06</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854221" w:rsidRPr="00D80E11" w:rsidRDefault="00854221" w:rsidP="00854221">
            <w:pPr>
              <w:pStyle w:val="BodyTextHeader"/>
              <w:rPr>
                <w:bCs/>
                <w:lang w:eastAsia="en-GB"/>
              </w:rPr>
            </w:pPr>
            <w:r w:rsidRPr="00D80E11">
              <w:rPr>
                <w:bCs/>
              </w:rPr>
              <w:t>2006-07</w:t>
            </w:r>
          </w:p>
        </w:tc>
      </w:tr>
      <w:tr w:rsidR="00854221" w:rsidRPr="00D80E11" w:rsidTr="00854221">
        <w:trPr>
          <w:trHeight w:val="293"/>
        </w:trPr>
        <w:tc>
          <w:tcPr>
            <w:tcW w:w="0" w:type="auto"/>
            <w:tcBorders>
              <w:top w:val="nil"/>
              <w:left w:val="single" w:sz="4" w:space="0" w:color="auto"/>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Coal</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4.5</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4.8</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4.8</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6.2</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5.7</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5.8</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6.7</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8.3</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8.8</w:t>
            </w:r>
          </w:p>
        </w:tc>
      </w:tr>
      <w:tr w:rsidR="00854221" w:rsidRPr="00D80E11" w:rsidTr="00854221">
        <w:trPr>
          <w:trHeight w:val="293"/>
        </w:trPr>
        <w:tc>
          <w:tcPr>
            <w:tcW w:w="0" w:type="auto"/>
            <w:tcBorders>
              <w:top w:val="nil"/>
              <w:left w:val="single" w:sz="4" w:space="0" w:color="auto"/>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Metals</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2.1</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2.2</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2.1</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2.4</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2.7</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2.4</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2.6</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2.2</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2.1</w:t>
            </w:r>
          </w:p>
        </w:tc>
      </w:tr>
      <w:tr w:rsidR="00854221" w:rsidRPr="00D80E11" w:rsidTr="00854221">
        <w:trPr>
          <w:trHeight w:val="293"/>
        </w:trPr>
        <w:tc>
          <w:tcPr>
            <w:tcW w:w="0" w:type="auto"/>
            <w:tcBorders>
              <w:top w:val="nil"/>
              <w:left w:val="single" w:sz="4" w:space="0" w:color="auto"/>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Construction</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2.1</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2.0</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2.4</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2.8</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2.5</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2.7</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2.9</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2.9</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2.7</w:t>
            </w:r>
          </w:p>
        </w:tc>
      </w:tr>
      <w:tr w:rsidR="00854221" w:rsidRPr="00D80E11" w:rsidTr="00854221">
        <w:trPr>
          <w:trHeight w:val="293"/>
        </w:trPr>
        <w:tc>
          <w:tcPr>
            <w:tcW w:w="0" w:type="auto"/>
            <w:tcBorders>
              <w:top w:val="nil"/>
              <w:left w:val="single" w:sz="4" w:space="0" w:color="auto"/>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Oil and petroleum</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1.6</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1.5</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1.4</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1.2</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1.2</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1.2</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1.2</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1.2</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1.5</w:t>
            </w:r>
          </w:p>
        </w:tc>
      </w:tr>
      <w:tr w:rsidR="00854221" w:rsidRPr="00D80E11" w:rsidTr="00854221">
        <w:trPr>
          <w:trHeight w:val="293"/>
        </w:trPr>
        <w:tc>
          <w:tcPr>
            <w:tcW w:w="0" w:type="auto"/>
            <w:tcBorders>
              <w:top w:val="nil"/>
              <w:left w:val="single" w:sz="4" w:space="0" w:color="auto"/>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Other traffic</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7.1</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7.6</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7.4</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6.7</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6.6</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6.8</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7.0</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7.1</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7.0</w:t>
            </w:r>
          </w:p>
        </w:tc>
      </w:tr>
      <w:tr w:rsidR="00854221" w:rsidRPr="00D80E11" w:rsidTr="00854221">
        <w:trPr>
          <w:trHeight w:val="293"/>
        </w:trPr>
        <w:tc>
          <w:tcPr>
            <w:tcW w:w="0" w:type="auto"/>
            <w:tcBorders>
              <w:top w:val="nil"/>
              <w:left w:val="single" w:sz="4" w:space="0" w:color="auto"/>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All traffic</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17.3</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18.2</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18.1</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19.4</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18.5</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18.9</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20.4</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21.7</w:t>
            </w:r>
          </w:p>
        </w:tc>
        <w:tc>
          <w:tcPr>
            <w:tcW w:w="0" w:type="auto"/>
            <w:tcBorders>
              <w:top w:val="nil"/>
              <w:left w:val="nil"/>
              <w:bottom w:val="single" w:sz="4" w:space="0" w:color="auto"/>
              <w:right w:val="single" w:sz="4" w:space="0" w:color="auto"/>
            </w:tcBorders>
            <w:noWrap/>
            <w:vAlign w:val="bottom"/>
          </w:tcPr>
          <w:p w:rsidR="00854221" w:rsidRPr="00D80E11" w:rsidRDefault="00854221" w:rsidP="00854221">
            <w:pPr>
              <w:pStyle w:val="BodyText"/>
              <w:rPr>
                <w:lang w:eastAsia="en-GB"/>
              </w:rPr>
            </w:pPr>
            <w:r w:rsidRPr="00D80E11">
              <w:t>22.1</w:t>
            </w:r>
          </w:p>
        </w:tc>
      </w:tr>
    </w:tbl>
    <w:p w:rsidR="00854221" w:rsidRPr="00D80E11" w:rsidRDefault="00854221" w:rsidP="00854221">
      <w:pPr>
        <w:pStyle w:val="Source"/>
      </w:pPr>
      <w:r w:rsidRPr="00D80E11">
        <w:t>Source: Transport Statistics Great Britain 2007</w:t>
      </w:r>
    </w:p>
    <w:p w:rsidR="00854221" w:rsidRPr="00D80E11" w:rsidRDefault="00854221" w:rsidP="00854221">
      <w:pPr>
        <w:rPr>
          <w:rFonts w:cs="Arial"/>
        </w:rPr>
      </w:pPr>
    </w:p>
    <w:p w:rsidR="00854221" w:rsidRDefault="00283E01" w:rsidP="00854221">
      <w:pPr>
        <w:rPr>
          <w:rFonts w:cs="Arial"/>
        </w:rPr>
      </w:pPr>
      <w:r>
        <w:rPr>
          <w:rFonts w:cs="Arial"/>
        </w:rPr>
        <w:t>Table 6</w:t>
      </w:r>
      <w:r w:rsidR="00854221" w:rsidRPr="00D80E11">
        <w:rPr>
          <w:rFonts w:cs="Arial"/>
        </w:rPr>
        <w:t xml:space="preserve"> illustrates the trends in rail freight lifted for coal, other traffic excluding coal, and of all traffic over the period 1998-99 to 2006-07. It shows a decline over the first part of the period, followed by an increase, resulting in an overall growth over the peri</w:t>
      </w:r>
      <w:r w:rsidR="008E40C1">
        <w:rPr>
          <w:rFonts w:cs="Arial"/>
        </w:rPr>
        <w:t>od of 6%.</w:t>
      </w:r>
      <w:r w:rsidR="00854221" w:rsidRPr="00D80E11">
        <w:rPr>
          <w:rFonts w:cs="Arial"/>
        </w:rPr>
        <w:t xml:space="preserve"> Linking this to the numbers presented in Table </w:t>
      </w:r>
      <w:r w:rsidR="00144DA1">
        <w:rPr>
          <w:rFonts w:cs="Arial"/>
        </w:rPr>
        <w:t>5</w:t>
      </w:r>
      <w:r w:rsidR="00854221" w:rsidRPr="00D80E11">
        <w:rPr>
          <w:rFonts w:cs="Arial"/>
        </w:rPr>
        <w:t>, this indicates that rail freight growth has been associated more with an increase in the distance freight is moved than the actual q</w:t>
      </w:r>
      <w:r w:rsidR="008E40C1">
        <w:rPr>
          <w:rFonts w:cs="Arial"/>
        </w:rPr>
        <w:t>uantity of freight being moved.</w:t>
      </w:r>
      <w:r w:rsidR="00854221" w:rsidRPr="00D80E11">
        <w:rPr>
          <w:rFonts w:cs="Arial"/>
        </w:rPr>
        <w:t xml:space="preserve"> In terms of coal, despite the increase in </w:t>
      </w:r>
      <w:proofErr w:type="spellStart"/>
      <w:r w:rsidR="00854221" w:rsidRPr="00D80E11">
        <w:rPr>
          <w:rFonts w:cs="Arial"/>
        </w:rPr>
        <w:t>tkm</w:t>
      </w:r>
      <w:proofErr w:type="spellEnd"/>
      <w:r w:rsidR="00854221" w:rsidRPr="00D80E11">
        <w:rPr>
          <w:rFonts w:cs="Arial"/>
        </w:rPr>
        <w:t xml:space="preserve"> in 1998-99 to 2000-01, there has </w:t>
      </w:r>
      <w:r w:rsidR="008E40C1">
        <w:rPr>
          <w:rFonts w:cs="Arial"/>
        </w:rPr>
        <w:t>been a decline in tonnes lifted.</w:t>
      </w:r>
      <w:r w:rsidR="00854221" w:rsidRPr="00D80E11">
        <w:rPr>
          <w:rFonts w:cs="Arial"/>
        </w:rPr>
        <w:t xml:space="preserve"> Despite the 29% increase in coal </w:t>
      </w:r>
      <w:proofErr w:type="spellStart"/>
      <w:r w:rsidR="00854221" w:rsidRPr="00D80E11">
        <w:rPr>
          <w:rFonts w:cs="Arial"/>
        </w:rPr>
        <w:t>tkm</w:t>
      </w:r>
      <w:proofErr w:type="spellEnd"/>
      <w:r w:rsidR="00854221" w:rsidRPr="00D80E11">
        <w:rPr>
          <w:rFonts w:cs="Arial"/>
        </w:rPr>
        <w:t xml:space="preserve"> in 2001-02, tonnes lifted only rose by 12% in that same year. In the years that followed, changes in coal </w:t>
      </w:r>
      <w:proofErr w:type="spellStart"/>
      <w:r w:rsidR="00854221" w:rsidRPr="00D80E11">
        <w:rPr>
          <w:rFonts w:cs="Arial"/>
        </w:rPr>
        <w:t>tkm</w:t>
      </w:r>
      <w:proofErr w:type="spellEnd"/>
      <w:r w:rsidR="00854221" w:rsidRPr="00D80E11">
        <w:rPr>
          <w:rFonts w:cs="Arial"/>
        </w:rPr>
        <w:t xml:space="preserve"> were also characterised with changes in tonnes lifted in the same direction. However as coal </w:t>
      </w:r>
      <w:proofErr w:type="spellStart"/>
      <w:r w:rsidR="00854221" w:rsidRPr="00D80E11">
        <w:rPr>
          <w:rFonts w:cs="Arial"/>
        </w:rPr>
        <w:t>tkm</w:t>
      </w:r>
      <w:proofErr w:type="spellEnd"/>
      <w:r w:rsidR="00854221" w:rsidRPr="00D80E11">
        <w:rPr>
          <w:rFonts w:cs="Arial"/>
        </w:rPr>
        <w:t xml:space="preserve"> rose from 8.3 to 8.8 billion from 2005-06 to 2006-07, tonnes lifted decreased slightly from 48.9 to 48.8 million over that same period. In terms of all rail freight traffic lifted over the last decade, the lowest point was in 2002-03 where only 87 million tonnes were lifted.</w:t>
      </w:r>
    </w:p>
    <w:p w:rsidR="00854221" w:rsidRPr="00D80E11" w:rsidRDefault="00854221" w:rsidP="00854221">
      <w:pPr>
        <w:rPr>
          <w:rFonts w:cs="Arial"/>
        </w:rPr>
      </w:pPr>
    </w:p>
    <w:p w:rsidR="00854221" w:rsidRPr="00CF0622" w:rsidRDefault="00854221" w:rsidP="00854221">
      <w:pPr>
        <w:pStyle w:val="Caption"/>
        <w:rPr>
          <w:rFonts w:cs="Arial"/>
        </w:rPr>
      </w:pPr>
      <w:bookmarkStart w:id="20" w:name="_Toc207524648"/>
      <w:r w:rsidRPr="00CF0622">
        <w:rPr>
          <w:rFonts w:cs="Arial"/>
        </w:rPr>
        <w:t xml:space="preserve">Table </w:t>
      </w:r>
      <w:r w:rsidR="00283E01">
        <w:rPr>
          <w:rFonts w:cs="Arial"/>
        </w:rPr>
        <w:t>6:</w:t>
      </w:r>
      <w:r w:rsidRPr="00CF0622">
        <w:rPr>
          <w:rFonts w:cs="Arial"/>
        </w:rPr>
        <w:t xml:space="preserve">  National </w:t>
      </w:r>
      <w:r>
        <w:rPr>
          <w:rFonts w:cs="Arial"/>
        </w:rPr>
        <w:t>R</w:t>
      </w:r>
      <w:r w:rsidRPr="00CF0622">
        <w:rPr>
          <w:rFonts w:cs="Arial"/>
        </w:rPr>
        <w:t xml:space="preserve">ailways </w:t>
      </w:r>
      <w:r>
        <w:rPr>
          <w:rFonts w:cs="Arial"/>
        </w:rPr>
        <w:t>F</w:t>
      </w:r>
      <w:r w:rsidRPr="00CF0622">
        <w:rPr>
          <w:rFonts w:cs="Arial"/>
        </w:rPr>
        <w:t xml:space="preserve">reight - Freight </w:t>
      </w:r>
      <w:r>
        <w:rPr>
          <w:rFonts w:cs="Arial"/>
        </w:rPr>
        <w:t>L</w:t>
      </w:r>
      <w:r w:rsidRPr="00CF0622">
        <w:rPr>
          <w:rFonts w:cs="Arial"/>
        </w:rPr>
        <w:t xml:space="preserve">ifted by </w:t>
      </w:r>
      <w:r>
        <w:rPr>
          <w:rFonts w:cs="Arial"/>
        </w:rPr>
        <w:t>C</w:t>
      </w:r>
      <w:r w:rsidRPr="00CF0622">
        <w:rPr>
          <w:rFonts w:cs="Arial"/>
        </w:rPr>
        <w:t>ommodity 1998-99 to 2006-07 (</w:t>
      </w:r>
      <w:r>
        <w:rPr>
          <w:rFonts w:cs="Arial"/>
        </w:rPr>
        <w:t>M</w:t>
      </w:r>
      <w:r w:rsidRPr="00CF0622">
        <w:rPr>
          <w:rFonts w:cs="Arial"/>
        </w:rPr>
        <w:t xml:space="preserve">illion </w:t>
      </w:r>
      <w:r>
        <w:rPr>
          <w:rFonts w:cs="Arial"/>
        </w:rPr>
        <w:t>T</w:t>
      </w:r>
      <w:r w:rsidRPr="00CF0622">
        <w:rPr>
          <w:rFonts w:cs="Arial"/>
        </w:rPr>
        <w:t>onnes)</w:t>
      </w:r>
      <w:bookmarkEnd w:id="20"/>
    </w:p>
    <w:tbl>
      <w:tblPr>
        <w:tblpPr w:leftFromText="180" w:rightFromText="180" w:bottomFromText="200" w:vertAnchor="text" w:horzAnchor="margin" w:tblpY="165"/>
        <w:tblW w:w="9825" w:type="dxa"/>
        <w:tblLayout w:type="fixed"/>
        <w:tblLook w:val="04A0"/>
      </w:tblPr>
      <w:tblGrid>
        <w:gridCol w:w="1367"/>
        <w:gridCol w:w="939"/>
        <w:gridCol w:w="939"/>
        <w:gridCol w:w="940"/>
        <w:gridCol w:w="940"/>
        <w:gridCol w:w="940"/>
        <w:gridCol w:w="940"/>
        <w:gridCol w:w="940"/>
        <w:gridCol w:w="940"/>
        <w:gridCol w:w="940"/>
      </w:tblGrid>
      <w:tr w:rsidR="00854221" w:rsidRPr="00D80E11" w:rsidTr="00854221">
        <w:trPr>
          <w:trHeight w:val="293"/>
        </w:trPr>
        <w:tc>
          <w:tcPr>
            <w:tcW w:w="1368" w:type="dxa"/>
            <w:tcBorders>
              <w:top w:val="single" w:sz="4" w:space="0" w:color="auto"/>
              <w:left w:val="single" w:sz="4" w:space="0" w:color="auto"/>
              <w:bottom w:val="single" w:sz="4" w:space="0" w:color="auto"/>
              <w:right w:val="single" w:sz="4" w:space="0" w:color="auto"/>
            </w:tcBorders>
            <w:shd w:val="pct10" w:color="auto" w:fill="auto"/>
            <w:noWrap/>
            <w:vAlign w:val="bottom"/>
          </w:tcPr>
          <w:p w:rsidR="00854221" w:rsidRPr="00D80E11" w:rsidRDefault="00854221" w:rsidP="00854221">
            <w:pPr>
              <w:pStyle w:val="BodyTextHeader"/>
              <w:rPr>
                <w:lang w:eastAsia="en-GB"/>
              </w:rPr>
            </w:pPr>
            <w:r w:rsidRPr="00D80E11">
              <w:t> </w:t>
            </w:r>
          </w:p>
        </w:tc>
        <w:tc>
          <w:tcPr>
            <w:tcW w:w="940" w:type="dxa"/>
            <w:tcBorders>
              <w:top w:val="single" w:sz="4" w:space="0" w:color="auto"/>
              <w:left w:val="nil"/>
              <w:bottom w:val="single" w:sz="4" w:space="0" w:color="auto"/>
              <w:right w:val="single" w:sz="4" w:space="0" w:color="auto"/>
            </w:tcBorders>
            <w:shd w:val="pct10" w:color="auto" w:fill="auto"/>
            <w:noWrap/>
            <w:vAlign w:val="bottom"/>
          </w:tcPr>
          <w:p w:rsidR="00854221" w:rsidRPr="00D80E11" w:rsidRDefault="00854221" w:rsidP="00854221">
            <w:pPr>
              <w:pStyle w:val="BodyTextHeader"/>
              <w:rPr>
                <w:bCs/>
                <w:lang w:eastAsia="en-GB"/>
              </w:rPr>
            </w:pPr>
            <w:r w:rsidRPr="00D80E11">
              <w:rPr>
                <w:bCs/>
              </w:rPr>
              <w:t>1998-99</w:t>
            </w:r>
          </w:p>
        </w:tc>
        <w:tc>
          <w:tcPr>
            <w:tcW w:w="940" w:type="dxa"/>
            <w:tcBorders>
              <w:top w:val="single" w:sz="4" w:space="0" w:color="auto"/>
              <w:left w:val="nil"/>
              <w:bottom w:val="single" w:sz="4" w:space="0" w:color="auto"/>
              <w:right w:val="single" w:sz="4" w:space="0" w:color="auto"/>
            </w:tcBorders>
            <w:shd w:val="pct10" w:color="auto" w:fill="auto"/>
            <w:noWrap/>
            <w:vAlign w:val="bottom"/>
          </w:tcPr>
          <w:p w:rsidR="00854221" w:rsidRPr="00D80E11" w:rsidRDefault="00854221" w:rsidP="00854221">
            <w:pPr>
              <w:pStyle w:val="BodyTextHeader"/>
              <w:rPr>
                <w:bCs/>
                <w:lang w:eastAsia="en-GB"/>
              </w:rPr>
            </w:pPr>
            <w:r w:rsidRPr="00D80E11">
              <w:rPr>
                <w:bCs/>
              </w:rPr>
              <w:t>1999-00</w:t>
            </w:r>
          </w:p>
        </w:tc>
        <w:tc>
          <w:tcPr>
            <w:tcW w:w="940" w:type="dxa"/>
            <w:tcBorders>
              <w:top w:val="single" w:sz="4" w:space="0" w:color="auto"/>
              <w:left w:val="nil"/>
              <w:bottom w:val="single" w:sz="4" w:space="0" w:color="auto"/>
              <w:right w:val="single" w:sz="4" w:space="0" w:color="auto"/>
            </w:tcBorders>
            <w:shd w:val="pct10" w:color="auto" w:fill="auto"/>
            <w:noWrap/>
            <w:vAlign w:val="bottom"/>
          </w:tcPr>
          <w:p w:rsidR="00854221" w:rsidRPr="00D80E11" w:rsidRDefault="00854221" w:rsidP="00854221">
            <w:pPr>
              <w:pStyle w:val="BodyTextHeader"/>
              <w:rPr>
                <w:bCs/>
                <w:lang w:eastAsia="en-GB"/>
              </w:rPr>
            </w:pPr>
            <w:r w:rsidRPr="00D80E11">
              <w:rPr>
                <w:bCs/>
              </w:rPr>
              <w:t>2000-01</w:t>
            </w:r>
          </w:p>
        </w:tc>
        <w:tc>
          <w:tcPr>
            <w:tcW w:w="940" w:type="dxa"/>
            <w:tcBorders>
              <w:top w:val="single" w:sz="4" w:space="0" w:color="auto"/>
              <w:left w:val="nil"/>
              <w:bottom w:val="single" w:sz="4" w:space="0" w:color="auto"/>
              <w:right w:val="single" w:sz="4" w:space="0" w:color="auto"/>
            </w:tcBorders>
            <w:shd w:val="pct10" w:color="auto" w:fill="auto"/>
            <w:noWrap/>
            <w:vAlign w:val="bottom"/>
          </w:tcPr>
          <w:p w:rsidR="00854221" w:rsidRPr="00D80E11" w:rsidRDefault="00854221" w:rsidP="00854221">
            <w:pPr>
              <w:pStyle w:val="BodyTextHeader"/>
              <w:rPr>
                <w:bCs/>
                <w:lang w:eastAsia="en-GB"/>
              </w:rPr>
            </w:pPr>
            <w:r w:rsidRPr="00D80E11">
              <w:rPr>
                <w:bCs/>
              </w:rPr>
              <w:t>2001-02</w:t>
            </w:r>
          </w:p>
        </w:tc>
        <w:tc>
          <w:tcPr>
            <w:tcW w:w="940" w:type="dxa"/>
            <w:tcBorders>
              <w:top w:val="single" w:sz="4" w:space="0" w:color="auto"/>
              <w:left w:val="nil"/>
              <w:bottom w:val="single" w:sz="4" w:space="0" w:color="auto"/>
              <w:right w:val="single" w:sz="4" w:space="0" w:color="auto"/>
            </w:tcBorders>
            <w:shd w:val="pct10" w:color="auto" w:fill="auto"/>
            <w:noWrap/>
            <w:vAlign w:val="bottom"/>
          </w:tcPr>
          <w:p w:rsidR="00854221" w:rsidRPr="00D80E11" w:rsidRDefault="00854221" w:rsidP="00854221">
            <w:pPr>
              <w:pStyle w:val="BodyTextHeader"/>
              <w:rPr>
                <w:bCs/>
                <w:lang w:eastAsia="en-GB"/>
              </w:rPr>
            </w:pPr>
            <w:r w:rsidRPr="00D80E11">
              <w:rPr>
                <w:bCs/>
              </w:rPr>
              <w:t>2002-03</w:t>
            </w:r>
          </w:p>
        </w:tc>
        <w:tc>
          <w:tcPr>
            <w:tcW w:w="940" w:type="dxa"/>
            <w:tcBorders>
              <w:top w:val="single" w:sz="4" w:space="0" w:color="auto"/>
              <w:left w:val="nil"/>
              <w:bottom w:val="single" w:sz="4" w:space="0" w:color="auto"/>
              <w:right w:val="single" w:sz="4" w:space="0" w:color="auto"/>
            </w:tcBorders>
            <w:shd w:val="pct10" w:color="auto" w:fill="auto"/>
            <w:noWrap/>
            <w:vAlign w:val="bottom"/>
          </w:tcPr>
          <w:p w:rsidR="00854221" w:rsidRPr="00D80E11" w:rsidRDefault="00854221" w:rsidP="00854221">
            <w:pPr>
              <w:pStyle w:val="BodyTextHeader"/>
              <w:rPr>
                <w:bCs/>
                <w:lang w:eastAsia="en-GB"/>
              </w:rPr>
            </w:pPr>
            <w:r w:rsidRPr="00D80E11">
              <w:rPr>
                <w:bCs/>
              </w:rPr>
              <w:t>2003-04</w:t>
            </w:r>
          </w:p>
        </w:tc>
        <w:tc>
          <w:tcPr>
            <w:tcW w:w="940" w:type="dxa"/>
            <w:tcBorders>
              <w:top w:val="single" w:sz="4" w:space="0" w:color="auto"/>
              <w:left w:val="nil"/>
              <w:bottom w:val="single" w:sz="4" w:space="0" w:color="auto"/>
              <w:right w:val="single" w:sz="4" w:space="0" w:color="auto"/>
            </w:tcBorders>
            <w:shd w:val="pct10" w:color="auto" w:fill="auto"/>
            <w:noWrap/>
            <w:vAlign w:val="bottom"/>
          </w:tcPr>
          <w:p w:rsidR="00854221" w:rsidRPr="00D80E11" w:rsidRDefault="00854221" w:rsidP="00854221">
            <w:pPr>
              <w:pStyle w:val="BodyTextHeader"/>
              <w:rPr>
                <w:bCs/>
                <w:lang w:eastAsia="en-GB"/>
              </w:rPr>
            </w:pPr>
            <w:r w:rsidRPr="00D80E11">
              <w:rPr>
                <w:bCs/>
              </w:rPr>
              <w:t>2004-05</w:t>
            </w:r>
          </w:p>
        </w:tc>
        <w:tc>
          <w:tcPr>
            <w:tcW w:w="940" w:type="dxa"/>
            <w:tcBorders>
              <w:top w:val="single" w:sz="4" w:space="0" w:color="auto"/>
              <w:left w:val="nil"/>
              <w:bottom w:val="single" w:sz="4" w:space="0" w:color="auto"/>
              <w:right w:val="single" w:sz="4" w:space="0" w:color="auto"/>
            </w:tcBorders>
            <w:shd w:val="pct10" w:color="auto" w:fill="auto"/>
            <w:noWrap/>
            <w:vAlign w:val="bottom"/>
          </w:tcPr>
          <w:p w:rsidR="00854221" w:rsidRPr="00D80E11" w:rsidRDefault="00854221" w:rsidP="00854221">
            <w:pPr>
              <w:pStyle w:val="BodyTextHeader"/>
              <w:rPr>
                <w:bCs/>
                <w:lang w:eastAsia="en-GB"/>
              </w:rPr>
            </w:pPr>
            <w:r w:rsidRPr="00D80E11">
              <w:rPr>
                <w:bCs/>
              </w:rPr>
              <w:t>2005-06</w:t>
            </w:r>
          </w:p>
        </w:tc>
        <w:tc>
          <w:tcPr>
            <w:tcW w:w="940" w:type="dxa"/>
            <w:tcBorders>
              <w:top w:val="single" w:sz="4" w:space="0" w:color="auto"/>
              <w:left w:val="nil"/>
              <w:bottom w:val="single" w:sz="4" w:space="0" w:color="auto"/>
              <w:right w:val="single" w:sz="4" w:space="0" w:color="auto"/>
            </w:tcBorders>
            <w:shd w:val="pct10" w:color="auto" w:fill="auto"/>
            <w:noWrap/>
            <w:vAlign w:val="bottom"/>
          </w:tcPr>
          <w:p w:rsidR="00854221" w:rsidRPr="00D80E11" w:rsidRDefault="00854221" w:rsidP="00854221">
            <w:pPr>
              <w:pStyle w:val="BodyTextHeader"/>
              <w:rPr>
                <w:bCs/>
                <w:lang w:eastAsia="en-GB"/>
              </w:rPr>
            </w:pPr>
            <w:r w:rsidRPr="00D80E11">
              <w:rPr>
                <w:bCs/>
              </w:rPr>
              <w:t>2006-07</w:t>
            </w:r>
          </w:p>
        </w:tc>
      </w:tr>
      <w:tr w:rsidR="00854221" w:rsidRPr="00D80E11" w:rsidTr="00854221">
        <w:trPr>
          <w:trHeight w:val="293"/>
        </w:trPr>
        <w:tc>
          <w:tcPr>
            <w:tcW w:w="1368" w:type="dxa"/>
            <w:tcBorders>
              <w:top w:val="nil"/>
              <w:left w:val="single" w:sz="4" w:space="0" w:color="auto"/>
              <w:bottom w:val="single" w:sz="4" w:space="0" w:color="auto"/>
              <w:right w:val="single" w:sz="4" w:space="0" w:color="auto"/>
            </w:tcBorders>
            <w:noWrap/>
            <w:vAlign w:val="bottom"/>
          </w:tcPr>
          <w:p w:rsidR="00854221" w:rsidRPr="00D80E11" w:rsidRDefault="00854221" w:rsidP="00854221">
            <w:pPr>
              <w:pStyle w:val="BodyText"/>
              <w:rPr>
                <w:b/>
                <w:bCs/>
                <w:lang w:eastAsia="en-GB"/>
              </w:rPr>
            </w:pPr>
            <w:r w:rsidRPr="00D80E11">
              <w:rPr>
                <w:b/>
                <w:bCs/>
              </w:rPr>
              <w:t>Coal</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45.3</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35.9</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35.3</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39.5</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34.0</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35.2</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44.0</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48.9</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48.8</w:t>
            </w:r>
          </w:p>
        </w:tc>
      </w:tr>
      <w:tr w:rsidR="00854221" w:rsidRPr="00D80E11" w:rsidTr="00854221">
        <w:trPr>
          <w:trHeight w:val="293"/>
        </w:trPr>
        <w:tc>
          <w:tcPr>
            <w:tcW w:w="1368" w:type="dxa"/>
            <w:tcBorders>
              <w:top w:val="nil"/>
              <w:left w:val="single" w:sz="4" w:space="0" w:color="auto"/>
              <w:bottom w:val="single" w:sz="4" w:space="0" w:color="auto"/>
              <w:right w:val="single" w:sz="4" w:space="0" w:color="auto"/>
            </w:tcBorders>
            <w:noWrap/>
            <w:vAlign w:val="bottom"/>
          </w:tcPr>
          <w:p w:rsidR="00854221" w:rsidRPr="00D80E11" w:rsidRDefault="00854221" w:rsidP="00854221">
            <w:pPr>
              <w:pStyle w:val="BodyText"/>
              <w:rPr>
                <w:b/>
                <w:bCs/>
                <w:lang w:eastAsia="en-GB"/>
              </w:rPr>
            </w:pPr>
            <w:r w:rsidRPr="00D80E11">
              <w:rPr>
                <w:b/>
                <w:bCs/>
              </w:rPr>
              <w:t>Other traffic</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56.8</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60.6</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60.3</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54.5</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53.0</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53.7</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57.1</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58.7</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59.6</w:t>
            </w:r>
          </w:p>
        </w:tc>
      </w:tr>
      <w:tr w:rsidR="00854221" w:rsidRPr="00D80E11" w:rsidTr="00854221">
        <w:trPr>
          <w:trHeight w:val="293"/>
        </w:trPr>
        <w:tc>
          <w:tcPr>
            <w:tcW w:w="1368" w:type="dxa"/>
            <w:tcBorders>
              <w:top w:val="nil"/>
              <w:left w:val="single" w:sz="4" w:space="0" w:color="auto"/>
              <w:bottom w:val="single" w:sz="4" w:space="0" w:color="auto"/>
              <w:right w:val="single" w:sz="4" w:space="0" w:color="auto"/>
            </w:tcBorders>
            <w:noWrap/>
            <w:vAlign w:val="bottom"/>
          </w:tcPr>
          <w:p w:rsidR="00854221" w:rsidRPr="00D80E11" w:rsidRDefault="00854221" w:rsidP="00854221">
            <w:pPr>
              <w:pStyle w:val="BodyText"/>
              <w:rPr>
                <w:b/>
                <w:bCs/>
                <w:lang w:eastAsia="en-GB"/>
              </w:rPr>
            </w:pPr>
            <w:r w:rsidRPr="00D80E11">
              <w:rPr>
                <w:b/>
                <w:bCs/>
              </w:rPr>
              <w:t>All traffic</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102.1</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96.5</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95.6</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93.9</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87.0</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88.9</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101.1</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107.6</w:t>
            </w:r>
          </w:p>
        </w:tc>
        <w:tc>
          <w:tcPr>
            <w:tcW w:w="940" w:type="dxa"/>
            <w:tcBorders>
              <w:top w:val="nil"/>
              <w:left w:val="nil"/>
              <w:bottom w:val="single" w:sz="4" w:space="0" w:color="auto"/>
              <w:right w:val="single" w:sz="4" w:space="0" w:color="auto"/>
            </w:tcBorders>
            <w:noWrap/>
            <w:vAlign w:val="bottom"/>
          </w:tcPr>
          <w:p w:rsidR="00854221" w:rsidRPr="00D80E11" w:rsidRDefault="00854221" w:rsidP="00854221">
            <w:pPr>
              <w:pStyle w:val="BodyText"/>
              <w:rPr>
                <w:bCs/>
                <w:lang w:eastAsia="en-GB"/>
              </w:rPr>
            </w:pPr>
            <w:r w:rsidRPr="00D80E11">
              <w:rPr>
                <w:bCs/>
              </w:rPr>
              <w:t>108.4</w:t>
            </w:r>
          </w:p>
        </w:tc>
      </w:tr>
    </w:tbl>
    <w:p w:rsidR="00854221" w:rsidRPr="0085116A" w:rsidRDefault="00854221" w:rsidP="00854221">
      <w:pPr>
        <w:pStyle w:val="Source"/>
      </w:pPr>
      <w:r w:rsidRPr="0085116A">
        <w:t>Source: Transport Statistics Great Britain 2007</w:t>
      </w:r>
    </w:p>
    <w:p w:rsidR="00854221" w:rsidRPr="00D80E11" w:rsidRDefault="00854221" w:rsidP="00854221">
      <w:pPr>
        <w:rPr>
          <w:rFonts w:cs="Arial"/>
        </w:rPr>
      </w:pPr>
    </w:p>
    <w:p w:rsidR="00854221" w:rsidRPr="00D80E11" w:rsidRDefault="00854221" w:rsidP="00854221">
      <w:pPr>
        <w:rPr>
          <w:rFonts w:cs="Arial"/>
        </w:rPr>
      </w:pPr>
      <w:r w:rsidRPr="00D80E11">
        <w:rPr>
          <w:rFonts w:cs="Arial"/>
        </w:rPr>
        <w:t>Thus, whilst charges were essentially halved in 2001, growth in rail freight demand is not proceeding in line with the 80% government target (as the CFIT projec</w:t>
      </w:r>
      <w:r w:rsidR="008E40C1">
        <w:rPr>
          <w:rFonts w:cs="Arial"/>
        </w:rPr>
        <w:t>tions estimated that it would).</w:t>
      </w:r>
      <w:r w:rsidRPr="00D80E11">
        <w:rPr>
          <w:rFonts w:cs="Arial"/>
        </w:rPr>
        <w:t xml:space="preserve"> Having grown by an impressive 4.8 billion tonne-kilometres between 1998-99 and 2006-07, it would have to grow by a further 9 billion tonne-kilometres over the next 3 years in</w:t>
      </w:r>
      <w:r w:rsidR="008E40C1">
        <w:rPr>
          <w:rFonts w:cs="Arial"/>
        </w:rPr>
        <w:t xml:space="preserve"> order to achieve this target. </w:t>
      </w:r>
      <w:r w:rsidRPr="00D80E11">
        <w:rPr>
          <w:rFonts w:cs="Arial"/>
        </w:rPr>
        <w:t>This then begs the question of how the assumptions of the CFIT ‘Central scenario’ compare with what has actually occurred since 2001</w:t>
      </w:r>
      <w:r w:rsidR="008E40C1">
        <w:rPr>
          <w:rFonts w:cs="Arial"/>
        </w:rPr>
        <w:t>.</w:t>
      </w:r>
      <w:r w:rsidRPr="00D80E11">
        <w:rPr>
          <w:rFonts w:cs="Arial"/>
        </w:rPr>
        <w:t xml:space="preserve"> Certainly a number of unforeseen events have taken place over the period, including the closure of a major steel works (reducing demand for both coal and st</w:t>
      </w:r>
      <w:r>
        <w:rPr>
          <w:rFonts w:cs="Arial"/>
        </w:rPr>
        <w:t xml:space="preserve">eel traffic), the switching of </w:t>
      </w:r>
      <w:r w:rsidRPr="00D80E11">
        <w:rPr>
          <w:rFonts w:cs="Arial"/>
        </w:rPr>
        <w:t>postal services from rail to road and the essential  break down of the Strategic Rail</w:t>
      </w:r>
      <w:r w:rsidR="008E40C1">
        <w:rPr>
          <w:rFonts w:cs="Arial"/>
        </w:rPr>
        <w:t xml:space="preserve"> Authority’s freight strategy. </w:t>
      </w:r>
      <w:r w:rsidRPr="00D80E11">
        <w:rPr>
          <w:rFonts w:cs="Arial"/>
        </w:rPr>
        <w:t>However, it is tempting to conclude that perhaps the CFIT work over-stated the importance of the role of infrastructure charges in stimulating rail freight demand.</w:t>
      </w:r>
    </w:p>
    <w:p w:rsidR="00854221" w:rsidRPr="00D80E11" w:rsidRDefault="00854221" w:rsidP="00854221">
      <w:pPr>
        <w:rPr>
          <w:rFonts w:cs="Arial"/>
        </w:rPr>
      </w:pPr>
    </w:p>
    <w:p w:rsidR="00854221" w:rsidRPr="00D80E11" w:rsidRDefault="00854221" w:rsidP="00854221">
      <w:pPr>
        <w:rPr>
          <w:rFonts w:cs="Arial"/>
        </w:rPr>
      </w:pPr>
      <w:r w:rsidRPr="00D80E11">
        <w:rPr>
          <w:rFonts w:cs="Arial"/>
        </w:rPr>
        <w:t>Nevertheless, there has been considerable growth in rail freight over recent years and infrastructure charges are likely to be partly responsible for this.  Indeed, commentators have tended to site six factors as explaining the growth since 1995, as follows:</w:t>
      </w:r>
    </w:p>
    <w:p w:rsidR="00854221" w:rsidRPr="00D80E11" w:rsidRDefault="00854221" w:rsidP="00854221">
      <w:pPr>
        <w:pStyle w:val="BulletPoint"/>
        <w:numPr>
          <w:numberingChange w:id="21" w:author="USER" w:date="2009-10-24T23:18:00Z" w:original=""/>
        </w:numPr>
      </w:pPr>
      <w:r w:rsidRPr="00D80E11">
        <w:t>Increased road congestion;</w:t>
      </w:r>
    </w:p>
    <w:p w:rsidR="00854221" w:rsidRPr="00D80E11" w:rsidRDefault="00854221" w:rsidP="00854221">
      <w:pPr>
        <w:pStyle w:val="BulletPoint"/>
        <w:numPr>
          <w:numberingChange w:id="22" w:author="USER" w:date="2009-10-24T23:18:00Z" w:original=""/>
        </w:numPr>
      </w:pPr>
      <w:r w:rsidRPr="00D80E11">
        <w:t>Increased costs for road freight arising out of the fuel duty escalator and, more recently, the Working Time directive;</w:t>
      </w:r>
    </w:p>
    <w:p w:rsidR="00854221" w:rsidRPr="00D80E11" w:rsidRDefault="00854221" w:rsidP="00854221">
      <w:pPr>
        <w:pStyle w:val="BulletPoint"/>
        <w:numPr>
          <w:numberingChange w:id="23" w:author="USER" w:date="2009-10-24T23:18:00Z" w:original=""/>
        </w:numPr>
      </w:pPr>
      <w:r w:rsidRPr="00D80E11">
        <w:t>An increase in coal imports;</w:t>
      </w:r>
    </w:p>
    <w:p w:rsidR="00854221" w:rsidRPr="00D80E11" w:rsidRDefault="00854221" w:rsidP="00854221">
      <w:pPr>
        <w:pStyle w:val="BulletPoint"/>
        <w:numPr>
          <w:numberingChange w:id="24" w:author="USER" w:date="2009-10-24T23:18:00Z" w:original=""/>
        </w:numPr>
      </w:pPr>
      <w:r w:rsidRPr="00D80E11">
        <w:t>Improved quality of service for rail freight;</w:t>
      </w:r>
    </w:p>
    <w:p w:rsidR="00854221" w:rsidRPr="00D80E11" w:rsidRDefault="00854221" w:rsidP="00854221">
      <w:pPr>
        <w:pStyle w:val="BulletPoint"/>
        <w:numPr>
          <w:numberingChange w:id="25" w:author="USER" w:date="2009-10-24T23:18:00Z" w:original=""/>
        </w:numPr>
      </w:pPr>
      <w:r w:rsidRPr="00D80E11">
        <w:lastRenderedPageBreak/>
        <w:t>Investment in rail freight facilities;</w:t>
      </w:r>
    </w:p>
    <w:p w:rsidR="00854221" w:rsidRPr="00D80E11" w:rsidRDefault="00854221" w:rsidP="00854221">
      <w:pPr>
        <w:pStyle w:val="BulletPoint"/>
        <w:numPr>
          <w:numberingChange w:id="26" w:author="USER" w:date="2009-10-24T23:18:00Z" w:original=""/>
        </w:numPr>
        <w:rPr>
          <w:i/>
        </w:rPr>
      </w:pPr>
      <w:r w:rsidRPr="00D80E11">
        <w:t>Infrastructure charge changes</w:t>
      </w:r>
      <w:r w:rsidRPr="00D80E11">
        <w:rPr>
          <w:i/>
        </w:rPr>
        <w:t>.</w:t>
      </w:r>
    </w:p>
    <w:p w:rsidR="00854221" w:rsidRPr="00D80E11" w:rsidRDefault="00854221" w:rsidP="00854221">
      <w:pPr>
        <w:rPr>
          <w:rFonts w:cs="Arial"/>
        </w:rPr>
      </w:pPr>
    </w:p>
    <w:p w:rsidR="00854221" w:rsidRPr="00D80E11" w:rsidRDefault="00854221" w:rsidP="00854221">
      <w:pPr>
        <w:rPr>
          <w:rFonts w:cs="Arial"/>
        </w:rPr>
      </w:pPr>
      <w:r w:rsidRPr="00D80E11">
        <w:rPr>
          <w:rFonts w:cs="Arial"/>
        </w:rPr>
        <w:t xml:space="preserve">In terms of the types of commodities transported, there has been </w:t>
      </w:r>
      <w:r w:rsidR="008E40C1">
        <w:rPr>
          <w:rFonts w:cs="Arial"/>
        </w:rPr>
        <w:t xml:space="preserve">strong growth in some sectors. </w:t>
      </w:r>
      <w:r w:rsidRPr="00D80E11">
        <w:rPr>
          <w:rFonts w:cs="Arial"/>
        </w:rPr>
        <w:t>This has been most notable in relation to coal, which rail is inheren</w:t>
      </w:r>
      <w:r w:rsidR="008E40C1">
        <w:rPr>
          <w:rFonts w:cs="Arial"/>
        </w:rPr>
        <w:t xml:space="preserve">tly better-suited to carrying. </w:t>
      </w:r>
      <w:r w:rsidRPr="00D80E11">
        <w:rPr>
          <w:rFonts w:cs="Arial"/>
        </w:rPr>
        <w:t>The movement of coal and coke currently dominates rail freight, and 87% of coal and coke were carried by rail in 200</w:t>
      </w:r>
      <w:r w:rsidR="008E40C1">
        <w:rPr>
          <w:rFonts w:cs="Arial"/>
        </w:rPr>
        <w:t>6 (MDS GB Freight report 2006).</w:t>
      </w:r>
      <w:r w:rsidRPr="00D80E11">
        <w:rPr>
          <w:rFonts w:cs="Arial"/>
        </w:rPr>
        <w:t xml:space="preserve"> However, it is thought that, for coal, transport accounts for only approximately 5% of the price of delivered coal, so the market is thought to be relatively insensitive to chan</w:t>
      </w:r>
      <w:r w:rsidR="008E40C1">
        <w:rPr>
          <w:rFonts w:cs="Arial"/>
        </w:rPr>
        <w:t xml:space="preserve">ges in the costs of transport. </w:t>
      </w:r>
      <w:r w:rsidRPr="00D80E11">
        <w:rPr>
          <w:rFonts w:cs="Arial"/>
        </w:rPr>
        <w:t>Hence, the actual growth in coal tonnes lifted was probably not related to the regime of infrastructure charges, but more concerned with changes in the detail o</w:t>
      </w:r>
      <w:r w:rsidR="008E40C1">
        <w:rPr>
          <w:rFonts w:cs="Arial"/>
        </w:rPr>
        <w:t xml:space="preserve">f the power-generation market. </w:t>
      </w:r>
      <w:r w:rsidRPr="00D80E11">
        <w:rPr>
          <w:rFonts w:cs="Arial"/>
        </w:rPr>
        <w:t>The charge reductions may have enabled length of haul for coal and other traffic to increas</w:t>
      </w:r>
      <w:r w:rsidR="008E40C1">
        <w:rPr>
          <w:rFonts w:cs="Arial"/>
        </w:rPr>
        <w:t>e at relatively little expense.</w:t>
      </w:r>
      <w:r w:rsidRPr="00D80E11">
        <w:rPr>
          <w:rFonts w:cs="Arial"/>
        </w:rPr>
        <w:t xml:space="preserve"> </w:t>
      </w:r>
      <w:proofErr w:type="gramStart"/>
      <w:r w:rsidRPr="00D80E11">
        <w:rPr>
          <w:rFonts w:cs="Arial"/>
        </w:rPr>
        <w:t>Length of hau</w:t>
      </w:r>
      <w:r w:rsidR="008E40C1">
        <w:rPr>
          <w:rFonts w:cs="Arial"/>
        </w:rPr>
        <w:t>l for coal traffic, for example,</w:t>
      </w:r>
      <w:r w:rsidRPr="00D80E11">
        <w:rPr>
          <w:rFonts w:cs="Arial"/>
        </w:rPr>
        <w:t xml:space="preserve"> increased by 1</w:t>
      </w:r>
      <w:r w:rsidR="008E40C1">
        <w:rPr>
          <w:rFonts w:cs="Arial"/>
        </w:rPr>
        <w:t>5% between 2001-02 and 2006-07.</w:t>
      </w:r>
      <w:proofErr w:type="gramEnd"/>
      <w:r w:rsidRPr="00D80E11">
        <w:rPr>
          <w:rFonts w:cs="Arial"/>
        </w:rPr>
        <w:t xml:space="preserve"> However, on inspection, this seems to simply be the continuation of a tren</w:t>
      </w:r>
      <w:r w:rsidR="008E40C1">
        <w:rPr>
          <w:rFonts w:cs="Arial"/>
        </w:rPr>
        <w:t>d that commenced prior to 2001.</w:t>
      </w:r>
      <w:r w:rsidRPr="00D80E11">
        <w:rPr>
          <w:rFonts w:cs="Arial"/>
        </w:rPr>
        <w:t xml:space="preserve"> The average length of haul was 120kms in 1980 and had risen to 206kms by 2004 (MDS GB Freight report 2006).</w:t>
      </w:r>
    </w:p>
    <w:p w:rsidR="00854221" w:rsidRPr="00D80E11" w:rsidRDefault="00854221" w:rsidP="00854221">
      <w:pPr>
        <w:rPr>
          <w:rFonts w:cs="Arial"/>
        </w:rPr>
      </w:pPr>
    </w:p>
    <w:p w:rsidR="00854221" w:rsidRPr="00D80E11" w:rsidRDefault="00854221" w:rsidP="00854221">
      <w:pPr>
        <w:rPr>
          <w:rFonts w:cs="Arial"/>
        </w:rPr>
      </w:pPr>
      <w:r w:rsidRPr="00D80E11">
        <w:rPr>
          <w:rFonts w:cs="Arial"/>
        </w:rPr>
        <w:t xml:space="preserve">There has also been quite strong </w:t>
      </w:r>
      <w:r w:rsidR="008E40C1">
        <w:rPr>
          <w:rFonts w:cs="Arial"/>
        </w:rPr>
        <w:t>growth in construction traffic.</w:t>
      </w:r>
      <w:r w:rsidRPr="00D80E11">
        <w:rPr>
          <w:rFonts w:cs="Arial"/>
        </w:rPr>
        <w:t xml:space="preserve"> In contrast to coal, the construction market is thought to be very price sensitive, with transport accounting for as much as 50% of the</w:t>
      </w:r>
      <w:r w:rsidR="008E40C1">
        <w:rPr>
          <w:rFonts w:cs="Arial"/>
        </w:rPr>
        <w:t xml:space="preserve"> price of delivered materials. </w:t>
      </w:r>
      <w:r w:rsidRPr="00D80E11">
        <w:rPr>
          <w:rFonts w:cs="Arial"/>
        </w:rPr>
        <w:t xml:space="preserve">Hence, it is likely that charge reductions would stimulate </w:t>
      </w:r>
      <w:r w:rsidR="008E40C1">
        <w:rPr>
          <w:rFonts w:cs="Arial"/>
        </w:rPr>
        <w:t>growth in construction traffic.</w:t>
      </w:r>
      <w:r w:rsidRPr="00D80E11">
        <w:rPr>
          <w:rFonts w:cs="Arial"/>
        </w:rPr>
        <w:t xml:space="preserve"> However, construction traffic since 2001 has fallen, then risen and, most recently, fallen again to a point sl</w:t>
      </w:r>
      <w:r w:rsidR="008E40C1">
        <w:rPr>
          <w:rFonts w:cs="Arial"/>
        </w:rPr>
        <w:t>ightly lower than that in 2001.</w:t>
      </w:r>
      <w:r w:rsidRPr="00D80E11">
        <w:rPr>
          <w:rFonts w:cs="Arial"/>
        </w:rPr>
        <w:t xml:space="preserve"> It must be concluded that </w:t>
      </w:r>
      <w:bookmarkStart w:id="27" w:name="OLE_LINK7"/>
      <w:bookmarkStart w:id="28" w:name="OLE_LINK8"/>
      <w:r w:rsidRPr="00D80E11">
        <w:rPr>
          <w:rFonts w:cs="Arial"/>
        </w:rPr>
        <w:t>if c</w:t>
      </w:r>
      <w:r w:rsidR="0034188C">
        <w:rPr>
          <w:rFonts w:cs="Arial"/>
        </w:rPr>
        <w:t>ha</w:t>
      </w:r>
      <w:r w:rsidRPr="00D80E11">
        <w:rPr>
          <w:rFonts w:cs="Arial"/>
        </w:rPr>
        <w:t xml:space="preserve">rges are </w:t>
      </w:r>
      <w:bookmarkEnd w:id="27"/>
      <w:bookmarkEnd w:id="28"/>
      <w:r w:rsidRPr="00D80E11">
        <w:rPr>
          <w:rFonts w:cs="Arial"/>
        </w:rPr>
        <w:t>having an impact on this market, some other factor is clearly having an offsetting impact.</w:t>
      </w:r>
    </w:p>
    <w:p w:rsidR="00854221" w:rsidRPr="00D80E11" w:rsidRDefault="00854221" w:rsidP="00854221">
      <w:pPr>
        <w:rPr>
          <w:rFonts w:cs="Arial"/>
        </w:rPr>
      </w:pPr>
    </w:p>
    <w:p w:rsidR="00854221" w:rsidRPr="00D80E11" w:rsidRDefault="00854221" w:rsidP="00854221">
      <w:pPr>
        <w:rPr>
          <w:rFonts w:cs="Arial"/>
        </w:rPr>
      </w:pPr>
      <w:r w:rsidRPr="00D80E11">
        <w:rPr>
          <w:rFonts w:cs="Arial"/>
        </w:rPr>
        <w:t>Rail freight growth actually started in 1995, and we do not observe a major change in the trend around the time of the reductions in infrastruct</w:t>
      </w:r>
      <w:r w:rsidR="008E40C1">
        <w:rPr>
          <w:rFonts w:cs="Arial"/>
        </w:rPr>
        <w:t>ure charges introduced in 2001.</w:t>
      </w:r>
      <w:r w:rsidRPr="00D80E11">
        <w:rPr>
          <w:rFonts w:cs="Arial"/>
        </w:rPr>
        <w:t xml:space="preserve"> Prior to 2001, the structure of charges was such that there was a large fixed charge which, once paid, provided an incentive </w:t>
      </w:r>
      <w:r w:rsidR="008E40C1">
        <w:rPr>
          <w:rFonts w:cs="Arial"/>
        </w:rPr>
        <w:t>to operate as much as possible.</w:t>
      </w:r>
      <w:r w:rsidRPr="00D80E11">
        <w:rPr>
          <w:rFonts w:cs="Arial"/>
        </w:rPr>
        <w:t xml:space="preserve"> Post 2001 the structure no longer provided this incentive but it did allow for increased competitiveness, but the level was such that it enabled the rail freight market to remain buoyan</w:t>
      </w:r>
      <w:r w:rsidR="008E40C1">
        <w:rPr>
          <w:rFonts w:cs="Arial"/>
        </w:rPr>
        <w:t>t.</w:t>
      </w:r>
      <w:r w:rsidRPr="00D80E11">
        <w:rPr>
          <w:rFonts w:cs="Arial"/>
        </w:rPr>
        <w:t xml:space="preserve"> It is thought that, initially, charge-reductions were only passed on to clients in a limited way – so part of the reduction was enjoyed by th</w:t>
      </w:r>
      <w:r w:rsidR="008E40C1">
        <w:rPr>
          <w:rFonts w:cs="Arial"/>
        </w:rPr>
        <w:t xml:space="preserve">e operators as windfall gains. </w:t>
      </w:r>
      <w:r w:rsidRPr="00D80E11">
        <w:rPr>
          <w:rFonts w:cs="Arial"/>
        </w:rPr>
        <w:t xml:space="preserve">Then, once contracts with clients were renegotiated, the reduction in charges were past on as reductions in charges to clients.  Furthermore, differentiation by vehicle-type is </w:t>
      </w:r>
      <w:bookmarkStart w:id="29" w:name="OLE_LINK9"/>
      <w:bookmarkStart w:id="30" w:name="OLE_LINK10"/>
      <w:r w:rsidRPr="00D80E11">
        <w:rPr>
          <w:rFonts w:cs="Arial"/>
        </w:rPr>
        <w:t xml:space="preserve">thought to have focused </w:t>
      </w:r>
      <w:bookmarkEnd w:id="29"/>
      <w:bookmarkEnd w:id="30"/>
      <w:r w:rsidRPr="00D80E11">
        <w:rPr>
          <w:rFonts w:cs="Arial"/>
        </w:rPr>
        <w:t>the industry on track-friendly bogies.</w:t>
      </w:r>
    </w:p>
    <w:p w:rsidR="00854221" w:rsidRPr="00D80E11" w:rsidRDefault="00854221" w:rsidP="00854221">
      <w:pPr>
        <w:rPr>
          <w:rFonts w:cs="Arial"/>
        </w:rPr>
      </w:pPr>
      <w:r w:rsidRPr="00D80E11">
        <w:rPr>
          <w:rFonts w:cs="Arial"/>
        </w:rPr>
        <w:t xml:space="preserve"> </w:t>
      </w:r>
    </w:p>
    <w:p w:rsidR="00854221" w:rsidRPr="00D80E11" w:rsidRDefault="00854221" w:rsidP="00854221">
      <w:pPr>
        <w:rPr>
          <w:rFonts w:cs="Arial"/>
        </w:rPr>
      </w:pPr>
      <w:r w:rsidRPr="00D80E11">
        <w:rPr>
          <w:rFonts w:cs="Arial"/>
        </w:rPr>
        <w:t>As the rail freight industry has become more competitive and cost-conscious, it is rational that operators will pay more attention to what they are being charged fo</w:t>
      </w:r>
      <w:r w:rsidR="008E40C1">
        <w:rPr>
          <w:rFonts w:cs="Arial"/>
        </w:rPr>
        <w:t>r access to the infrastructure.</w:t>
      </w:r>
      <w:r w:rsidRPr="00D80E11">
        <w:rPr>
          <w:rFonts w:cs="Arial"/>
        </w:rPr>
        <w:t xml:space="preserve"> It is suggested that this will have alerted operators to possible argum</w:t>
      </w:r>
      <w:r w:rsidR="008E40C1">
        <w:rPr>
          <w:rFonts w:cs="Arial"/>
        </w:rPr>
        <w:t xml:space="preserve">ents for reduction of charges. </w:t>
      </w:r>
      <w:r w:rsidRPr="00D80E11">
        <w:rPr>
          <w:rFonts w:cs="Arial"/>
        </w:rPr>
        <w:t xml:space="preserve">Such arguments may have an effect on the overall charge level, as the rail freight industry has a strong incentive to make robust representations to </w:t>
      </w:r>
      <w:r w:rsidR="008E40C1">
        <w:rPr>
          <w:rFonts w:cs="Arial"/>
        </w:rPr>
        <w:t>the charge-setting authorities.</w:t>
      </w:r>
      <w:r w:rsidRPr="00D80E11">
        <w:rPr>
          <w:rFonts w:cs="Arial"/>
        </w:rPr>
        <w:t xml:space="preserve"> They might also relate to incentives for operators to reduce impact of rail freight on the network, e</w:t>
      </w:r>
      <w:r>
        <w:rPr>
          <w:rFonts w:cs="Arial"/>
        </w:rPr>
        <w:t>.</w:t>
      </w:r>
      <w:r w:rsidRPr="00D80E11">
        <w:rPr>
          <w:rFonts w:cs="Arial"/>
        </w:rPr>
        <w:t>g</w:t>
      </w:r>
      <w:r>
        <w:rPr>
          <w:rFonts w:cs="Arial"/>
        </w:rPr>
        <w:t>.</w:t>
      </w:r>
      <w:r w:rsidRPr="00D80E11">
        <w:rPr>
          <w:rFonts w:cs="Arial"/>
        </w:rPr>
        <w:t xml:space="preserve"> by operating less-damaging rolling stock, by requiring fewer slots to operate a particular service etc.  </w:t>
      </w:r>
    </w:p>
    <w:p w:rsidR="00854221" w:rsidRPr="00D80E11" w:rsidRDefault="00854221" w:rsidP="00854221">
      <w:pPr>
        <w:rPr>
          <w:rFonts w:cs="Arial"/>
        </w:rPr>
      </w:pPr>
    </w:p>
    <w:p w:rsidR="00854221" w:rsidRPr="00283E01" w:rsidRDefault="00EC3B90" w:rsidP="003D2FE7">
      <w:pPr>
        <w:pStyle w:val="Heading2"/>
        <w:numPr>
          <w:ilvl w:val="0"/>
          <w:numId w:val="0"/>
        </w:numPr>
        <w:ind w:left="851" w:hanging="851"/>
        <w:rPr>
          <w:rFonts w:ascii="Arial" w:hAnsi="Arial" w:cs="Arial"/>
          <w:smallCaps w:val="0"/>
          <w:color w:val="auto"/>
          <w:sz w:val="20"/>
          <w:szCs w:val="20"/>
        </w:rPr>
      </w:pPr>
      <w:bookmarkStart w:id="31" w:name="_Toc207526684"/>
      <w:r w:rsidRPr="00283E01">
        <w:rPr>
          <w:rFonts w:ascii="Arial" w:hAnsi="Arial" w:cs="Arial"/>
          <w:smallCaps w:val="0"/>
          <w:color w:val="auto"/>
          <w:sz w:val="20"/>
          <w:szCs w:val="20"/>
        </w:rPr>
        <w:t>4.2</w:t>
      </w:r>
      <w:r w:rsidR="003D2FE7" w:rsidRPr="00283E01">
        <w:rPr>
          <w:rFonts w:ascii="Arial" w:hAnsi="Arial" w:cs="Arial"/>
          <w:smallCaps w:val="0"/>
          <w:color w:val="auto"/>
          <w:sz w:val="20"/>
          <w:szCs w:val="20"/>
        </w:rPr>
        <w:t xml:space="preserve"> </w:t>
      </w:r>
      <w:r w:rsidR="00854221" w:rsidRPr="00283E01">
        <w:rPr>
          <w:rFonts w:ascii="Arial" w:hAnsi="Arial" w:cs="Arial"/>
          <w:smallCaps w:val="0"/>
          <w:color w:val="auto"/>
          <w:sz w:val="20"/>
          <w:szCs w:val="20"/>
        </w:rPr>
        <w:t>Observations of Reactions in the French Freight Market</w:t>
      </w:r>
      <w:bookmarkEnd w:id="31"/>
    </w:p>
    <w:p w:rsidR="00854221" w:rsidRPr="00D80E11" w:rsidRDefault="00854221" w:rsidP="00854221">
      <w:r w:rsidRPr="00D80E11">
        <w:rPr>
          <w:rFonts w:cs="Arial"/>
        </w:rPr>
        <w:t xml:space="preserve">Infrastructure charges in </w:t>
      </w:r>
      <w:smartTag w:uri="urn:schemas-microsoft-com:office:smarttags" w:element="place">
        <w:smartTag w:uri="urn:schemas-microsoft-com:office:smarttags" w:element="country-region">
          <w:r w:rsidRPr="00D80E11">
            <w:rPr>
              <w:rFonts w:cs="Arial"/>
            </w:rPr>
            <w:t>France</w:t>
          </w:r>
        </w:smartTag>
      </w:smartTag>
      <w:r w:rsidRPr="00D80E11">
        <w:rPr>
          <w:rFonts w:cs="Arial"/>
        </w:rPr>
        <w:t xml:space="preserve"> were first implemented in 1997, at which time the French infrastructure manager, </w:t>
      </w:r>
      <w:proofErr w:type="spellStart"/>
      <w:r w:rsidRPr="00D80E11">
        <w:rPr>
          <w:rFonts w:cs="Arial"/>
        </w:rPr>
        <w:t>Réseau</w:t>
      </w:r>
      <w:proofErr w:type="spellEnd"/>
      <w:r w:rsidRPr="00D80E11">
        <w:rPr>
          <w:rFonts w:cs="Arial"/>
        </w:rPr>
        <w:t xml:space="preserve"> </w:t>
      </w:r>
      <w:proofErr w:type="spellStart"/>
      <w:r w:rsidRPr="00D80E11">
        <w:rPr>
          <w:rFonts w:cs="Arial"/>
        </w:rPr>
        <w:t>Ferré</w:t>
      </w:r>
      <w:proofErr w:type="spellEnd"/>
      <w:r w:rsidRPr="00D80E11">
        <w:rPr>
          <w:rFonts w:cs="Arial"/>
        </w:rPr>
        <w:t xml:space="preserve"> de France (RFF), had just been set up. </w:t>
      </w:r>
      <w:r w:rsidRPr="00D80E11">
        <w:t xml:space="preserve">The network was divided into track categories and the charging components were established as follows: </w:t>
      </w:r>
    </w:p>
    <w:p w:rsidR="00854221" w:rsidRPr="00D80E11" w:rsidRDefault="00854221" w:rsidP="00854221">
      <w:pPr>
        <w:pStyle w:val="BulletPoint"/>
        <w:numPr>
          <w:numberingChange w:id="32" w:author="USER" w:date="2009-10-24T23:18:00Z" w:original=""/>
        </w:numPr>
      </w:pPr>
      <w:r w:rsidRPr="00D80E11">
        <w:t xml:space="preserve">DA - a fixed access right; </w:t>
      </w:r>
    </w:p>
    <w:p w:rsidR="00854221" w:rsidRPr="00D80E11" w:rsidRDefault="00854221" w:rsidP="00854221">
      <w:pPr>
        <w:pStyle w:val="BulletPoint"/>
        <w:numPr>
          <w:numberingChange w:id="33" w:author="USER" w:date="2009-10-24T23:18:00Z" w:original=""/>
        </w:numPr>
      </w:pPr>
      <w:r w:rsidRPr="00D80E11">
        <w:t xml:space="preserve">DR - a path reservation fee; </w:t>
      </w:r>
    </w:p>
    <w:p w:rsidR="00854221" w:rsidRPr="00D80E11" w:rsidRDefault="00854221" w:rsidP="00854221">
      <w:pPr>
        <w:pStyle w:val="BulletPoint"/>
        <w:numPr>
          <w:numberingChange w:id="34" w:author="USER" w:date="2009-10-24T23:18:00Z" w:original=""/>
        </w:numPr>
      </w:pPr>
      <w:r w:rsidRPr="00D80E11">
        <w:t xml:space="preserve">DC - a charge for train circulation; and </w:t>
      </w:r>
    </w:p>
    <w:p w:rsidR="00854221" w:rsidRPr="00D80E11" w:rsidRDefault="00854221" w:rsidP="00854221">
      <w:pPr>
        <w:pStyle w:val="BulletPoint"/>
        <w:numPr>
          <w:numberingChange w:id="35" w:author="USER" w:date="2009-10-24T23:18:00Z" w:original=""/>
        </w:numPr>
        <w:rPr>
          <w:rFonts w:cs="Arial"/>
        </w:rPr>
      </w:pPr>
      <w:r>
        <w:t>A</w:t>
      </w:r>
      <w:r w:rsidRPr="00D80E11">
        <w:t>dditional charges, such as for the use of electrical supply equipment and access to marshalling yards.</w:t>
      </w:r>
    </w:p>
    <w:p w:rsidR="00854221" w:rsidRPr="00D80E11" w:rsidRDefault="00854221" w:rsidP="00854221">
      <w:pPr>
        <w:rPr>
          <w:rFonts w:cs="Arial"/>
        </w:rPr>
      </w:pPr>
    </w:p>
    <w:p w:rsidR="00854221" w:rsidRPr="00D80E11" w:rsidRDefault="00854221" w:rsidP="00854221">
      <w:pPr>
        <w:rPr>
          <w:rFonts w:eastAsia="Times New Roman" w:cs="Arial"/>
          <w:lang w:eastAsia="ar-SA"/>
        </w:rPr>
      </w:pPr>
      <w:r w:rsidRPr="00D80E11">
        <w:rPr>
          <w:rFonts w:cs="Arial"/>
        </w:rPr>
        <w:t xml:space="preserve">RFF was not then able to make a precise bill to SNCF, the only rail operator on the French network up to 2005, so the charging regime comprised a global package based on traffic, up to 2002. Hence, no freight or passenger trains had any marginal infrastructure charge to pay until 2002. </w:t>
      </w:r>
      <w:r w:rsidRPr="00D80E11">
        <w:rPr>
          <w:rFonts w:eastAsia="Times New Roman" w:cs="Arial"/>
          <w:lang w:eastAsia="ar-SA"/>
        </w:rPr>
        <w:t>Therefore, whereas the evolution of the total charges paid may be observed from 1997, the evolutions of unit price levels have to be made on the basis of 2002 or later years.</w:t>
      </w:r>
    </w:p>
    <w:p w:rsidR="00854221" w:rsidRPr="00D80E11" w:rsidRDefault="00854221" w:rsidP="00854221">
      <w:pPr>
        <w:rPr>
          <w:rFonts w:eastAsia="Times New Roman" w:cs="Arial"/>
          <w:lang w:eastAsia="ar-SA"/>
        </w:rPr>
      </w:pPr>
    </w:p>
    <w:p w:rsidR="00854221" w:rsidRPr="00D80E11" w:rsidRDefault="00854221" w:rsidP="00854221">
      <w:pPr>
        <w:rPr>
          <w:rFonts w:cs="Arial"/>
        </w:rPr>
      </w:pPr>
      <w:r w:rsidRPr="00D80E11">
        <w:rPr>
          <w:rFonts w:cs="Arial"/>
        </w:rPr>
        <w:t>There have been several changes to charging structure and levels over the period.  The level of charges was increased extensively in 1999, but this increase was chiefly focused on passenger traffic, with only a 2% increase in freight charges.  Freight traffic decreased slightly (-1%) in 1999, then increased by 6% in 2000 before decreasing again in 2001 by some 9%.</w:t>
      </w:r>
    </w:p>
    <w:p w:rsidR="00854221" w:rsidRPr="00D80E11" w:rsidRDefault="00854221" w:rsidP="00854221">
      <w:pPr>
        <w:rPr>
          <w:rFonts w:cs="Arial"/>
        </w:rPr>
      </w:pPr>
    </w:p>
    <w:p w:rsidR="00854221" w:rsidRPr="00D80E11" w:rsidRDefault="00854221" w:rsidP="00854221">
      <w:pPr>
        <w:rPr>
          <w:rFonts w:cs="Arial"/>
        </w:rPr>
      </w:pPr>
      <w:r w:rsidRPr="00D80E11">
        <w:rPr>
          <w:rFonts w:eastAsia="Times New Roman" w:cs="Arial"/>
          <w:lang w:eastAsia="ar-SA"/>
        </w:rPr>
        <w:t>From 2002 on, the structure of charges is stable and gives marginal charge levels' signals to the operator(s).  Y</w:t>
      </w:r>
      <w:r w:rsidRPr="00D80E11">
        <w:rPr>
          <w:rFonts w:cs="Arial"/>
        </w:rPr>
        <w:t xml:space="preserve">early </w:t>
      </w:r>
      <w:proofErr w:type="spellStart"/>
      <w:r w:rsidRPr="00D80E11">
        <w:rPr>
          <w:rFonts w:cs="Arial"/>
        </w:rPr>
        <w:t>arrêtés</w:t>
      </w:r>
      <w:proofErr w:type="spellEnd"/>
      <w:r w:rsidRPr="00D80E11">
        <w:rPr>
          <w:rFonts w:cs="Arial"/>
        </w:rPr>
        <w:t xml:space="preserve"> from the Ministry of Transport set the charging regime for one year and, generally, charge levels are known at least one year in advance. Given this level of pre-announcement, </w:t>
      </w:r>
      <w:r w:rsidRPr="00D80E11">
        <w:rPr>
          <w:rFonts w:cs="Arial"/>
          <w:bCs/>
          <w:iCs/>
        </w:rPr>
        <w:t xml:space="preserve">we assume that demand can adapt more or less to these evolutions with no important delay, allowing us to compare directly yearly traffic and tariffs.  </w:t>
      </w:r>
      <w:r w:rsidRPr="00D80E11">
        <w:rPr>
          <w:rFonts w:cs="Arial"/>
        </w:rPr>
        <w:t xml:space="preserve">Additional charges such as those applying for the use of marshalling yards are not covered by these </w:t>
      </w:r>
      <w:proofErr w:type="spellStart"/>
      <w:r w:rsidRPr="00D80E11">
        <w:rPr>
          <w:rFonts w:cs="Arial"/>
        </w:rPr>
        <w:t>arrêtés</w:t>
      </w:r>
      <w:proofErr w:type="spellEnd"/>
      <w:r w:rsidRPr="00D80E11">
        <w:rPr>
          <w:rFonts w:cs="Arial"/>
        </w:rPr>
        <w:t xml:space="preserve">. </w:t>
      </w:r>
    </w:p>
    <w:p w:rsidR="00854221" w:rsidRPr="00D80E11" w:rsidRDefault="00854221" w:rsidP="00854221">
      <w:pPr>
        <w:rPr>
          <w:rFonts w:cs="Arial"/>
        </w:rPr>
      </w:pPr>
    </w:p>
    <w:p w:rsidR="00854221" w:rsidRPr="00D80E11" w:rsidRDefault="00854221" w:rsidP="00854221">
      <w:pPr>
        <w:rPr>
          <w:rFonts w:cs="Arial"/>
        </w:rPr>
      </w:pPr>
      <w:r w:rsidRPr="00D80E11">
        <w:rPr>
          <w:rFonts w:cs="Arial"/>
        </w:rPr>
        <w:t xml:space="preserve">The </w:t>
      </w:r>
      <w:proofErr w:type="spellStart"/>
      <w:r w:rsidRPr="00D80E11">
        <w:rPr>
          <w:rFonts w:cs="Arial"/>
        </w:rPr>
        <w:t>arrêté</w:t>
      </w:r>
      <w:proofErr w:type="spellEnd"/>
      <w:r w:rsidRPr="00D80E11">
        <w:rPr>
          <w:rFonts w:cs="Arial"/>
        </w:rPr>
        <w:t xml:space="preserve"> setting the 2002 charging regime defined the track categories, as set out in </w:t>
      </w:r>
      <w:r w:rsidR="00283E01">
        <w:rPr>
          <w:rFonts w:cs="Arial"/>
        </w:rPr>
        <w:t>Table 7.</w:t>
      </w:r>
    </w:p>
    <w:p w:rsidR="00027475" w:rsidRDefault="00027475" w:rsidP="00027475">
      <w:pPr>
        <w:pStyle w:val="Caption"/>
        <w:jc w:val="both"/>
      </w:pPr>
      <w:bookmarkStart w:id="36" w:name="_Ref203881938"/>
      <w:bookmarkStart w:id="37" w:name="_Ref204766338"/>
      <w:bookmarkStart w:id="38" w:name="_Toc207524649"/>
    </w:p>
    <w:p w:rsidR="00854221" w:rsidRPr="00CF0622" w:rsidRDefault="00854221" w:rsidP="00027475">
      <w:pPr>
        <w:pStyle w:val="Caption"/>
        <w:rPr>
          <w:rFonts w:cs="Arial"/>
        </w:rPr>
      </w:pPr>
      <w:r w:rsidRPr="00CF0622">
        <w:rPr>
          <w:rFonts w:cs="Arial"/>
        </w:rPr>
        <w:t xml:space="preserve">Table </w:t>
      </w:r>
      <w:bookmarkEnd w:id="36"/>
      <w:bookmarkEnd w:id="37"/>
      <w:r w:rsidR="00283E01">
        <w:rPr>
          <w:rFonts w:cs="Arial"/>
        </w:rPr>
        <w:t>7:</w:t>
      </w:r>
      <w:r w:rsidRPr="00CF0622">
        <w:rPr>
          <w:rFonts w:cs="Arial"/>
        </w:rPr>
        <w:t xml:space="preserve">  RFF </w:t>
      </w:r>
      <w:r>
        <w:rPr>
          <w:rFonts w:cs="Arial"/>
        </w:rPr>
        <w:t>T</w:t>
      </w:r>
      <w:r w:rsidRPr="00CF0622">
        <w:rPr>
          <w:rFonts w:cs="Arial"/>
        </w:rPr>
        <w:t xml:space="preserve">rack </w:t>
      </w:r>
      <w:r>
        <w:rPr>
          <w:rFonts w:cs="Arial"/>
        </w:rPr>
        <w:t>C</w:t>
      </w:r>
      <w:r w:rsidRPr="00CF0622">
        <w:rPr>
          <w:rFonts w:cs="Arial"/>
        </w:rPr>
        <w:t>ategories</w:t>
      </w:r>
      <w:bookmarkEnd w:id="38"/>
    </w:p>
    <w:tbl>
      <w:tblPr>
        <w:tblW w:w="9328" w:type="dxa"/>
        <w:tblInd w:w="-123" w:type="dxa"/>
        <w:tblLayout w:type="fixed"/>
        <w:tblCellMar>
          <w:left w:w="0" w:type="dxa"/>
          <w:right w:w="0" w:type="dxa"/>
        </w:tblCellMar>
        <w:tblLook w:val="0000"/>
      </w:tblPr>
      <w:tblGrid>
        <w:gridCol w:w="1908"/>
        <w:gridCol w:w="4500"/>
        <w:gridCol w:w="1352"/>
        <w:gridCol w:w="1568"/>
      </w:tblGrid>
      <w:tr w:rsidR="00854221" w:rsidRPr="00D80E11" w:rsidTr="00854221">
        <w:tc>
          <w:tcPr>
            <w:tcW w:w="1908" w:type="dxa"/>
            <w:tcBorders>
              <w:top w:val="single" w:sz="4" w:space="0" w:color="000000"/>
              <w:left w:val="single" w:sz="4" w:space="0" w:color="000000"/>
              <w:bottom w:val="single" w:sz="4" w:space="0" w:color="000000"/>
            </w:tcBorders>
            <w:shd w:val="pct10" w:color="auto" w:fill="auto"/>
            <w:vAlign w:val="center"/>
          </w:tcPr>
          <w:p w:rsidR="00854221" w:rsidRPr="00D80E11" w:rsidRDefault="00854221" w:rsidP="00854221">
            <w:pPr>
              <w:pStyle w:val="BodyTextHeader"/>
              <w:rPr>
                <w:lang w:eastAsia="ar-SA"/>
              </w:rPr>
            </w:pPr>
            <w:r w:rsidRPr="00D80E11">
              <w:rPr>
                <w:lang w:eastAsia="ar-SA"/>
              </w:rPr>
              <w:t>Track category</w:t>
            </w:r>
          </w:p>
        </w:tc>
        <w:tc>
          <w:tcPr>
            <w:tcW w:w="4500" w:type="dxa"/>
            <w:tcBorders>
              <w:top w:val="single" w:sz="4" w:space="0" w:color="000000"/>
              <w:left w:val="single" w:sz="4" w:space="0" w:color="000000"/>
              <w:bottom w:val="single" w:sz="4" w:space="0" w:color="000000"/>
            </w:tcBorders>
            <w:shd w:val="pct10" w:color="auto" w:fill="auto"/>
            <w:vAlign w:val="center"/>
          </w:tcPr>
          <w:p w:rsidR="00854221" w:rsidRPr="00D80E11" w:rsidRDefault="00854221" w:rsidP="00854221">
            <w:pPr>
              <w:pStyle w:val="BodyTextHeader"/>
              <w:rPr>
                <w:lang w:eastAsia="ar-SA"/>
              </w:rPr>
            </w:pPr>
            <w:r w:rsidRPr="00D80E11">
              <w:rPr>
                <w:lang w:eastAsia="ar-SA"/>
              </w:rPr>
              <w:t>Subclasses</w:t>
            </w:r>
          </w:p>
        </w:tc>
        <w:tc>
          <w:tcPr>
            <w:tcW w:w="1352" w:type="dxa"/>
            <w:tcBorders>
              <w:top w:val="single" w:sz="4" w:space="0" w:color="000000"/>
              <w:left w:val="single" w:sz="4" w:space="0" w:color="000000"/>
              <w:bottom w:val="single" w:sz="4" w:space="0" w:color="000000"/>
            </w:tcBorders>
            <w:shd w:val="pct10" w:color="auto" w:fill="auto"/>
          </w:tcPr>
          <w:p w:rsidR="00854221" w:rsidRPr="00D80E11" w:rsidRDefault="00854221" w:rsidP="00854221">
            <w:pPr>
              <w:pStyle w:val="BodyTextHeader"/>
              <w:rPr>
                <w:lang w:eastAsia="ar-SA"/>
              </w:rPr>
            </w:pPr>
            <w:r w:rsidRPr="00D80E11">
              <w:rPr>
                <w:lang w:eastAsia="ar-SA"/>
              </w:rPr>
              <w:t>Length</w:t>
            </w:r>
          </w:p>
        </w:tc>
        <w:tc>
          <w:tcPr>
            <w:tcW w:w="1568" w:type="dxa"/>
            <w:tcBorders>
              <w:top w:val="single" w:sz="4" w:space="0" w:color="000000"/>
              <w:left w:val="single" w:sz="4" w:space="0" w:color="000000"/>
              <w:bottom w:val="single" w:sz="4" w:space="0" w:color="000000"/>
              <w:right w:val="single" w:sz="4" w:space="0" w:color="000000"/>
            </w:tcBorders>
            <w:shd w:val="pct10" w:color="auto" w:fill="auto"/>
            <w:vAlign w:val="center"/>
          </w:tcPr>
          <w:p w:rsidR="00854221" w:rsidRPr="00D80E11" w:rsidRDefault="00854221" w:rsidP="00854221">
            <w:pPr>
              <w:pStyle w:val="BodyTextHeader"/>
              <w:rPr>
                <w:lang w:eastAsia="ar-SA"/>
              </w:rPr>
            </w:pPr>
            <w:r w:rsidRPr="00D80E11">
              <w:rPr>
                <w:lang w:eastAsia="ar-SA"/>
              </w:rPr>
              <w:t>Designation</w:t>
            </w:r>
          </w:p>
        </w:tc>
      </w:tr>
      <w:tr w:rsidR="00854221" w:rsidRPr="00D80E11" w:rsidTr="00854221">
        <w:trPr>
          <w:cantSplit/>
          <w:trHeight w:hRule="exact" w:val="263"/>
        </w:trPr>
        <w:tc>
          <w:tcPr>
            <w:tcW w:w="1908" w:type="dxa"/>
            <w:vMerge w:val="restart"/>
            <w:tcBorders>
              <w:left w:val="single" w:sz="4" w:space="0" w:color="000000"/>
              <w:bottom w:val="single" w:sz="4" w:space="0" w:color="000000"/>
            </w:tcBorders>
            <w:vAlign w:val="center"/>
          </w:tcPr>
          <w:p w:rsidR="00854221" w:rsidRPr="00D80E11" w:rsidRDefault="00854221" w:rsidP="00854221">
            <w:pPr>
              <w:pStyle w:val="BodyText"/>
              <w:rPr>
                <w:lang w:eastAsia="ar-SA"/>
              </w:rPr>
            </w:pPr>
            <w:r w:rsidRPr="00D80E11">
              <w:rPr>
                <w:lang w:eastAsia="ar-SA"/>
              </w:rPr>
              <w:t>Urban and suburban lines</w:t>
            </w:r>
          </w:p>
        </w:tc>
        <w:tc>
          <w:tcPr>
            <w:tcW w:w="4500" w:type="dxa"/>
            <w:tcBorders>
              <w:left w:val="single" w:sz="4" w:space="0" w:color="000000"/>
              <w:bottom w:val="single" w:sz="4" w:space="0" w:color="000000"/>
            </w:tcBorders>
          </w:tcPr>
          <w:p w:rsidR="00854221" w:rsidRPr="00D80E11" w:rsidRDefault="00854221" w:rsidP="00854221">
            <w:pPr>
              <w:pStyle w:val="BodyText"/>
              <w:rPr>
                <w:lang w:eastAsia="ar-SA"/>
              </w:rPr>
            </w:pPr>
            <w:r w:rsidRPr="00D80E11">
              <w:rPr>
                <w:lang w:eastAsia="ar-SA"/>
              </w:rPr>
              <w:t xml:space="preserve">High level of traffic </w:t>
            </w:r>
          </w:p>
        </w:tc>
        <w:tc>
          <w:tcPr>
            <w:tcW w:w="1352" w:type="dxa"/>
            <w:tcBorders>
              <w:left w:val="single" w:sz="4" w:space="0" w:color="000000"/>
              <w:bottom w:val="single" w:sz="4" w:space="0" w:color="000000"/>
            </w:tcBorders>
          </w:tcPr>
          <w:p w:rsidR="00854221" w:rsidRPr="00D80E11" w:rsidRDefault="00854221" w:rsidP="00854221">
            <w:pPr>
              <w:pStyle w:val="BodyText"/>
              <w:rPr>
                <w:lang w:eastAsia="ar-SA"/>
              </w:rPr>
            </w:pPr>
            <w:smartTag w:uri="urn:schemas-microsoft-com:office:smarttags" w:element="metricconverter">
              <w:smartTagPr>
                <w:attr w:name="ProductID" w:val="287 km"/>
              </w:smartTagPr>
              <w:r w:rsidRPr="00D80E11">
                <w:rPr>
                  <w:lang w:eastAsia="ar-SA"/>
                </w:rPr>
                <w:t>287 km</w:t>
              </w:r>
            </w:smartTag>
          </w:p>
        </w:tc>
        <w:tc>
          <w:tcPr>
            <w:tcW w:w="1568"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rPr>
                <w:lang w:eastAsia="ar-SA"/>
              </w:rPr>
            </w:pPr>
            <w:r w:rsidRPr="00D80E11">
              <w:rPr>
                <w:lang w:eastAsia="ar-SA"/>
              </w:rPr>
              <w:t>A</w:t>
            </w:r>
          </w:p>
        </w:tc>
      </w:tr>
      <w:tr w:rsidR="00854221" w:rsidRPr="00D80E11" w:rsidTr="00854221">
        <w:trPr>
          <w:cantSplit/>
        </w:trPr>
        <w:tc>
          <w:tcPr>
            <w:tcW w:w="1908" w:type="dxa"/>
            <w:vMerge/>
            <w:tcBorders>
              <w:left w:val="single" w:sz="4" w:space="0" w:color="000000"/>
              <w:bottom w:val="single" w:sz="4" w:space="0" w:color="000000"/>
            </w:tcBorders>
            <w:vAlign w:val="center"/>
          </w:tcPr>
          <w:p w:rsidR="00854221" w:rsidRPr="00D80E11" w:rsidRDefault="00854221" w:rsidP="00854221">
            <w:pPr>
              <w:pStyle w:val="BodyText"/>
            </w:pPr>
          </w:p>
        </w:tc>
        <w:tc>
          <w:tcPr>
            <w:tcW w:w="4500" w:type="dxa"/>
            <w:tcBorders>
              <w:left w:val="single" w:sz="4" w:space="0" w:color="000000"/>
              <w:bottom w:val="single" w:sz="4" w:space="0" w:color="000000"/>
            </w:tcBorders>
          </w:tcPr>
          <w:p w:rsidR="00854221" w:rsidRPr="00D80E11" w:rsidRDefault="00854221" w:rsidP="00854221">
            <w:pPr>
              <w:pStyle w:val="BodyText"/>
              <w:rPr>
                <w:lang w:eastAsia="ar-SA"/>
              </w:rPr>
            </w:pPr>
            <w:r w:rsidRPr="00D80E11">
              <w:rPr>
                <w:lang w:eastAsia="ar-SA"/>
              </w:rPr>
              <w:t xml:space="preserve">Medium level of traffic </w:t>
            </w:r>
          </w:p>
        </w:tc>
        <w:tc>
          <w:tcPr>
            <w:tcW w:w="1352" w:type="dxa"/>
            <w:tcBorders>
              <w:left w:val="single" w:sz="4" w:space="0" w:color="000000"/>
              <w:bottom w:val="single" w:sz="4" w:space="0" w:color="000000"/>
            </w:tcBorders>
          </w:tcPr>
          <w:p w:rsidR="00854221" w:rsidRPr="00D80E11" w:rsidRDefault="00854221" w:rsidP="00854221">
            <w:pPr>
              <w:pStyle w:val="BodyText"/>
              <w:rPr>
                <w:lang w:eastAsia="ar-SA"/>
              </w:rPr>
            </w:pPr>
            <w:smartTag w:uri="urn:schemas-microsoft-com:office:smarttags" w:element="metricconverter">
              <w:smartTagPr>
                <w:attr w:name="ProductID" w:val="985 km"/>
              </w:smartTagPr>
              <w:r w:rsidRPr="00D80E11">
                <w:rPr>
                  <w:lang w:eastAsia="ar-SA"/>
                </w:rPr>
                <w:t>985 km</w:t>
              </w:r>
            </w:smartTag>
          </w:p>
        </w:tc>
        <w:tc>
          <w:tcPr>
            <w:tcW w:w="1568"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rPr>
                <w:lang w:eastAsia="ar-SA"/>
              </w:rPr>
            </w:pPr>
            <w:r w:rsidRPr="00D80E11">
              <w:rPr>
                <w:lang w:eastAsia="ar-SA"/>
              </w:rPr>
              <w:t>B</w:t>
            </w:r>
          </w:p>
        </w:tc>
      </w:tr>
      <w:tr w:rsidR="00854221" w:rsidRPr="00D80E11" w:rsidTr="00854221">
        <w:trPr>
          <w:cantSplit/>
          <w:trHeight w:hRule="exact" w:val="263"/>
        </w:trPr>
        <w:tc>
          <w:tcPr>
            <w:tcW w:w="1908" w:type="dxa"/>
            <w:vMerge w:val="restart"/>
            <w:tcBorders>
              <w:left w:val="single" w:sz="4" w:space="0" w:color="000000"/>
              <w:bottom w:val="single" w:sz="4" w:space="0" w:color="000000"/>
            </w:tcBorders>
            <w:vAlign w:val="center"/>
          </w:tcPr>
          <w:p w:rsidR="00854221" w:rsidRPr="00D80E11" w:rsidRDefault="00854221" w:rsidP="00854221">
            <w:pPr>
              <w:pStyle w:val="BodyText"/>
              <w:rPr>
                <w:lang w:eastAsia="ar-SA"/>
              </w:rPr>
            </w:pPr>
            <w:r w:rsidRPr="00D80E11">
              <w:rPr>
                <w:lang w:eastAsia="ar-SA"/>
              </w:rPr>
              <w:t>Main interurban lines</w:t>
            </w:r>
          </w:p>
        </w:tc>
        <w:tc>
          <w:tcPr>
            <w:tcW w:w="4500" w:type="dxa"/>
            <w:tcBorders>
              <w:left w:val="single" w:sz="4" w:space="0" w:color="000000"/>
              <w:bottom w:val="single" w:sz="4" w:space="0" w:color="000000"/>
            </w:tcBorders>
          </w:tcPr>
          <w:p w:rsidR="00854221" w:rsidRPr="00D80E11" w:rsidRDefault="00854221" w:rsidP="00854221">
            <w:pPr>
              <w:pStyle w:val="BodyText"/>
              <w:rPr>
                <w:lang w:eastAsia="ar-SA"/>
              </w:rPr>
            </w:pPr>
            <w:r w:rsidRPr="00D80E11">
              <w:rPr>
                <w:lang w:eastAsia="ar-SA"/>
              </w:rPr>
              <w:t xml:space="preserve">High level of traffic </w:t>
            </w:r>
          </w:p>
        </w:tc>
        <w:tc>
          <w:tcPr>
            <w:tcW w:w="1352" w:type="dxa"/>
            <w:vMerge w:val="restart"/>
            <w:tcBorders>
              <w:left w:val="single" w:sz="4" w:space="0" w:color="000000"/>
              <w:bottom w:val="single" w:sz="4" w:space="0" w:color="000000"/>
            </w:tcBorders>
            <w:vAlign w:val="center"/>
          </w:tcPr>
          <w:p w:rsidR="00854221" w:rsidRPr="00D80E11" w:rsidRDefault="00854221" w:rsidP="00854221">
            <w:pPr>
              <w:pStyle w:val="BodyText"/>
              <w:rPr>
                <w:lang w:eastAsia="ar-SA"/>
              </w:rPr>
            </w:pPr>
            <w:smartTag w:uri="urn:schemas-microsoft-com:office:smarttags" w:element="metricconverter">
              <w:smartTagPr>
                <w:attr w:name="ProductID" w:val="7,209 km"/>
              </w:smartTagPr>
              <w:r w:rsidRPr="00D80E11">
                <w:rPr>
                  <w:lang w:eastAsia="ar-SA"/>
                </w:rPr>
                <w:t>7,209 km</w:t>
              </w:r>
            </w:smartTag>
          </w:p>
        </w:tc>
        <w:tc>
          <w:tcPr>
            <w:tcW w:w="1568"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rPr>
                <w:lang w:eastAsia="ar-SA"/>
              </w:rPr>
            </w:pPr>
            <w:r w:rsidRPr="00D80E11">
              <w:rPr>
                <w:lang w:eastAsia="ar-SA"/>
              </w:rPr>
              <w:t>C</w:t>
            </w:r>
          </w:p>
        </w:tc>
      </w:tr>
      <w:tr w:rsidR="00854221" w:rsidRPr="00D80E11" w:rsidTr="00854221">
        <w:trPr>
          <w:cantSplit/>
          <w:trHeight w:hRule="exact" w:val="516"/>
        </w:trPr>
        <w:tc>
          <w:tcPr>
            <w:tcW w:w="1908" w:type="dxa"/>
            <w:vMerge/>
            <w:tcBorders>
              <w:left w:val="single" w:sz="4" w:space="0" w:color="000000"/>
              <w:bottom w:val="single" w:sz="4" w:space="0" w:color="000000"/>
            </w:tcBorders>
            <w:vAlign w:val="center"/>
          </w:tcPr>
          <w:p w:rsidR="00854221" w:rsidRPr="00D80E11" w:rsidRDefault="00854221" w:rsidP="00854221">
            <w:pPr>
              <w:pStyle w:val="BodyText"/>
            </w:pPr>
          </w:p>
        </w:tc>
        <w:tc>
          <w:tcPr>
            <w:tcW w:w="4500" w:type="dxa"/>
            <w:tcBorders>
              <w:left w:val="single" w:sz="4" w:space="0" w:color="000000"/>
              <w:bottom w:val="single" w:sz="4" w:space="0" w:color="000000"/>
            </w:tcBorders>
          </w:tcPr>
          <w:p w:rsidR="00854221" w:rsidRPr="00D80E11" w:rsidRDefault="00854221" w:rsidP="00854221">
            <w:pPr>
              <w:pStyle w:val="BodyText"/>
              <w:rPr>
                <w:lang w:eastAsia="ar-SA"/>
              </w:rPr>
            </w:pPr>
            <w:r w:rsidRPr="00D80E11">
              <w:rPr>
                <w:lang w:eastAsia="ar-SA"/>
              </w:rPr>
              <w:t xml:space="preserve">High level of traffic and max. speed </w:t>
            </w:r>
            <w:smartTag w:uri="urn:schemas-microsoft-com:office:smarttags" w:element="metricconverter">
              <w:smartTagPr>
                <w:attr w:name="ProductID" w:val="220 km/h"/>
              </w:smartTagPr>
              <w:r w:rsidRPr="00D80E11">
                <w:rPr>
                  <w:lang w:eastAsia="ar-SA"/>
                </w:rPr>
                <w:t>220 km/h</w:t>
              </w:r>
            </w:smartTag>
            <w:r w:rsidRPr="00D80E11">
              <w:rPr>
                <w:lang w:eastAsia="ar-SA"/>
              </w:rPr>
              <w:t xml:space="preserve"> </w:t>
            </w:r>
          </w:p>
        </w:tc>
        <w:tc>
          <w:tcPr>
            <w:tcW w:w="1352" w:type="dxa"/>
            <w:vMerge/>
            <w:tcBorders>
              <w:left w:val="single" w:sz="4" w:space="0" w:color="000000"/>
              <w:bottom w:val="single" w:sz="4" w:space="0" w:color="000000"/>
            </w:tcBorders>
            <w:vAlign w:val="center"/>
          </w:tcPr>
          <w:p w:rsidR="00854221" w:rsidRPr="00D80E11" w:rsidRDefault="00854221" w:rsidP="00854221">
            <w:pPr>
              <w:pStyle w:val="BodyText"/>
            </w:pPr>
          </w:p>
        </w:tc>
        <w:tc>
          <w:tcPr>
            <w:tcW w:w="1568"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rPr>
                <w:lang w:eastAsia="ar-SA"/>
              </w:rPr>
            </w:pPr>
            <w:r w:rsidRPr="00D80E11">
              <w:rPr>
                <w:lang w:eastAsia="ar-SA"/>
              </w:rPr>
              <w:t>C*</w:t>
            </w:r>
          </w:p>
        </w:tc>
      </w:tr>
      <w:tr w:rsidR="00854221" w:rsidRPr="00D80E11" w:rsidTr="00854221">
        <w:trPr>
          <w:cantSplit/>
          <w:trHeight w:hRule="exact" w:val="263"/>
        </w:trPr>
        <w:tc>
          <w:tcPr>
            <w:tcW w:w="1908" w:type="dxa"/>
            <w:vMerge/>
            <w:tcBorders>
              <w:left w:val="single" w:sz="4" w:space="0" w:color="000000"/>
              <w:bottom w:val="single" w:sz="4" w:space="0" w:color="000000"/>
            </w:tcBorders>
            <w:vAlign w:val="center"/>
          </w:tcPr>
          <w:p w:rsidR="00854221" w:rsidRPr="00D80E11" w:rsidRDefault="00854221" w:rsidP="00854221">
            <w:pPr>
              <w:pStyle w:val="BodyText"/>
            </w:pPr>
          </w:p>
        </w:tc>
        <w:tc>
          <w:tcPr>
            <w:tcW w:w="4500" w:type="dxa"/>
            <w:tcBorders>
              <w:left w:val="single" w:sz="4" w:space="0" w:color="000000"/>
              <w:bottom w:val="single" w:sz="4" w:space="0" w:color="000000"/>
            </w:tcBorders>
          </w:tcPr>
          <w:p w:rsidR="00854221" w:rsidRPr="00D80E11" w:rsidRDefault="00854221" w:rsidP="00854221">
            <w:pPr>
              <w:pStyle w:val="BodyText"/>
              <w:rPr>
                <w:lang w:eastAsia="ar-SA"/>
              </w:rPr>
            </w:pPr>
            <w:r w:rsidRPr="00D80E11">
              <w:rPr>
                <w:lang w:eastAsia="ar-SA"/>
              </w:rPr>
              <w:t xml:space="preserve">Medium level of traffic </w:t>
            </w:r>
          </w:p>
        </w:tc>
        <w:tc>
          <w:tcPr>
            <w:tcW w:w="1352" w:type="dxa"/>
            <w:vMerge w:val="restart"/>
            <w:tcBorders>
              <w:left w:val="single" w:sz="4" w:space="0" w:color="000000"/>
              <w:bottom w:val="single" w:sz="4" w:space="0" w:color="000000"/>
            </w:tcBorders>
            <w:vAlign w:val="center"/>
          </w:tcPr>
          <w:p w:rsidR="00854221" w:rsidRPr="00D80E11" w:rsidRDefault="00854221" w:rsidP="00854221">
            <w:pPr>
              <w:pStyle w:val="BodyText"/>
              <w:rPr>
                <w:lang w:eastAsia="ar-SA"/>
              </w:rPr>
            </w:pPr>
            <w:smartTag w:uri="urn:schemas-microsoft-com:office:smarttags" w:element="metricconverter">
              <w:smartTagPr>
                <w:attr w:name="ProductID" w:val="5,840 km"/>
              </w:smartTagPr>
              <w:r w:rsidRPr="00D80E11">
                <w:rPr>
                  <w:lang w:eastAsia="ar-SA"/>
                </w:rPr>
                <w:t>5,840 km</w:t>
              </w:r>
            </w:smartTag>
            <w:r w:rsidRPr="00D80E11">
              <w:rPr>
                <w:lang w:eastAsia="ar-SA"/>
              </w:rPr>
              <w:t xml:space="preserve"> </w:t>
            </w:r>
          </w:p>
        </w:tc>
        <w:tc>
          <w:tcPr>
            <w:tcW w:w="1568"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rPr>
                <w:lang w:eastAsia="ar-SA"/>
              </w:rPr>
            </w:pPr>
            <w:r w:rsidRPr="00D80E11">
              <w:rPr>
                <w:lang w:eastAsia="ar-SA"/>
              </w:rPr>
              <w:t>D</w:t>
            </w:r>
          </w:p>
        </w:tc>
      </w:tr>
      <w:tr w:rsidR="00854221" w:rsidRPr="00D80E11" w:rsidTr="00854221">
        <w:trPr>
          <w:cantSplit/>
        </w:trPr>
        <w:tc>
          <w:tcPr>
            <w:tcW w:w="1908" w:type="dxa"/>
            <w:vMerge/>
            <w:tcBorders>
              <w:left w:val="single" w:sz="4" w:space="0" w:color="000000"/>
              <w:bottom w:val="single" w:sz="4" w:space="0" w:color="000000"/>
            </w:tcBorders>
            <w:vAlign w:val="center"/>
          </w:tcPr>
          <w:p w:rsidR="00854221" w:rsidRPr="00D80E11" w:rsidRDefault="00854221" w:rsidP="00854221">
            <w:pPr>
              <w:pStyle w:val="BodyText"/>
            </w:pPr>
          </w:p>
        </w:tc>
        <w:tc>
          <w:tcPr>
            <w:tcW w:w="4500" w:type="dxa"/>
            <w:tcBorders>
              <w:left w:val="single" w:sz="4" w:space="0" w:color="000000"/>
              <w:bottom w:val="single" w:sz="4" w:space="0" w:color="000000"/>
            </w:tcBorders>
          </w:tcPr>
          <w:p w:rsidR="00854221" w:rsidRPr="00D80E11" w:rsidRDefault="00854221" w:rsidP="00854221">
            <w:pPr>
              <w:pStyle w:val="BodyText"/>
              <w:rPr>
                <w:lang w:eastAsia="ar-SA"/>
              </w:rPr>
            </w:pPr>
            <w:r w:rsidRPr="00D80E11">
              <w:rPr>
                <w:lang w:eastAsia="ar-SA"/>
              </w:rPr>
              <w:t xml:space="preserve">Medium level of traffic and max. speed </w:t>
            </w:r>
            <w:smartTag w:uri="urn:schemas-microsoft-com:office:smarttags" w:element="metricconverter">
              <w:smartTagPr>
                <w:attr w:name="ProductID" w:val="220 km/h"/>
              </w:smartTagPr>
              <w:r w:rsidRPr="00D80E11">
                <w:rPr>
                  <w:lang w:eastAsia="ar-SA"/>
                </w:rPr>
                <w:t>220 km/h</w:t>
              </w:r>
            </w:smartTag>
          </w:p>
        </w:tc>
        <w:tc>
          <w:tcPr>
            <w:tcW w:w="1352" w:type="dxa"/>
            <w:vMerge/>
            <w:tcBorders>
              <w:left w:val="single" w:sz="4" w:space="0" w:color="000000"/>
              <w:bottom w:val="single" w:sz="4" w:space="0" w:color="000000"/>
            </w:tcBorders>
            <w:vAlign w:val="center"/>
          </w:tcPr>
          <w:p w:rsidR="00854221" w:rsidRPr="00D80E11" w:rsidRDefault="00854221" w:rsidP="00854221">
            <w:pPr>
              <w:pStyle w:val="BodyText"/>
            </w:pPr>
          </w:p>
        </w:tc>
        <w:tc>
          <w:tcPr>
            <w:tcW w:w="1568"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rPr>
                <w:lang w:eastAsia="ar-SA"/>
              </w:rPr>
            </w:pPr>
            <w:r w:rsidRPr="00D80E11">
              <w:rPr>
                <w:lang w:eastAsia="ar-SA"/>
              </w:rPr>
              <w:t>D*</w:t>
            </w:r>
          </w:p>
        </w:tc>
      </w:tr>
      <w:tr w:rsidR="00854221" w:rsidRPr="00D80E11" w:rsidTr="00854221">
        <w:tc>
          <w:tcPr>
            <w:tcW w:w="1908" w:type="dxa"/>
            <w:tcBorders>
              <w:left w:val="single" w:sz="4" w:space="0" w:color="000000"/>
              <w:bottom w:val="single" w:sz="4" w:space="0" w:color="000000"/>
            </w:tcBorders>
            <w:vAlign w:val="center"/>
          </w:tcPr>
          <w:p w:rsidR="00854221" w:rsidRPr="00D80E11" w:rsidRDefault="00854221" w:rsidP="00854221">
            <w:pPr>
              <w:pStyle w:val="BodyText"/>
              <w:rPr>
                <w:lang w:eastAsia="ar-SA"/>
              </w:rPr>
            </w:pPr>
            <w:r w:rsidRPr="00D80E11">
              <w:rPr>
                <w:lang w:eastAsia="ar-SA"/>
              </w:rPr>
              <w:t>Other lines</w:t>
            </w:r>
          </w:p>
        </w:tc>
        <w:tc>
          <w:tcPr>
            <w:tcW w:w="4500" w:type="dxa"/>
            <w:tcBorders>
              <w:left w:val="single" w:sz="4" w:space="0" w:color="000000"/>
              <w:bottom w:val="single" w:sz="4" w:space="0" w:color="000000"/>
            </w:tcBorders>
          </w:tcPr>
          <w:p w:rsidR="00854221" w:rsidRPr="00D80E11" w:rsidRDefault="00854221" w:rsidP="00854221">
            <w:pPr>
              <w:pStyle w:val="BodyText"/>
              <w:rPr>
                <w:lang w:eastAsia="ar-SA"/>
              </w:rPr>
            </w:pPr>
          </w:p>
        </w:tc>
        <w:tc>
          <w:tcPr>
            <w:tcW w:w="1352" w:type="dxa"/>
            <w:tcBorders>
              <w:left w:val="single" w:sz="4" w:space="0" w:color="000000"/>
              <w:bottom w:val="single" w:sz="4" w:space="0" w:color="000000"/>
            </w:tcBorders>
          </w:tcPr>
          <w:p w:rsidR="00854221" w:rsidRPr="00D80E11" w:rsidRDefault="00854221" w:rsidP="00854221">
            <w:pPr>
              <w:pStyle w:val="BodyText"/>
              <w:rPr>
                <w:lang w:eastAsia="ar-SA"/>
              </w:rPr>
            </w:pPr>
            <w:smartTag w:uri="urn:schemas-microsoft-com:office:smarttags" w:element="metricconverter">
              <w:smartTagPr>
                <w:attr w:name="ProductID" w:val="12,738 km"/>
              </w:smartTagPr>
              <w:r w:rsidRPr="00D80E11">
                <w:rPr>
                  <w:lang w:eastAsia="ar-SA"/>
                </w:rPr>
                <w:t>12,738 km</w:t>
              </w:r>
            </w:smartTag>
          </w:p>
        </w:tc>
        <w:tc>
          <w:tcPr>
            <w:tcW w:w="1568"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rPr>
                <w:lang w:eastAsia="ar-SA"/>
              </w:rPr>
            </w:pPr>
            <w:r w:rsidRPr="00D80E11">
              <w:rPr>
                <w:lang w:eastAsia="ar-SA"/>
              </w:rPr>
              <w:t>E</w:t>
            </w:r>
          </w:p>
        </w:tc>
      </w:tr>
      <w:tr w:rsidR="00854221" w:rsidRPr="00D80E11" w:rsidTr="00854221">
        <w:trPr>
          <w:cantSplit/>
          <w:trHeight w:hRule="exact" w:val="263"/>
        </w:trPr>
        <w:tc>
          <w:tcPr>
            <w:tcW w:w="1908" w:type="dxa"/>
            <w:vMerge w:val="restart"/>
            <w:tcBorders>
              <w:left w:val="single" w:sz="4" w:space="0" w:color="000000"/>
              <w:bottom w:val="single" w:sz="4" w:space="0" w:color="000000"/>
            </w:tcBorders>
            <w:vAlign w:val="center"/>
          </w:tcPr>
          <w:p w:rsidR="00854221" w:rsidRPr="00D80E11" w:rsidRDefault="00854221" w:rsidP="00854221">
            <w:pPr>
              <w:pStyle w:val="BodyText"/>
              <w:rPr>
                <w:lang w:eastAsia="ar-SA"/>
              </w:rPr>
            </w:pPr>
            <w:r w:rsidRPr="00D80E11">
              <w:rPr>
                <w:lang w:eastAsia="ar-SA"/>
              </w:rPr>
              <w:t>High-speed lines</w:t>
            </w:r>
          </w:p>
        </w:tc>
        <w:tc>
          <w:tcPr>
            <w:tcW w:w="4500" w:type="dxa"/>
            <w:tcBorders>
              <w:left w:val="single" w:sz="4" w:space="0" w:color="000000"/>
              <w:bottom w:val="single" w:sz="4" w:space="0" w:color="000000"/>
            </w:tcBorders>
          </w:tcPr>
          <w:p w:rsidR="00854221" w:rsidRPr="00D80E11" w:rsidRDefault="00854221" w:rsidP="00854221">
            <w:pPr>
              <w:pStyle w:val="BodyText"/>
              <w:rPr>
                <w:lang w:eastAsia="ar-SA"/>
              </w:rPr>
            </w:pPr>
            <w:r w:rsidRPr="00D80E11">
              <w:rPr>
                <w:lang w:eastAsia="ar-SA"/>
              </w:rPr>
              <w:t>High level of traffic</w:t>
            </w:r>
          </w:p>
        </w:tc>
        <w:tc>
          <w:tcPr>
            <w:tcW w:w="1352" w:type="dxa"/>
            <w:tcBorders>
              <w:left w:val="single" w:sz="4" w:space="0" w:color="000000"/>
              <w:bottom w:val="single" w:sz="4" w:space="0" w:color="000000"/>
            </w:tcBorders>
          </w:tcPr>
          <w:p w:rsidR="00854221" w:rsidRPr="00D80E11" w:rsidRDefault="00854221" w:rsidP="00854221">
            <w:pPr>
              <w:pStyle w:val="BodyText"/>
              <w:rPr>
                <w:lang w:eastAsia="ar-SA"/>
              </w:rPr>
            </w:pPr>
            <w:smartTag w:uri="urn:schemas-microsoft-com:office:smarttags" w:element="metricconverter">
              <w:smartTagPr>
                <w:attr w:name="ProductID" w:val="718 km"/>
              </w:smartTagPr>
              <w:r w:rsidRPr="00D80E11">
                <w:rPr>
                  <w:lang w:eastAsia="ar-SA"/>
                </w:rPr>
                <w:t>718 km</w:t>
              </w:r>
            </w:smartTag>
          </w:p>
        </w:tc>
        <w:tc>
          <w:tcPr>
            <w:tcW w:w="1568"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rPr>
                <w:lang w:eastAsia="ar-SA"/>
              </w:rPr>
            </w:pPr>
            <w:r w:rsidRPr="00D80E11">
              <w:rPr>
                <w:lang w:eastAsia="ar-SA"/>
              </w:rPr>
              <w:t>N1</w:t>
            </w:r>
          </w:p>
        </w:tc>
      </w:tr>
      <w:tr w:rsidR="00854221" w:rsidRPr="00D80E11" w:rsidTr="00854221">
        <w:trPr>
          <w:cantSplit/>
          <w:trHeight w:hRule="exact" w:val="263"/>
        </w:trPr>
        <w:tc>
          <w:tcPr>
            <w:tcW w:w="1908" w:type="dxa"/>
            <w:vMerge/>
            <w:tcBorders>
              <w:left w:val="single" w:sz="4" w:space="0" w:color="000000"/>
              <w:bottom w:val="single" w:sz="4" w:space="0" w:color="000000"/>
            </w:tcBorders>
            <w:vAlign w:val="center"/>
          </w:tcPr>
          <w:p w:rsidR="00854221" w:rsidRPr="00D80E11" w:rsidRDefault="00854221" w:rsidP="00854221">
            <w:pPr>
              <w:pStyle w:val="BodyText"/>
            </w:pPr>
          </w:p>
        </w:tc>
        <w:tc>
          <w:tcPr>
            <w:tcW w:w="4500" w:type="dxa"/>
            <w:tcBorders>
              <w:left w:val="single" w:sz="4" w:space="0" w:color="000000"/>
              <w:bottom w:val="single" w:sz="4" w:space="0" w:color="000000"/>
            </w:tcBorders>
          </w:tcPr>
          <w:p w:rsidR="00854221" w:rsidRPr="00D80E11" w:rsidRDefault="00854221" w:rsidP="00854221">
            <w:pPr>
              <w:pStyle w:val="BodyText"/>
              <w:rPr>
                <w:lang w:eastAsia="ar-SA"/>
              </w:rPr>
            </w:pPr>
            <w:r w:rsidRPr="00D80E11">
              <w:rPr>
                <w:lang w:eastAsia="ar-SA"/>
              </w:rPr>
              <w:t>Medium level of traffic</w:t>
            </w:r>
          </w:p>
        </w:tc>
        <w:tc>
          <w:tcPr>
            <w:tcW w:w="1352" w:type="dxa"/>
            <w:vMerge w:val="restart"/>
            <w:tcBorders>
              <w:left w:val="single" w:sz="4" w:space="0" w:color="000000"/>
              <w:bottom w:val="single" w:sz="4" w:space="0" w:color="000000"/>
            </w:tcBorders>
            <w:vAlign w:val="center"/>
          </w:tcPr>
          <w:p w:rsidR="00854221" w:rsidRPr="00D80E11" w:rsidRDefault="00854221" w:rsidP="00854221">
            <w:pPr>
              <w:pStyle w:val="BodyText"/>
              <w:rPr>
                <w:lang w:eastAsia="ar-SA"/>
              </w:rPr>
            </w:pPr>
            <w:smartTag w:uri="urn:schemas-microsoft-com:office:smarttags" w:element="metricconverter">
              <w:smartTagPr>
                <w:attr w:name="ProductID" w:val="457 km"/>
              </w:smartTagPr>
              <w:r w:rsidRPr="00D80E11">
                <w:rPr>
                  <w:lang w:eastAsia="ar-SA"/>
                </w:rPr>
                <w:t>457 km</w:t>
              </w:r>
            </w:smartTag>
          </w:p>
        </w:tc>
        <w:tc>
          <w:tcPr>
            <w:tcW w:w="1568"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rPr>
                <w:lang w:eastAsia="ar-SA"/>
              </w:rPr>
            </w:pPr>
            <w:r w:rsidRPr="00D80E11">
              <w:rPr>
                <w:lang w:eastAsia="ar-SA"/>
              </w:rPr>
              <w:t>N2</w:t>
            </w:r>
          </w:p>
        </w:tc>
      </w:tr>
      <w:tr w:rsidR="00854221" w:rsidRPr="00D80E11" w:rsidTr="00854221">
        <w:trPr>
          <w:cantSplit/>
          <w:trHeight w:hRule="exact" w:val="263"/>
        </w:trPr>
        <w:tc>
          <w:tcPr>
            <w:tcW w:w="1908" w:type="dxa"/>
            <w:vMerge/>
            <w:tcBorders>
              <w:left w:val="single" w:sz="4" w:space="0" w:color="000000"/>
              <w:bottom w:val="single" w:sz="4" w:space="0" w:color="000000"/>
            </w:tcBorders>
            <w:vAlign w:val="center"/>
          </w:tcPr>
          <w:p w:rsidR="00854221" w:rsidRPr="00D80E11" w:rsidRDefault="00854221" w:rsidP="00854221">
            <w:pPr>
              <w:pStyle w:val="BodyText"/>
            </w:pPr>
          </w:p>
        </w:tc>
        <w:tc>
          <w:tcPr>
            <w:tcW w:w="4500" w:type="dxa"/>
            <w:tcBorders>
              <w:left w:val="single" w:sz="4" w:space="0" w:color="000000"/>
              <w:bottom w:val="single" w:sz="4" w:space="0" w:color="000000"/>
            </w:tcBorders>
          </w:tcPr>
          <w:p w:rsidR="00854221" w:rsidRPr="00D80E11" w:rsidRDefault="00854221" w:rsidP="00854221">
            <w:pPr>
              <w:pStyle w:val="BodyText"/>
              <w:rPr>
                <w:lang w:eastAsia="ar-SA"/>
              </w:rPr>
            </w:pPr>
            <w:r w:rsidRPr="00D80E11">
              <w:rPr>
                <w:lang w:eastAsia="ar-SA"/>
              </w:rPr>
              <w:t xml:space="preserve">Mediterranean HSL, medium level of traffic </w:t>
            </w:r>
          </w:p>
        </w:tc>
        <w:tc>
          <w:tcPr>
            <w:tcW w:w="1352" w:type="dxa"/>
            <w:vMerge/>
            <w:tcBorders>
              <w:left w:val="single" w:sz="4" w:space="0" w:color="000000"/>
              <w:bottom w:val="single" w:sz="4" w:space="0" w:color="000000"/>
            </w:tcBorders>
            <w:vAlign w:val="center"/>
          </w:tcPr>
          <w:p w:rsidR="00854221" w:rsidRPr="00D80E11" w:rsidRDefault="00854221" w:rsidP="00854221">
            <w:pPr>
              <w:pStyle w:val="BodyText"/>
            </w:pPr>
          </w:p>
        </w:tc>
        <w:tc>
          <w:tcPr>
            <w:tcW w:w="1568"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rPr>
                <w:lang w:eastAsia="ar-SA"/>
              </w:rPr>
            </w:pPr>
            <w:r w:rsidRPr="00D80E11">
              <w:rPr>
                <w:lang w:eastAsia="ar-SA"/>
              </w:rPr>
              <w:t>N2*</w:t>
            </w:r>
          </w:p>
        </w:tc>
      </w:tr>
      <w:tr w:rsidR="00854221" w:rsidRPr="00D80E11" w:rsidTr="00854221">
        <w:trPr>
          <w:cantSplit/>
          <w:trHeight w:hRule="exact" w:val="263"/>
        </w:trPr>
        <w:tc>
          <w:tcPr>
            <w:tcW w:w="1908" w:type="dxa"/>
            <w:vMerge/>
            <w:tcBorders>
              <w:left w:val="single" w:sz="4" w:space="0" w:color="000000"/>
              <w:bottom w:val="single" w:sz="4" w:space="0" w:color="000000"/>
            </w:tcBorders>
            <w:vAlign w:val="center"/>
          </w:tcPr>
          <w:p w:rsidR="00854221" w:rsidRPr="00D80E11" w:rsidRDefault="00854221" w:rsidP="00854221">
            <w:pPr>
              <w:pStyle w:val="BodyText"/>
            </w:pPr>
          </w:p>
        </w:tc>
        <w:tc>
          <w:tcPr>
            <w:tcW w:w="4500" w:type="dxa"/>
            <w:tcBorders>
              <w:left w:val="single" w:sz="4" w:space="0" w:color="000000"/>
              <w:bottom w:val="single" w:sz="4" w:space="0" w:color="000000"/>
            </w:tcBorders>
          </w:tcPr>
          <w:p w:rsidR="00854221" w:rsidRPr="00D80E11" w:rsidRDefault="00854221" w:rsidP="00854221">
            <w:pPr>
              <w:pStyle w:val="BodyText"/>
              <w:rPr>
                <w:lang w:eastAsia="ar-SA"/>
              </w:rPr>
            </w:pPr>
            <w:r w:rsidRPr="00D80E11">
              <w:rPr>
                <w:lang w:eastAsia="ar-SA"/>
              </w:rPr>
              <w:t>Low level of traffic</w:t>
            </w:r>
          </w:p>
        </w:tc>
        <w:tc>
          <w:tcPr>
            <w:tcW w:w="1352" w:type="dxa"/>
            <w:vMerge w:val="restart"/>
            <w:tcBorders>
              <w:left w:val="single" w:sz="4" w:space="0" w:color="000000"/>
              <w:bottom w:val="single" w:sz="4" w:space="0" w:color="000000"/>
            </w:tcBorders>
            <w:vAlign w:val="center"/>
          </w:tcPr>
          <w:p w:rsidR="00854221" w:rsidRPr="00D80E11" w:rsidRDefault="00854221" w:rsidP="00854221">
            <w:pPr>
              <w:pStyle w:val="BodyText"/>
              <w:rPr>
                <w:lang w:eastAsia="ar-SA"/>
              </w:rPr>
            </w:pPr>
            <w:smartTag w:uri="urn:schemas-microsoft-com:office:smarttags" w:element="metricconverter">
              <w:smartTagPr>
                <w:attr w:name="ProductID" w:val="321 km"/>
              </w:smartTagPr>
              <w:r w:rsidRPr="00D80E11">
                <w:rPr>
                  <w:lang w:eastAsia="ar-SA"/>
                </w:rPr>
                <w:t>321 km</w:t>
              </w:r>
            </w:smartTag>
          </w:p>
        </w:tc>
        <w:tc>
          <w:tcPr>
            <w:tcW w:w="1568"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rPr>
                <w:lang w:eastAsia="ar-SA"/>
              </w:rPr>
            </w:pPr>
            <w:r w:rsidRPr="00D80E11">
              <w:rPr>
                <w:lang w:eastAsia="ar-SA"/>
              </w:rPr>
              <w:t>N3</w:t>
            </w:r>
          </w:p>
        </w:tc>
      </w:tr>
      <w:tr w:rsidR="00854221" w:rsidRPr="00D80E11" w:rsidTr="00854221">
        <w:trPr>
          <w:cantSplit/>
          <w:trHeight w:hRule="exact" w:val="263"/>
        </w:trPr>
        <w:tc>
          <w:tcPr>
            <w:tcW w:w="1908" w:type="dxa"/>
            <w:vMerge/>
            <w:tcBorders>
              <w:left w:val="single" w:sz="4" w:space="0" w:color="000000"/>
              <w:bottom w:val="single" w:sz="4" w:space="0" w:color="000000"/>
            </w:tcBorders>
            <w:vAlign w:val="center"/>
          </w:tcPr>
          <w:p w:rsidR="00854221" w:rsidRPr="00D80E11" w:rsidRDefault="00854221" w:rsidP="00854221">
            <w:pPr>
              <w:pStyle w:val="BodyText"/>
            </w:pPr>
          </w:p>
        </w:tc>
        <w:tc>
          <w:tcPr>
            <w:tcW w:w="4500" w:type="dxa"/>
            <w:tcBorders>
              <w:left w:val="single" w:sz="4" w:space="0" w:color="000000"/>
              <w:bottom w:val="single" w:sz="4" w:space="0" w:color="000000"/>
            </w:tcBorders>
          </w:tcPr>
          <w:p w:rsidR="00854221" w:rsidRPr="00D80E11" w:rsidRDefault="00854221" w:rsidP="00854221">
            <w:pPr>
              <w:pStyle w:val="BodyText"/>
              <w:rPr>
                <w:lang w:eastAsia="ar-SA"/>
              </w:rPr>
            </w:pPr>
            <w:r w:rsidRPr="00D80E11">
              <w:rPr>
                <w:lang w:eastAsia="ar-SA"/>
              </w:rPr>
              <w:t>Mediterranean HSL, low level of traffic</w:t>
            </w:r>
          </w:p>
        </w:tc>
        <w:tc>
          <w:tcPr>
            <w:tcW w:w="1352" w:type="dxa"/>
            <w:vMerge/>
            <w:tcBorders>
              <w:left w:val="single" w:sz="4" w:space="0" w:color="000000"/>
              <w:bottom w:val="single" w:sz="4" w:space="0" w:color="000000"/>
            </w:tcBorders>
            <w:vAlign w:val="center"/>
          </w:tcPr>
          <w:p w:rsidR="00854221" w:rsidRPr="00D80E11" w:rsidRDefault="00854221" w:rsidP="00854221">
            <w:pPr>
              <w:pStyle w:val="BodyText"/>
            </w:pPr>
          </w:p>
        </w:tc>
        <w:tc>
          <w:tcPr>
            <w:tcW w:w="1568"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rPr>
                <w:lang w:eastAsia="ar-SA"/>
              </w:rPr>
            </w:pPr>
            <w:r w:rsidRPr="00D80E11">
              <w:rPr>
                <w:lang w:eastAsia="ar-SA"/>
              </w:rPr>
              <w:t>N3*</w:t>
            </w:r>
          </w:p>
        </w:tc>
      </w:tr>
      <w:tr w:rsidR="00854221" w:rsidRPr="00D80E11" w:rsidTr="00854221">
        <w:trPr>
          <w:cantSplit/>
        </w:trPr>
        <w:tc>
          <w:tcPr>
            <w:tcW w:w="1908" w:type="dxa"/>
            <w:vMerge/>
            <w:tcBorders>
              <w:left w:val="single" w:sz="4" w:space="0" w:color="000000"/>
              <w:bottom w:val="single" w:sz="4" w:space="0" w:color="000000"/>
            </w:tcBorders>
            <w:vAlign w:val="center"/>
          </w:tcPr>
          <w:p w:rsidR="00854221" w:rsidRPr="00D80E11" w:rsidRDefault="00854221" w:rsidP="00854221">
            <w:pPr>
              <w:pStyle w:val="BodyText"/>
            </w:pPr>
          </w:p>
        </w:tc>
        <w:tc>
          <w:tcPr>
            <w:tcW w:w="4500" w:type="dxa"/>
            <w:tcBorders>
              <w:left w:val="single" w:sz="4" w:space="0" w:color="000000"/>
              <w:bottom w:val="single" w:sz="4" w:space="0" w:color="000000"/>
            </w:tcBorders>
          </w:tcPr>
          <w:p w:rsidR="00854221" w:rsidRPr="00D80E11" w:rsidRDefault="00854221" w:rsidP="00854221">
            <w:pPr>
              <w:pStyle w:val="BodyText"/>
              <w:rPr>
                <w:lang w:eastAsia="ar-SA"/>
              </w:rPr>
            </w:pPr>
            <w:r w:rsidRPr="00D80E11">
              <w:rPr>
                <w:lang w:eastAsia="ar-SA"/>
              </w:rPr>
              <w:t>East-European line</w:t>
            </w:r>
          </w:p>
        </w:tc>
        <w:tc>
          <w:tcPr>
            <w:tcW w:w="1352" w:type="dxa"/>
            <w:tcBorders>
              <w:left w:val="single" w:sz="4" w:space="0" w:color="000000"/>
              <w:bottom w:val="single" w:sz="4" w:space="0" w:color="000000"/>
            </w:tcBorders>
          </w:tcPr>
          <w:p w:rsidR="00854221" w:rsidRPr="00D80E11" w:rsidRDefault="00854221" w:rsidP="00854221">
            <w:pPr>
              <w:pStyle w:val="BodyText"/>
              <w:rPr>
                <w:lang w:eastAsia="ar-SA"/>
              </w:rPr>
            </w:pPr>
            <w:r w:rsidRPr="00D80E11">
              <w:rPr>
                <w:lang w:eastAsia="ar-SA"/>
              </w:rPr>
              <w:t>300</w:t>
            </w:r>
          </w:p>
        </w:tc>
        <w:tc>
          <w:tcPr>
            <w:tcW w:w="1568"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rPr>
                <w:lang w:eastAsia="ar-SA"/>
              </w:rPr>
            </w:pPr>
            <w:r w:rsidRPr="00D80E11">
              <w:rPr>
                <w:lang w:eastAsia="ar-SA"/>
              </w:rPr>
              <w:t>N4</w:t>
            </w:r>
          </w:p>
        </w:tc>
      </w:tr>
    </w:tbl>
    <w:p w:rsidR="00854221" w:rsidRPr="00D80E11" w:rsidRDefault="00854221" w:rsidP="00854221">
      <w:pPr>
        <w:pStyle w:val="Source"/>
      </w:pPr>
      <w:r w:rsidRPr="00D80E11">
        <w:t>Note: the length per track category actually changes slightly from year to year.</w:t>
      </w:r>
    </w:p>
    <w:p w:rsidR="00854221" w:rsidRDefault="00854221" w:rsidP="00854221">
      <w:pPr>
        <w:rPr>
          <w:rFonts w:eastAsia="Times New Roman" w:cs="Arial"/>
          <w:lang w:eastAsia="ar-SA"/>
        </w:rPr>
      </w:pPr>
    </w:p>
    <w:p w:rsidR="00027475" w:rsidRDefault="00027475" w:rsidP="00854221">
      <w:pPr>
        <w:rPr>
          <w:rFonts w:eastAsia="Times New Roman" w:cs="Arial"/>
          <w:lang w:eastAsia="ar-SA"/>
        </w:rPr>
      </w:pPr>
    </w:p>
    <w:p w:rsidR="00854221" w:rsidRPr="00D80E11" w:rsidRDefault="00854221" w:rsidP="00854221">
      <w:pPr>
        <w:rPr>
          <w:rFonts w:eastAsia="Times New Roman" w:cs="Arial"/>
          <w:lang w:eastAsia="ar-SA"/>
        </w:rPr>
      </w:pPr>
      <w:r w:rsidRPr="00D80E11">
        <w:rPr>
          <w:rFonts w:eastAsia="Times New Roman" w:cs="Arial"/>
          <w:lang w:eastAsia="ar-SA"/>
        </w:rPr>
        <w:t>Key aspects of the charging regime introduced in 2002 are as follows:</w:t>
      </w:r>
    </w:p>
    <w:p w:rsidR="00854221" w:rsidRPr="00D80E11" w:rsidRDefault="00854221" w:rsidP="00854221">
      <w:pPr>
        <w:pStyle w:val="BulletPoint"/>
        <w:numPr>
          <w:numberingChange w:id="39" w:author="USER" w:date="2009-10-24T23:18:00Z" w:original=""/>
        </w:numPr>
      </w:pPr>
      <w:r w:rsidRPr="00D80E11">
        <w:t xml:space="preserve">DA is zero for D and E track categories. </w:t>
      </w:r>
      <w:r>
        <w:t xml:space="preserve"> </w:t>
      </w:r>
      <w:r w:rsidRPr="00D80E11">
        <w:t>It is 365.88 €/path-km used per month for A &amp; B, and 3.05 € for C track category.</w:t>
      </w:r>
    </w:p>
    <w:p w:rsidR="00854221" w:rsidRPr="00D80E11" w:rsidRDefault="00854221" w:rsidP="00854221">
      <w:pPr>
        <w:pStyle w:val="BulletPoint"/>
        <w:numPr>
          <w:numberingChange w:id="40" w:author="USER" w:date="2009-10-24T23:18:00Z" w:original=""/>
        </w:numPr>
      </w:pPr>
      <w:r w:rsidRPr="00D80E11">
        <w:t>DR is composed of a reservation fee (DRS) and a 0.6 coefficient (coefficient K) for freight trains (this means that freight trains get a 40% rebate on path reservation fee in return for lower quality paths – quality of passenger trains being consistently favoured).  The levels of this charging component are set out in</w:t>
      </w:r>
      <w:r w:rsidR="00283E01">
        <w:t xml:space="preserve"> Table 8</w:t>
      </w:r>
      <w:r w:rsidRPr="00D80E11">
        <w:t xml:space="preserve">. </w:t>
      </w:r>
    </w:p>
    <w:p w:rsidR="00854221" w:rsidRPr="00D80E11" w:rsidRDefault="00854221" w:rsidP="00854221">
      <w:pPr>
        <w:rPr>
          <w:rFonts w:eastAsia="Times New Roman" w:cs="Arial"/>
          <w:lang w:eastAsia="ar-SA"/>
        </w:rPr>
      </w:pPr>
    </w:p>
    <w:p w:rsidR="00854221" w:rsidRPr="00CF0622" w:rsidRDefault="00854221" w:rsidP="00854221">
      <w:pPr>
        <w:pStyle w:val="Caption"/>
        <w:rPr>
          <w:rFonts w:cs="Arial"/>
        </w:rPr>
      </w:pPr>
      <w:bookmarkStart w:id="41" w:name="_Ref204159068"/>
      <w:bookmarkStart w:id="42" w:name="_Toc207524650"/>
      <w:r w:rsidRPr="00CF0622">
        <w:rPr>
          <w:rFonts w:cs="Arial"/>
        </w:rPr>
        <w:t xml:space="preserve">Table </w:t>
      </w:r>
      <w:bookmarkEnd w:id="41"/>
      <w:r w:rsidR="00283E01">
        <w:rPr>
          <w:rFonts w:cs="Arial"/>
        </w:rPr>
        <w:t>8:</w:t>
      </w:r>
      <w:r w:rsidRPr="00CF0622">
        <w:rPr>
          <w:rFonts w:cs="Arial"/>
        </w:rPr>
        <w:t xml:space="preserve">  DRS </w:t>
      </w:r>
      <w:r>
        <w:rPr>
          <w:rFonts w:cs="Arial"/>
        </w:rPr>
        <w:t>T</w:t>
      </w:r>
      <w:r w:rsidRPr="00CF0622">
        <w:rPr>
          <w:rFonts w:cs="Arial"/>
        </w:rPr>
        <w:t xml:space="preserve">ariffs for </w:t>
      </w:r>
      <w:r>
        <w:rPr>
          <w:rFonts w:cs="Arial"/>
        </w:rPr>
        <w:t>C</w:t>
      </w:r>
      <w:r w:rsidRPr="00CF0622">
        <w:rPr>
          <w:rFonts w:cs="Arial"/>
        </w:rPr>
        <w:t xml:space="preserve">onventional </w:t>
      </w:r>
      <w:r>
        <w:rPr>
          <w:rFonts w:cs="Arial"/>
        </w:rPr>
        <w:t>T</w:t>
      </w:r>
      <w:r w:rsidRPr="00CF0622">
        <w:rPr>
          <w:rFonts w:cs="Arial"/>
        </w:rPr>
        <w:t xml:space="preserve">rack </w:t>
      </w:r>
      <w:r>
        <w:rPr>
          <w:rFonts w:cs="Arial"/>
        </w:rPr>
        <w:t>C</w:t>
      </w:r>
      <w:r w:rsidRPr="00CF0622">
        <w:rPr>
          <w:rFonts w:cs="Arial"/>
        </w:rPr>
        <w:t>ategories in 2002 (€/</w:t>
      </w:r>
      <w:r>
        <w:rPr>
          <w:rFonts w:cs="Arial"/>
        </w:rPr>
        <w:t>P</w:t>
      </w:r>
      <w:r w:rsidRPr="00CF0622">
        <w:rPr>
          <w:rFonts w:cs="Arial"/>
        </w:rPr>
        <w:t>ath-</w:t>
      </w:r>
      <w:r>
        <w:rPr>
          <w:rFonts w:cs="Arial"/>
        </w:rPr>
        <w:t>K</w:t>
      </w:r>
      <w:r w:rsidRPr="00CF0622">
        <w:rPr>
          <w:rFonts w:cs="Arial"/>
        </w:rPr>
        <w:t>m)</w:t>
      </w:r>
      <w:bookmarkEnd w:id="42"/>
    </w:p>
    <w:tbl>
      <w:tblPr>
        <w:tblW w:w="0" w:type="auto"/>
        <w:jc w:val="center"/>
        <w:tblLayout w:type="fixed"/>
        <w:tblCellMar>
          <w:left w:w="70" w:type="dxa"/>
          <w:right w:w="70" w:type="dxa"/>
        </w:tblCellMar>
        <w:tblLook w:val="0000"/>
      </w:tblPr>
      <w:tblGrid>
        <w:gridCol w:w="1539"/>
        <w:gridCol w:w="606"/>
        <w:gridCol w:w="606"/>
        <w:gridCol w:w="495"/>
        <w:gridCol w:w="780"/>
      </w:tblGrid>
      <w:tr w:rsidR="00854221" w:rsidRPr="00D80E11" w:rsidTr="00854221">
        <w:trPr>
          <w:jc w:val="center"/>
        </w:trPr>
        <w:tc>
          <w:tcPr>
            <w:tcW w:w="1539" w:type="dxa"/>
            <w:tcBorders>
              <w:top w:val="single" w:sz="4" w:space="0" w:color="000000"/>
              <w:left w:val="single" w:sz="4" w:space="0" w:color="000000"/>
              <w:bottom w:val="single" w:sz="4" w:space="0" w:color="000000"/>
            </w:tcBorders>
            <w:shd w:val="pct10" w:color="auto" w:fill="auto"/>
          </w:tcPr>
          <w:p w:rsidR="00854221" w:rsidRPr="00D80E11" w:rsidRDefault="00854221" w:rsidP="00854221">
            <w:pPr>
              <w:pStyle w:val="BodyTextHeader"/>
            </w:pPr>
          </w:p>
        </w:tc>
        <w:tc>
          <w:tcPr>
            <w:tcW w:w="606" w:type="dxa"/>
            <w:tcBorders>
              <w:top w:val="single" w:sz="4" w:space="0" w:color="000000"/>
              <w:left w:val="single" w:sz="4" w:space="0" w:color="000000"/>
              <w:bottom w:val="single" w:sz="4" w:space="0" w:color="000000"/>
            </w:tcBorders>
            <w:shd w:val="pct10" w:color="auto" w:fill="auto"/>
            <w:vAlign w:val="center"/>
          </w:tcPr>
          <w:p w:rsidR="00854221" w:rsidRPr="00D80E11" w:rsidRDefault="00854221" w:rsidP="00854221">
            <w:pPr>
              <w:pStyle w:val="BodyTextHeader"/>
            </w:pPr>
            <w:r w:rsidRPr="00D80E11">
              <w:t>A</w:t>
            </w:r>
          </w:p>
        </w:tc>
        <w:tc>
          <w:tcPr>
            <w:tcW w:w="606" w:type="dxa"/>
            <w:tcBorders>
              <w:top w:val="single" w:sz="4" w:space="0" w:color="000000"/>
              <w:left w:val="single" w:sz="4" w:space="0" w:color="000000"/>
              <w:bottom w:val="single" w:sz="4" w:space="0" w:color="000000"/>
            </w:tcBorders>
            <w:shd w:val="pct10" w:color="auto" w:fill="auto"/>
            <w:vAlign w:val="center"/>
          </w:tcPr>
          <w:p w:rsidR="00854221" w:rsidRPr="00D80E11" w:rsidRDefault="00854221" w:rsidP="00854221">
            <w:pPr>
              <w:pStyle w:val="BodyTextHeader"/>
            </w:pPr>
            <w:r w:rsidRPr="00D80E11">
              <w:t>B</w:t>
            </w:r>
          </w:p>
        </w:tc>
        <w:tc>
          <w:tcPr>
            <w:tcW w:w="495" w:type="dxa"/>
            <w:tcBorders>
              <w:top w:val="single" w:sz="4" w:space="0" w:color="000000"/>
              <w:left w:val="single" w:sz="4" w:space="0" w:color="000000"/>
              <w:bottom w:val="single" w:sz="4" w:space="0" w:color="000000"/>
            </w:tcBorders>
            <w:shd w:val="pct10" w:color="auto" w:fill="auto"/>
            <w:vAlign w:val="center"/>
          </w:tcPr>
          <w:p w:rsidR="00854221" w:rsidRPr="00D80E11" w:rsidRDefault="00854221" w:rsidP="00854221">
            <w:pPr>
              <w:pStyle w:val="BodyTextHeader"/>
            </w:pPr>
            <w:r w:rsidRPr="00D80E11">
              <w:t>C</w:t>
            </w:r>
          </w:p>
        </w:tc>
        <w:tc>
          <w:tcPr>
            <w:tcW w:w="7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854221" w:rsidRPr="00D80E11" w:rsidRDefault="00854221" w:rsidP="00854221">
            <w:pPr>
              <w:pStyle w:val="BodyTextHeader"/>
            </w:pPr>
            <w:r w:rsidRPr="00D80E11">
              <w:t>D &amp; E</w:t>
            </w:r>
          </w:p>
        </w:tc>
      </w:tr>
      <w:tr w:rsidR="00854221" w:rsidRPr="00D80E11" w:rsidTr="00854221">
        <w:trPr>
          <w:jc w:val="center"/>
        </w:trPr>
        <w:tc>
          <w:tcPr>
            <w:tcW w:w="1539" w:type="dxa"/>
            <w:tcBorders>
              <w:left w:val="single" w:sz="4" w:space="0" w:color="000000"/>
              <w:bottom w:val="single" w:sz="4" w:space="0" w:color="000000"/>
            </w:tcBorders>
            <w:vAlign w:val="center"/>
          </w:tcPr>
          <w:p w:rsidR="00854221" w:rsidRPr="00D80E11" w:rsidRDefault="00854221" w:rsidP="00854221">
            <w:pPr>
              <w:pStyle w:val="BodyText"/>
            </w:pPr>
            <w:r w:rsidRPr="00D80E11">
              <w:t>Off-peak hours</w:t>
            </w:r>
          </w:p>
        </w:tc>
        <w:tc>
          <w:tcPr>
            <w:tcW w:w="606" w:type="dxa"/>
            <w:tcBorders>
              <w:left w:val="single" w:sz="4" w:space="0" w:color="000000"/>
              <w:bottom w:val="single" w:sz="4" w:space="0" w:color="000000"/>
            </w:tcBorders>
            <w:vAlign w:val="center"/>
          </w:tcPr>
          <w:p w:rsidR="00854221" w:rsidRPr="00D80E11" w:rsidRDefault="00854221" w:rsidP="00854221">
            <w:pPr>
              <w:pStyle w:val="BodyText"/>
            </w:pPr>
            <w:r w:rsidRPr="00D80E11">
              <w:t>1.52</w:t>
            </w:r>
          </w:p>
        </w:tc>
        <w:tc>
          <w:tcPr>
            <w:tcW w:w="606" w:type="dxa"/>
            <w:tcBorders>
              <w:left w:val="single" w:sz="4" w:space="0" w:color="000000"/>
              <w:bottom w:val="single" w:sz="4" w:space="0" w:color="000000"/>
            </w:tcBorders>
            <w:vAlign w:val="center"/>
          </w:tcPr>
          <w:p w:rsidR="00854221" w:rsidRPr="00D80E11" w:rsidRDefault="00854221" w:rsidP="00854221">
            <w:pPr>
              <w:pStyle w:val="BodyText"/>
            </w:pPr>
            <w:r w:rsidRPr="00D80E11">
              <w:t>0.61</w:t>
            </w:r>
          </w:p>
        </w:tc>
        <w:tc>
          <w:tcPr>
            <w:tcW w:w="495" w:type="dxa"/>
            <w:tcBorders>
              <w:left w:val="single" w:sz="4" w:space="0" w:color="000000"/>
              <w:bottom w:val="single" w:sz="4" w:space="0" w:color="000000"/>
            </w:tcBorders>
            <w:vAlign w:val="center"/>
          </w:tcPr>
          <w:p w:rsidR="00854221" w:rsidRPr="00D80E11" w:rsidRDefault="00854221" w:rsidP="00854221">
            <w:pPr>
              <w:pStyle w:val="BodyText"/>
            </w:pPr>
            <w:r w:rsidRPr="00D80E11">
              <w:t>0</w:t>
            </w:r>
          </w:p>
        </w:tc>
        <w:tc>
          <w:tcPr>
            <w:tcW w:w="780"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0</w:t>
            </w:r>
          </w:p>
        </w:tc>
      </w:tr>
      <w:tr w:rsidR="00854221" w:rsidRPr="00D80E11" w:rsidTr="00854221">
        <w:trPr>
          <w:jc w:val="center"/>
        </w:trPr>
        <w:tc>
          <w:tcPr>
            <w:tcW w:w="1539" w:type="dxa"/>
            <w:tcBorders>
              <w:left w:val="single" w:sz="4" w:space="0" w:color="000000"/>
              <w:bottom w:val="single" w:sz="4" w:space="0" w:color="000000"/>
            </w:tcBorders>
            <w:vAlign w:val="center"/>
          </w:tcPr>
          <w:p w:rsidR="00854221" w:rsidRPr="00D80E11" w:rsidRDefault="00854221" w:rsidP="00854221">
            <w:pPr>
              <w:pStyle w:val="BodyText"/>
            </w:pPr>
            <w:r w:rsidRPr="00D80E11">
              <w:t>Normal hours</w:t>
            </w:r>
          </w:p>
        </w:tc>
        <w:tc>
          <w:tcPr>
            <w:tcW w:w="606" w:type="dxa"/>
            <w:tcBorders>
              <w:left w:val="single" w:sz="4" w:space="0" w:color="000000"/>
              <w:bottom w:val="single" w:sz="4" w:space="0" w:color="000000"/>
            </w:tcBorders>
            <w:vAlign w:val="center"/>
          </w:tcPr>
          <w:p w:rsidR="00854221" w:rsidRPr="00D80E11" w:rsidRDefault="00854221" w:rsidP="00854221">
            <w:pPr>
              <w:pStyle w:val="BodyText"/>
            </w:pPr>
            <w:r w:rsidRPr="00D80E11">
              <w:t>4.88</w:t>
            </w:r>
          </w:p>
        </w:tc>
        <w:tc>
          <w:tcPr>
            <w:tcW w:w="606" w:type="dxa"/>
            <w:tcBorders>
              <w:left w:val="single" w:sz="4" w:space="0" w:color="000000"/>
              <w:bottom w:val="single" w:sz="4" w:space="0" w:color="000000"/>
            </w:tcBorders>
            <w:vAlign w:val="center"/>
          </w:tcPr>
          <w:p w:rsidR="00854221" w:rsidRPr="00D80E11" w:rsidRDefault="00854221" w:rsidP="00854221">
            <w:pPr>
              <w:pStyle w:val="BodyText"/>
            </w:pPr>
            <w:r w:rsidRPr="00D80E11">
              <w:t>1.22</w:t>
            </w:r>
          </w:p>
        </w:tc>
        <w:tc>
          <w:tcPr>
            <w:tcW w:w="495" w:type="dxa"/>
            <w:tcBorders>
              <w:left w:val="single" w:sz="4" w:space="0" w:color="000000"/>
              <w:bottom w:val="single" w:sz="4" w:space="0" w:color="000000"/>
            </w:tcBorders>
            <w:vAlign w:val="center"/>
          </w:tcPr>
          <w:p w:rsidR="00854221" w:rsidRPr="00D80E11" w:rsidRDefault="00854221" w:rsidP="00854221">
            <w:pPr>
              <w:pStyle w:val="BodyText"/>
            </w:pPr>
            <w:r w:rsidRPr="00D80E11">
              <w:t>0.8</w:t>
            </w:r>
          </w:p>
        </w:tc>
        <w:tc>
          <w:tcPr>
            <w:tcW w:w="780"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0</w:t>
            </w:r>
          </w:p>
        </w:tc>
      </w:tr>
      <w:tr w:rsidR="00854221" w:rsidRPr="00D80E11" w:rsidTr="00854221">
        <w:trPr>
          <w:jc w:val="center"/>
        </w:trPr>
        <w:tc>
          <w:tcPr>
            <w:tcW w:w="1539" w:type="dxa"/>
            <w:tcBorders>
              <w:left w:val="single" w:sz="4" w:space="0" w:color="000000"/>
              <w:bottom w:val="single" w:sz="4" w:space="0" w:color="000000"/>
            </w:tcBorders>
            <w:vAlign w:val="center"/>
          </w:tcPr>
          <w:p w:rsidR="00854221" w:rsidRPr="00D80E11" w:rsidRDefault="00854221" w:rsidP="00854221">
            <w:pPr>
              <w:pStyle w:val="BodyText"/>
            </w:pPr>
            <w:r w:rsidRPr="00D80E11">
              <w:t>Peak hours</w:t>
            </w:r>
          </w:p>
        </w:tc>
        <w:tc>
          <w:tcPr>
            <w:tcW w:w="606" w:type="dxa"/>
            <w:tcBorders>
              <w:left w:val="single" w:sz="4" w:space="0" w:color="000000"/>
              <w:bottom w:val="single" w:sz="4" w:space="0" w:color="000000"/>
            </w:tcBorders>
            <w:vAlign w:val="center"/>
          </w:tcPr>
          <w:p w:rsidR="00854221" w:rsidRPr="00D80E11" w:rsidRDefault="00854221" w:rsidP="00854221">
            <w:pPr>
              <w:pStyle w:val="BodyText"/>
            </w:pPr>
            <w:r w:rsidRPr="00D80E11">
              <w:t>14.3</w:t>
            </w:r>
          </w:p>
        </w:tc>
        <w:tc>
          <w:tcPr>
            <w:tcW w:w="606" w:type="dxa"/>
            <w:tcBorders>
              <w:left w:val="single" w:sz="4" w:space="0" w:color="000000"/>
              <w:bottom w:val="single" w:sz="4" w:space="0" w:color="000000"/>
            </w:tcBorders>
            <w:vAlign w:val="center"/>
          </w:tcPr>
          <w:p w:rsidR="00854221" w:rsidRPr="00D80E11" w:rsidRDefault="00854221" w:rsidP="00854221">
            <w:pPr>
              <w:pStyle w:val="BodyText"/>
            </w:pPr>
            <w:r w:rsidRPr="00D80E11">
              <w:t>2.44</w:t>
            </w:r>
          </w:p>
        </w:tc>
        <w:tc>
          <w:tcPr>
            <w:tcW w:w="495" w:type="dxa"/>
            <w:tcBorders>
              <w:left w:val="single" w:sz="4" w:space="0" w:color="000000"/>
              <w:bottom w:val="single" w:sz="4" w:space="0" w:color="000000"/>
            </w:tcBorders>
            <w:vAlign w:val="center"/>
          </w:tcPr>
          <w:p w:rsidR="00854221" w:rsidRPr="00D80E11" w:rsidRDefault="00854221" w:rsidP="00854221">
            <w:pPr>
              <w:pStyle w:val="BodyText"/>
            </w:pPr>
            <w:r w:rsidRPr="00D80E11">
              <w:t>0.8</w:t>
            </w:r>
          </w:p>
        </w:tc>
        <w:tc>
          <w:tcPr>
            <w:tcW w:w="780"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0</w:t>
            </w:r>
          </w:p>
        </w:tc>
      </w:tr>
    </w:tbl>
    <w:p w:rsidR="00854221" w:rsidRPr="00D80E11" w:rsidRDefault="00854221" w:rsidP="00854221">
      <w:pPr>
        <w:rPr>
          <w:rFonts w:cs="Arial"/>
        </w:rPr>
      </w:pPr>
    </w:p>
    <w:p w:rsidR="00854221" w:rsidRPr="00D80E11" w:rsidRDefault="00854221" w:rsidP="00854221">
      <w:r w:rsidRPr="00D80E11">
        <w:t xml:space="preserve">DC is set lower for freight trains than for passenger trains (0.23 €/train-km vs. 0.79), whilst a fee for power transport (RCTE) is created. </w:t>
      </w:r>
      <w:r>
        <w:t xml:space="preserve"> </w:t>
      </w:r>
      <w:r w:rsidRPr="00D80E11">
        <w:t>Like the use of electrical supply equipment (RCE) and the use of marshalling yards, etc., it is an optional service.  Rail freight traffic remained stable.</w:t>
      </w:r>
    </w:p>
    <w:p w:rsidR="00854221" w:rsidRPr="00D80E11" w:rsidRDefault="00854221" w:rsidP="00854221"/>
    <w:p w:rsidR="00854221" w:rsidRPr="00D80E11" w:rsidRDefault="00854221" w:rsidP="00854221">
      <w:r w:rsidRPr="00D80E11">
        <w:lastRenderedPageBreak/>
        <w:t>In 2003 DA was increased slightly for track categories A and B, but a coefficient M was created for differentiating this access fee, for A, B and N track categories, varying  with the number of reserved paths and the duration of the agreement for those paths, as set out i</w:t>
      </w:r>
      <w:r>
        <w:t>n</w:t>
      </w:r>
      <w:r w:rsidR="00283E01">
        <w:t xml:space="preserve"> Table 9</w:t>
      </w:r>
      <w:r w:rsidRPr="00D80E11">
        <w:t>. Total DA paid decreased (</w:t>
      </w:r>
      <w:smartTag w:uri="urn:schemas-microsoft-com:office:smarttags" w:element="metricconverter">
        <w:smartTagPr>
          <w:attr w:name="ProductID" w:val="86 M"/>
        </w:smartTagPr>
        <w:r w:rsidRPr="00D80E11">
          <w:t>86 M</w:t>
        </w:r>
      </w:smartTag>
      <w:r w:rsidRPr="00D80E11">
        <w:t xml:space="preserve"> </w:t>
      </w:r>
      <w:proofErr w:type="spellStart"/>
      <w:r w:rsidRPr="00D80E11">
        <w:t>euros</w:t>
      </w:r>
      <w:proofErr w:type="spellEnd"/>
      <w:r w:rsidRPr="00D80E11">
        <w:t xml:space="preserve"> i.e. 4.7% of total charges vs. </w:t>
      </w:r>
      <w:smartTag w:uri="urn:schemas-microsoft-com:office:smarttags" w:element="metricconverter">
        <w:smartTagPr>
          <w:attr w:name="ProductID" w:val="95 M"/>
        </w:smartTagPr>
        <w:r w:rsidRPr="00D80E11">
          <w:t>95 M</w:t>
        </w:r>
      </w:smartTag>
      <w:r w:rsidRPr="00D80E11">
        <w:t xml:space="preserve"> </w:t>
      </w:r>
      <w:proofErr w:type="spellStart"/>
      <w:r w:rsidRPr="00D80E11">
        <w:t>euros</w:t>
      </w:r>
      <w:proofErr w:type="spellEnd"/>
      <w:r w:rsidRPr="00D80E11">
        <w:t xml:space="preserve"> and 5.2% in 2002).</w:t>
      </w:r>
    </w:p>
    <w:p w:rsidR="00854221" w:rsidRPr="00D80E11" w:rsidRDefault="00854221" w:rsidP="00854221">
      <w:pPr>
        <w:tabs>
          <w:tab w:val="left" w:pos="1362"/>
        </w:tabs>
        <w:ind w:left="908"/>
        <w:rPr>
          <w:rFonts w:cs="Arial"/>
        </w:rPr>
      </w:pPr>
    </w:p>
    <w:p w:rsidR="00854221" w:rsidRPr="00CF0622" w:rsidRDefault="00854221" w:rsidP="00027475">
      <w:pPr>
        <w:pStyle w:val="Caption"/>
        <w:rPr>
          <w:rFonts w:cs="Arial"/>
          <w:b w:val="0"/>
          <w:bCs w:val="0"/>
        </w:rPr>
      </w:pPr>
      <w:bookmarkStart w:id="43" w:name="_Ref204159211"/>
      <w:bookmarkStart w:id="44" w:name="_Ref204766446"/>
      <w:bookmarkStart w:id="45" w:name="_Toc207524651"/>
      <w:r w:rsidRPr="00CF0622">
        <w:rPr>
          <w:rFonts w:cs="Arial"/>
        </w:rPr>
        <w:t xml:space="preserve">Table </w:t>
      </w:r>
      <w:bookmarkEnd w:id="43"/>
      <w:bookmarkEnd w:id="44"/>
      <w:r w:rsidR="00283E01">
        <w:rPr>
          <w:rFonts w:cs="Arial"/>
        </w:rPr>
        <w:t>9:</w:t>
      </w:r>
      <w:r w:rsidRPr="00CF0622">
        <w:rPr>
          <w:rFonts w:cs="Arial"/>
          <w:b w:val="0"/>
          <w:bCs w:val="0"/>
        </w:rPr>
        <w:t xml:space="preserve">  </w:t>
      </w:r>
      <w:r w:rsidRPr="00CF0622">
        <w:rPr>
          <w:rFonts w:cs="Arial"/>
          <w:bCs w:val="0"/>
        </w:rPr>
        <w:t xml:space="preserve">M </w:t>
      </w:r>
      <w:r>
        <w:rPr>
          <w:rFonts w:cs="Arial"/>
          <w:bCs w:val="0"/>
        </w:rPr>
        <w:t>C</w:t>
      </w:r>
      <w:r w:rsidRPr="00CF0622">
        <w:rPr>
          <w:rFonts w:cs="Arial"/>
          <w:bCs w:val="0"/>
        </w:rPr>
        <w:t xml:space="preserve">oefficient for </w:t>
      </w:r>
      <w:r>
        <w:rPr>
          <w:rFonts w:cs="Arial"/>
          <w:bCs w:val="0"/>
        </w:rPr>
        <w:t>A</w:t>
      </w:r>
      <w:r w:rsidRPr="00CF0622">
        <w:rPr>
          <w:rFonts w:cs="Arial"/>
          <w:bCs w:val="0"/>
        </w:rPr>
        <w:t xml:space="preserve">ccess </w:t>
      </w:r>
      <w:r>
        <w:rPr>
          <w:rFonts w:cs="Arial"/>
          <w:bCs w:val="0"/>
        </w:rPr>
        <w:t>F</w:t>
      </w:r>
      <w:r w:rsidRPr="00CF0622">
        <w:rPr>
          <w:rFonts w:cs="Arial"/>
          <w:bCs w:val="0"/>
        </w:rPr>
        <w:t>ee DA</w:t>
      </w:r>
      <w:bookmarkEnd w:id="45"/>
    </w:p>
    <w:tbl>
      <w:tblPr>
        <w:tblW w:w="0" w:type="auto"/>
        <w:tblInd w:w="-123" w:type="dxa"/>
        <w:tblLayout w:type="fixed"/>
        <w:tblCellMar>
          <w:left w:w="0" w:type="dxa"/>
          <w:right w:w="0" w:type="dxa"/>
        </w:tblCellMar>
        <w:tblLook w:val="0000"/>
      </w:tblPr>
      <w:tblGrid>
        <w:gridCol w:w="3888"/>
        <w:gridCol w:w="1331"/>
        <w:gridCol w:w="1331"/>
        <w:gridCol w:w="1331"/>
        <w:gridCol w:w="1371"/>
      </w:tblGrid>
      <w:tr w:rsidR="00854221" w:rsidRPr="00D80E11" w:rsidTr="00854221">
        <w:tc>
          <w:tcPr>
            <w:tcW w:w="3888" w:type="dxa"/>
            <w:tcBorders>
              <w:top w:val="single" w:sz="4" w:space="0" w:color="000000"/>
              <w:left w:val="single" w:sz="4" w:space="0" w:color="000000"/>
              <w:bottom w:val="single" w:sz="4" w:space="0" w:color="000000"/>
            </w:tcBorders>
            <w:shd w:val="pct10" w:color="auto" w:fill="auto"/>
            <w:vAlign w:val="center"/>
          </w:tcPr>
          <w:p w:rsidR="00854221" w:rsidRPr="00D80E11" w:rsidRDefault="00854221" w:rsidP="00854221">
            <w:pPr>
              <w:pStyle w:val="BodyTextHeader"/>
            </w:pPr>
            <w:r w:rsidRPr="00D80E11">
              <w:t>Coefficient M</w:t>
            </w:r>
          </w:p>
        </w:tc>
        <w:tc>
          <w:tcPr>
            <w:tcW w:w="5364" w:type="dxa"/>
            <w:gridSpan w:val="4"/>
            <w:tcBorders>
              <w:top w:val="single" w:sz="4" w:space="0" w:color="000000"/>
              <w:left w:val="single" w:sz="4" w:space="0" w:color="000000"/>
              <w:bottom w:val="single" w:sz="4" w:space="0" w:color="000000"/>
              <w:right w:val="single" w:sz="4" w:space="0" w:color="000000"/>
            </w:tcBorders>
            <w:shd w:val="pct10" w:color="auto" w:fill="auto"/>
            <w:vAlign w:val="center"/>
          </w:tcPr>
          <w:p w:rsidR="00854221" w:rsidRPr="00D80E11" w:rsidRDefault="00854221" w:rsidP="00854221">
            <w:pPr>
              <w:pStyle w:val="BodyTextHeader"/>
            </w:pPr>
            <w:r w:rsidRPr="00D80E11">
              <w:t>Number of booked paths in A, B, N</w:t>
            </w:r>
          </w:p>
        </w:tc>
      </w:tr>
      <w:tr w:rsidR="00854221" w:rsidRPr="00D80E11" w:rsidTr="00854221">
        <w:tc>
          <w:tcPr>
            <w:tcW w:w="3888" w:type="dxa"/>
            <w:tcBorders>
              <w:left w:val="single" w:sz="4" w:space="0" w:color="000000"/>
              <w:bottom w:val="single" w:sz="4" w:space="0" w:color="000000"/>
            </w:tcBorders>
            <w:vAlign w:val="center"/>
          </w:tcPr>
          <w:p w:rsidR="00854221" w:rsidRPr="00D80E11" w:rsidRDefault="00854221" w:rsidP="00854221">
            <w:pPr>
              <w:pStyle w:val="BodyText"/>
            </w:pPr>
            <w:r w:rsidRPr="00D80E11">
              <w:t>Per category</w:t>
            </w:r>
          </w:p>
        </w:tc>
        <w:tc>
          <w:tcPr>
            <w:tcW w:w="1331" w:type="dxa"/>
            <w:tcBorders>
              <w:left w:val="single" w:sz="4" w:space="0" w:color="000000"/>
              <w:bottom w:val="single" w:sz="4" w:space="0" w:color="000000"/>
            </w:tcBorders>
            <w:vAlign w:val="center"/>
          </w:tcPr>
          <w:p w:rsidR="00854221" w:rsidRPr="00D80E11" w:rsidRDefault="00854221" w:rsidP="00854221">
            <w:pPr>
              <w:pStyle w:val="BodyText"/>
              <w:jc w:val="center"/>
            </w:pPr>
            <w:r w:rsidRPr="00D80E11">
              <w:t>1-10</w:t>
            </w:r>
          </w:p>
        </w:tc>
        <w:tc>
          <w:tcPr>
            <w:tcW w:w="1331" w:type="dxa"/>
            <w:tcBorders>
              <w:left w:val="single" w:sz="4" w:space="0" w:color="000000"/>
              <w:bottom w:val="single" w:sz="4" w:space="0" w:color="000000"/>
            </w:tcBorders>
            <w:vAlign w:val="center"/>
          </w:tcPr>
          <w:p w:rsidR="00854221" w:rsidRPr="00D80E11" w:rsidRDefault="00854221" w:rsidP="00854221">
            <w:pPr>
              <w:pStyle w:val="BodyText"/>
              <w:jc w:val="center"/>
            </w:pPr>
            <w:r w:rsidRPr="00D80E11">
              <w:t>11-100</w:t>
            </w:r>
          </w:p>
        </w:tc>
        <w:tc>
          <w:tcPr>
            <w:tcW w:w="1331" w:type="dxa"/>
            <w:tcBorders>
              <w:left w:val="single" w:sz="4" w:space="0" w:color="000000"/>
              <w:bottom w:val="single" w:sz="4" w:space="0" w:color="000000"/>
            </w:tcBorders>
            <w:vAlign w:val="center"/>
          </w:tcPr>
          <w:p w:rsidR="00854221" w:rsidRPr="00D80E11" w:rsidRDefault="00854221" w:rsidP="00854221">
            <w:pPr>
              <w:pStyle w:val="BodyText"/>
              <w:jc w:val="center"/>
            </w:pPr>
            <w:r w:rsidRPr="00D80E11">
              <w:t>101-1000</w:t>
            </w:r>
          </w:p>
        </w:tc>
        <w:tc>
          <w:tcPr>
            <w:tcW w:w="1371"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jc w:val="center"/>
            </w:pPr>
            <w:r w:rsidRPr="00D80E11">
              <w:t>&gt;1000</w:t>
            </w:r>
          </w:p>
        </w:tc>
      </w:tr>
      <w:tr w:rsidR="00854221" w:rsidRPr="00D80E11" w:rsidTr="00854221">
        <w:tc>
          <w:tcPr>
            <w:tcW w:w="3888" w:type="dxa"/>
            <w:tcBorders>
              <w:left w:val="single" w:sz="4" w:space="0" w:color="000000"/>
              <w:bottom w:val="single" w:sz="4" w:space="0" w:color="000000"/>
            </w:tcBorders>
            <w:vAlign w:val="center"/>
          </w:tcPr>
          <w:p w:rsidR="00854221" w:rsidRPr="00D80E11" w:rsidRDefault="00854221" w:rsidP="00854221">
            <w:pPr>
              <w:pStyle w:val="BodyText"/>
            </w:pPr>
            <w:r w:rsidRPr="00D80E11">
              <w:t>Purchase agreement &lt; 5 years</w:t>
            </w:r>
          </w:p>
        </w:tc>
        <w:tc>
          <w:tcPr>
            <w:tcW w:w="1331" w:type="dxa"/>
            <w:tcBorders>
              <w:left w:val="single" w:sz="4" w:space="0" w:color="000000"/>
              <w:bottom w:val="single" w:sz="4" w:space="0" w:color="000000"/>
            </w:tcBorders>
            <w:vAlign w:val="center"/>
          </w:tcPr>
          <w:p w:rsidR="00854221" w:rsidRPr="00D80E11" w:rsidRDefault="00854221" w:rsidP="00854221">
            <w:pPr>
              <w:pStyle w:val="BodyText"/>
              <w:jc w:val="center"/>
            </w:pPr>
            <w:r w:rsidRPr="00D80E11">
              <w:t>0.03</w:t>
            </w:r>
          </w:p>
        </w:tc>
        <w:tc>
          <w:tcPr>
            <w:tcW w:w="1331" w:type="dxa"/>
            <w:tcBorders>
              <w:left w:val="single" w:sz="4" w:space="0" w:color="000000"/>
              <w:bottom w:val="single" w:sz="4" w:space="0" w:color="000000"/>
            </w:tcBorders>
            <w:vAlign w:val="center"/>
          </w:tcPr>
          <w:p w:rsidR="00854221" w:rsidRPr="00D80E11" w:rsidRDefault="00854221" w:rsidP="00854221">
            <w:pPr>
              <w:pStyle w:val="BodyText"/>
              <w:jc w:val="center"/>
            </w:pPr>
            <w:r w:rsidRPr="00D80E11">
              <w:t>0.225</w:t>
            </w:r>
          </w:p>
        </w:tc>
        <w:tc>
          <w:tcPr>
            <w:tcW w:w="1331" w:type="dxa"/>
            <w:tcBorders>
              <w:left w:val="single" w:sz="4" w:space="0" w:color="000000"/>
              <w:bottom w:val="single" w:sz="4" w:space="0" w:color="000000"/>
            </w:tcBorders>
            <w:vAlign w:val="center"/>
          </w:tcPr>
          <w:p w:rsidR="00854221" w:rsidRPr="00D80E11" w:rsidRDefault="00854221" w:rsidP="00854221">
            <w:pPr>
              <w:pStyle w:val="BodyText"/>
              <w:jc w:val="center"/>
            </w:pPr>
            <w:r w:rsidRPr="00D80E11">
              <w:t>1.5</w:t>
            </w:r>
          </w:p>
        </w:tc>
        <w:tc>
          <w:tcPr>
            <w:tcW w:w="1371"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jc w:val="center"/>
            </w:pPr>
            <w:r w:rsidRPr="00D80E11">
              <w:t>1.5</w:t>
            </w:r>
          </w:p>
        </w:tc>
      </w:tr>
      <w:tr w:rsidR="00854221" w:rsidRPr="00D80E11" w:rsidTr="00854221">
        <w:tc>
          <w:tcPr>
            <w:tcW w:w="3888" w:type="dxa"/>
            <w:tcBorders>
              <w:left w:val="single" w:sz="4" w:space="0" w:color="000000"/>
              <w:bottom w:val="single" w:sz="4" w:space="0" w:color="000000"/>
            </w:tcBorders>
            <w:vAlign w:val="center"/>
          </w:tcPr>
          <w:p w:rsidR="00854221" w:rsidRPr="00D80E11" w:rsidRDefault="00854221" w:rsidP="00854221">
            <w:pPr>
              <w:pStyle w:val="BodyText"/>
            </w:pPr>
            <w:r w:rsidRPr="00D80E11">
              <w:t>Purchase agreement &gt; 5 years</w:t>
            </w:r>
          </w:p>
        </w:tc>
        <w:tc>
          <w:tcPr>
            <w:tcW w:w="1331" w:type="dxa"/>
            <w:tcBorders>
              <w:left w:val="single" w:sz="4" w:space="0" w:color="000000"/>
              <w:bottom w:val="single" w:sz="4" w:space="0" w:color="000000"/>
            </w:tcBorders>
            <w:vAlign w:val="center"/>
          </w:tcPr>
          <w:p w:rsidR="00854221" w:rsidRPr="00D80E11" w:rsidRDefault="00854221" w:rsidP="00854221">
            <w:pPr>
              <w:pStyle w:val="BodyText"/>
              <w:jc w:val="center"/>
            </w:pPr>
            <w:r w:rsidRPr="00D80E11">
              <w:t>0.02</w:t>
            </w:r>
          </w:p>
        </w:tc>
        <w:tc>
          <w:tcPr>
            <w:tcW w:w="1331" w:type="dxa"/>
            <w:tcBorders>
              <w:left w:val="single" w:sz="4" w:space="0" w:color="000000"/>
              <w:bottom w:val="single" w:sz="4" w:space="0" w:color="000000"/>
            </w:tcBorders>
            <w:vAlign w:val="center"/>
          </w:tcPr>
          <w:p w:rsidR="00854221" w:rsidRPr="00D80E11" w:rsidRDefault="00854221" w:rsidP="00854221">
            <w:pPr>
              <w:pStyle w:val="BodyText"/>
              <w:jc w:val="center"/>
            </w:pPr>
            <w:r w:rsidRPr="00D80E11">
              <w:t>0.15</w:t>
            </w:r>
          </w:p>
        </w:tc>
        <w:tc>
          <w:tcPr>
            <w:tcW w:w="1331" w:type="dxa"/>
            <w:tcBorders>
              <w:left w:val="single" w:sz="4" w:space="0" w:color="000000"/>
              <w:bottom w:val="single" w:sz="4" w:space="0" w:color="000000"/>
            </w:tcBorders>
            <w:vAlign w:val="center"/>
          </w:tcPr>
          <w:p w:rsidR="00854221" w:rsidRPr="00D80E11" w:rsidRDefault="00854221" w:rsidP="00854221">
            <w:pPr>
              <w:pStyle w:val="BodyText"/>
              <w:jc w:val="center"/>
            </w:pPr>
            <w:r w:rsidRPr="00D80E11">
              <w:t>1</w:t>
            </w:r>
          </w:p>
        </w:tc>
        <w:tc>
          <w:tcPr>
            <w:tcW w:w="1371"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jc w:val="center"/>
            </w:pPr>
            <w:r w:rsidRPr="00D80E11">
              <w:t>1</w:t>
            </w:r>
          </w:p>
        </w:tc>
      </w:tr>
    </w:tbl>
    <w:p w:rsidR="00854221" w:rsidRDefault="00854221" w:rsidP="00854221">
      <w:pPr>
        <w:rPr>
          <w:rFonts w:cs="Arial"/>
        </w:rPr>
      </w:pPr>
    </w:p>
    <w:p w:rsidR="00027475" w:rsidRPr="00D80E11" w:rsidRDefault="00027475" w:rsidP="00854221">
      <w:pPr>
        <w:rPr>
          <w:rFonts w:cs="Arial"/>
        </w:rPr>
      </w:pPr>
    </w:p>
    <w:p w:rsidR="00027475" w:rsidRDefault="00854221" w:rsidP="00027475">
      <w:pPr>
        <w:tabs>
          <w:tab w:val="left" w:pos="454"/>
        </w:tabs>
        <w:rPr>
          <w:rFonts w:cs="Arial"/>
        </w:rPr>
      </w:pPr>
      <w:r w:rsidRPr="00D80E11">
        <w:rPr>
          <w:rFonts w:cs="Arial"/>
        </w:rPr>
        <w:t xml:space="preserve">Furthermore, coefficient K was divided into 2 categories: K=1 for train paths &gt; </w:t>
      </w:r>
      <w:smartTag w:uri="urn:schemas-microsoft-com:office:smarttags" w:element="metricconverter">
        <w:smartTagPr>
          <w:attr w:name="ProductID" w:val="300 km"/>
        </w:smartTagPr>
        <w:r w:rsidRPr="00D80E11">
          <w:rPr>
            <w:rFonts w:cs="Arial"/>
          </w:rPr>
          <w:t>300 km</w:t>
        </w:r>
      </w:smartTag>
      <w:r w:rsidRPr="00D80E11">
        <w:rPr>
          <w:rFonts w:cs="Arial"/>
        </w:rPr>
        <w:t xml:space="preserve"> with an average speed &gt; </w:t>
      </w:r>
      <w:smartTag w:uri="urn:schemas-microsoft-com:office:smarttags" w:element="metricconverter">
        <w:smartTagPr>
          <w:attr w:name="ProductID" w:val="70 km/h"/>
        </w:smartTagPr>
        <w:r w:rsidRPr="00D80E11">
          <w:rPr>
            <w:rFonts w:cs="Arial"/>
          </w:rPr>
          <w:t>70 km/h</w:t>
        </w:r>
      </w:smartTag>
      <w:r w:rsidRPr="00D80E11">
        <w:rPr>
          <w:rFonts w:cs="Arial"/>
        </w:rPr>
        <w:t xml:space="preserve"> (meaning no rebate for these “rapid”  trains, that correspond roughly to “high value” freight such as containerised traffic), and K=0.6 for all other freight trains.  In addition, all DRS and DC tariffs increase by 2 %. </w:t>
      </w:r>
    </w:p>
    <w:p w:rsidR="00027475" w:rsidRDefault="00027475" w:rsidP="00854221">
      <w:pPr>
        <w:rPr>
          <w:rFonts w:cs="Arial"/>
        </w:rPr>
      </w:pPr>
    </w:p>
    <w:p w:rsidR="00854221" w:rsidRPr="00D80E11" w:rsidRDefault="00854221" w:rsidP="00854221">
      <w:pPr>
        <w:rPr>
          <w:rFonts w:cs="Arial"/>
        </w:rPr>
      </w:pPr>
      <w:r w:rsidRPr="00D80E11">
        <w:rPr>
          <w:rFonts w:cs="Arial"/>
        </w:rPr>
        <w:t>Freight traffic decreased by 6.4%, but it is understood that this was mainly due to a long strike during the spring. SNCF freight branch’s losses reached 450 M€</w:t>
      </w:r>
      <w:r w:rsidR="00027475">
        <w:rPr>
          <w:rStyle w:val="Caractredenotedebasdepage"/>
          <w:rFonts w:cs="Arial"/>
          <w:vertAlign w:val="baseline"/>
        </w:rPr>
        <w:t>.</w:t>
      </w:r>
      <w:r w:rsidRPr="00D80E11">
        <w:rPr>
          <w:rFonts w:cs="Arial"/>
        </w:rPr>
        <w:t xml:space="preserve"> A 3-year restructuring plan, the Plan Fret 2006, is implemented. It aims at focussing on heavy-haul, profitable services, and defines a new strategy based on customer approach and a better quality of service. SNCF forecast that they would obtain financial balance in 2006 and expected the traffic to decrease </w:t>
      </w:r>
      <w:proofErr w:type="gramStart"/>
      <w:r w:rsidRPr="00D80E11">
        <w:rPr>
          <w:rFonts w:cs="Arial"/>
        </w:rPr>
        <w:t>under</w:t>
      </w:r>
      <w:proofErr w:type="gramEnd"/>
      <w:r w:rsidRPr="00D80E11">
        <w:rPr>
          <w:rFonts w:cs="Arial"/>
        </w:rPr>
        <w:t xml:space="preserve"> 35 billion </w:t>
      </w:r>
      <w:proofErr w:type="spellStart"/>
      <w:r w:rsidRPr="00D80E11">
        <w:rPr>
          <w:rFonts w:cs="Arial"/>
        </w:rPr>
        <w:t>tkm</w:t>
      </w:r>
      <w:proofErr w:type="spellEnd"/>
      <w:r w:rsidRPr="00D80E11">
        <w:rPr>
          <w:rFonts w:cs="Arial"/>
        </w:rPr>
        <w:t xml:space="preserve">. </w:t>
      </w:r>
    </w:p>
    <w:p w:rsidR="00027475" w:rsidRDefault="00027475" w:rsidP="00854221"/>
    <w:p w:rsidR="00854221" w:rsidRPr="00D80E11" w:rsidRDefault="00854221" w:rsidP="00854221">
      <w:r w:rsidRPr="00D80E11">
        <w:t xml:space="preserve">Then in 2004, DA’s structure was modified by an </w:t>
      </w:r>
      <w:proofErr w:type="spellStart"/>
      <w:r w:rsidRPr="00D80E11">
        <w:t>arrêté</w:t>
      </w:r>
      <w:proofErr w:type="spellEnd"/>
      <w:r w:rsidRPr="00D80E11">
        <w:t xml:space="preserve">, in readiness for the imminent arrival of new rail operators. For each path, DA became the product of the length of each network section used and a fee per path km. This new structure applied from 2006 on.  Also, DRS of less expensive categories increased slightly. Zero terms were suppressed except for E off-peak hour category, but their level was still low (D= 0.01 to 0.05 €/path-km and E= 0,005 €/path-km).  On the contrary, the increase was important for C category: + 60 % in normal hours (0.13 €/path-km), and multiplied by </w:t>
      </w:r>
      <w:smartTag w:uri="urn:schemas-microsoft-com:office:smarttags" w:element="metricconverter">
        <w:smartTagPr>
          <w:attr w:name="ProductID" w:val="15 in"/>
        </w:smartTagPr>
        <w:r w:rsidRPr="00D80E11">
          <w:t>15 in</w:t>
        </w:r>
      </w:smartTag>
      <w:r w:rsidRPr="00D80E11">
        <w:t xml:space="preserve"> peak hours – still, the level remains quite low (1.25 €/path-km). </w:t>
      </w:r>
      <w:proofErr w:type="gramStart"/>
      <w:r w:rsidRPr="00D80E11">
        <w:t>A and B remain quite stable.</w:t>
      </w:r>
      <w:proofErr w:type="gramEnd"/>
      <w:r w:rsidRPr="00D80E11">
        <w:t xml:space="preserve">  In addition, DC freight increases by 3 %. </w:t>
      </w:r>
    </w:p>
    <w:p w:rsidR="00027475" w:rsidRPr="00D80E11" w:rsidRDefault="00027475" w:rsidP="00854221"/>
    <w:p w:rsidR="00854221" w:rsidRPr="00D80E11" w:rsidRDefault="00854221" w:rsidP="00854221">
      <w:r w:rsidRPr="00D80E11">
        <w:t xml:space="preserve">Freight traffic remained more or less stable (increased by 1 % in tonnes but decreased 1% in </w:t>
      </w:r>
      <w:proofErr w:type="spellStart"/>
      <w:r w:rsidRPr="00D80E11">
        <w:t>tkm</w:t>
      </w:r>
      <w:proofErr w:type="spellEnd"/>
      <w:r w:rsidRPr="00D80E11">
        <w:t xml:space="preserve">). The Plan Fret seemed to achieve its 2004 target results, but traffic doesn’t fall under 40 billion </w:t>
      </w:r>
      <w:proofErr w:type="spellStart"/>
      <w:r w:rsidRPr="00D80E11">
        <w:t>tkm</w:t>
      </w:r>
      <w:proofErr w:type="spellEnd"/>
      <w:r w:rsidRPr="00D80E11">
        <w:t xml:space="preserve">. The marshalling yards/ freight courtyards system was revised. </w:t>
      </w:r>
      <w:r>
        <w:t xml:space="preserve"> </w:t>
      </w:r>
      <w:r w:rsidRPr="00D80E11">
        <w:t xml:space="preserve">Quality of service and productivity indicators showed a little improvement despite the increase of energy costs and important reorganisations in the industry.  Some shippers report that SNCF’s freight tariffs doubled, or even were multiplied fourfold without prior consultation. </w:t>
      </w:r>
      <w:r>
        <w:t xml:space="preserve"> </w:t>
      </w:r>
      <w:r w:rsidRPr="00D80E11">
        <w:t>All these evolutions of SNCF’s services and prices have in 2005 an overwhelming impact compared to the marginal impact of infrastructure charge evolution.</w:t>
      </w:r>
    </w:p>
    <w:p w:rsidR="00854221" w:rsidRPr="00D80E11" w:rsidRDefault="00854221" w:rsidP="00854221"/>
    <w:p w:rsidR="00854221" w:rsidRPr="00D80E11" w:rsidRDefault="00854221" w:rsidP="00854221">
      <w:r w:rsidRPr="00D80E11">
        <w:t>In 2005, conventional track categories (A to E) are not much affected by 2005 DRS rises, except for C which DRS gets almost quadrupled (x 3,7) for off-peak hours and  tripled for normal hours (0.38 €/path-km for both tariffs).  DC freight increases slightly but remains about 1/3 of DC passenger.</w:t>
      </w:r>
    </w:p>
    <w:p w:rsidR="00854221" w:rsidRPr="00D80E11" w:rsidRDefault="00854221" w:rsidP="00854221">
      <w:pPr>
        <w:rPr>
          <w:rFonts w:eastAsia="Times New Roman" w:cs="Arial"/>
          <w:lang w:eastAsia="ar-SA"/>
        </w:rPr>
      </w:pPr>
    </w:p>
    <w:p w:rsidR="00854221" w:rsidRPr="00D80E11" w:rsidRDefault="00854221" w:rsidP="00854221">
      <w:pPr>
        <w:rPr>
          <w:lang w:eastAsia="ar-SA"/>
        </w:rPr>
      </w:pPr>
      <w:r w:rsidRPr="00D80E11">
        <w:rPr>
          <w:lang w:eastAsia="ar-SA"/>
        </w:rPr>
        <w:t xml:space="preserve">Freight traffic decreased by 12%, but it is understood that this was largely due to Plan Fret’s rationalisation. </w:t>
      </w:r>
      <w:r>
        <w:rPr>
          <w:lang w:eastAsia="ar-SA"/>
        </w:rPr>
        <w:t xml:space="preserve"> </w:t>
      </w:r>
      <w:r w:rsidRPr="00D80E11">
        <w:rPr>
          <w:lang w:eastAsia="ar-SA"/>
        </w:rPr>
        <w:t>After a long controversy, the European Commission approved the 800 M€ State aid for SNCF freight branch reorganization.</w:t>
      </w:r>
      <w:r>
        <w:rPr>
          <w:lang w:eastAsia="ar-SA"/>
        </w:rPr>
        <w:t xml:space="preserve"> </w:t>
      </w:r>
      <w:r w:rsidRPr="00D80E11">
        <w:rPr>
          <w:lang w:eastAsia="ar-SA"/>
        </w:rPr>
        <w:t xml:space="preserve"> </w:t>
      </w:r>
    </w:p>
    <w:p w:rsidR="00854221" w:rsidRPr="00D80E11" w:rsidRDefault="00854221" w:rsidP="00854221"/>
    <w:p w:rsidR="00854221" w:rsidRPr="00D80E11" w:rsidRDefault="00854221" w:rsidP="00854221">
      <w:proofErr w:type="gramStart"/>
      <w:r w:rsidRPr="00D80E11">
        <w:t>The modifications of DA structure’s that were introduced in 2006 means that it is not possible to define its change in level from previous years.</w:t>
      </w:r>
      <w:proofErr w:type="gramEnd"/>
      <w:r w:rsidRPr="00D80E11">
        <w:t xml:space="preserve"> </w:t>
      </w:r>
      <w:r>
        <w:t xml:space="preserve"> </w:t>
      </w:r>
      <w:r w:rsidRPr="00D80E11">
        <w:t xml:space="preserve">Although DA’s share in total charges is very small (around 4%), this modification was necessary in order to allow the development of new entrants’ traffic in a non-discriminative way –the package term would obviously have favoured SNCF. </w:t>
      </w:r>
      <w:r>
        <w:t xml:space="preserve"> </w:t>
      </w:r>
      <w:r w:rsidRPr="00D80E11">
        <w:t xml:space="preserve">DA for conventional track categories was 0.015 €/ path-km, except for D and E, which were zero.  In addition, DRS increased by 4 % in B off-peak hours (0.65 €/path-km). C off-peak and normal hour tariffs were aligned on this tariff (+70 %).  </w:t>
      </w:r>
      <w:proofErr w:type="gramStart"/>
      <w:r w:rsidRPr="00D80E11">
        <w:t>Furthermore, DC freight increased by 15 %.</w:t>
      </w:r>
      <w:proofErr w:type="gramEnd"/>
    </w:p>
    <w:p w:rsidR="00854221" w:rsidRPr="00D80E11" w:rsidRDefault="00854221" w:rsidP="00854221">
      <w:pPr>
        <w:rPr>
          <w:rFonts w:eastAsia="Times New Roman" w:cs="Arial"/>
          <w:lang w:eastAsia="ar-SA"/>
        </w:rPr>
      </w:pPr>
    </w:p>
    <w:p w:rsidR="00854221" w:rsidRPr="00D80E11" w:rsidRDefault="00854221" w:rsidP="00854221">
      <w:pPr>
        <w:rPr>
          <w:lang w:eastAsia="ar-SA"/>
        </w:rPr>
      </w:pPr>
      <w:r w:rsidRPr="00D80E11">
        <w:rPr>
          <w:lang w:eastAsia="ar-SA"/>
        </w:rPr>
        <w:lastRenderedPageBreak/>
        <w:t>Freight traffic remained stable.  However, Plan Fret’s objectives, even after downward revision, were not achieved, and the freight branch ended the year with 260 M€ losses.  Shippers pointed out a downfall in quality –especially punctuality on the second half of the year.  CNC, the main rail-road container operator owned by SNCF, was restructured and focused its activity on maritime containers, abandoning most other market segments.</w:t>
      </w:r>
    </w:p>
    <w:p w:rsidR="00854221" w:rsidRPr="00D80E11" w:rsidRDefault="00854221" w:rsidP="00854221"/>
    <w:p w:rsidR="00854221" w:rsidRPr="00D80E11" w:rsidRDefault="00854221" w:rsidP="00854221">
      <w:pPr>
        <w:rPr>
          <w:lang w:eastAsia="ar-SA"/>
        </w:rPr>
      </w:pPr>
      <w:r w:rsidRPr="00D80E11">
        <w:t xml:space="preserve">In 2007 DRS’ main increase was concentrated on </w:t>
      </w:r>
      <w:proofErr w:type="gramStart"/>
      <w:r w:rsidR="00CE22CF" w:rsidRPr="00D80E11">
        <w:t>A</w:t>
      </w:r>
      <w:proofErr w:type="gramEnd"/>
      <w:r w:rsidRPr="00D80E11">
        <w:t xml:space="preserve"> off-peak hours (19 %) and C peak hours (20 %).  In addition, DC Freight increased by 33 % (0.4 €/train-km).  </w:t>
      </w:r>
      <w:r w:rsidRPr="00D80E11">
        <w:rPr>
          <w:lang w:eastAsia="ar-SA"/>
        </w:rPr>
        <w:t xml:space="preserve">The freight branch launched a second reorganization plan in the August, focussing on single wagon traffic. This traffic is to be handled through 3 main “hubs” –Villeneuve-saint-Georges (Paris), </w:t>
      </w:r>
      <w:proofErr w:type="spellStart"/>
      <w:r w:rsidRPr="00D80E11">
        <w:rPr>
          <w:lang w:eastAsia="ar-SA"/>
        </w:rPr>
        <w:t>Sibelin</w:t>
      </w:r>
      <w:proofErr w:type="spellEnd"/>
      <w:r w:rsidRPr="00D80E11">
        <w:rPr>
          <w:lang w:eastAsia="ar-SA"/>
        </w:rPr>
        <w:t xml:space="preserve"> (Lyons), </w:t>
      </w:r>
      <w:proofErr w:type="spellStart"/>
      <w:r w:rsidRPr="00D80E11">
        <w:rPr>
          <w:lang w:eastAsia="ar-SA"/>
        </w:rPr>
        <w:t>Woippy</w:t>
      </w:r>
      <w:proofErr w:type="spellEnd"/>
      <w:r w:rsidRPr="00D80E11">
        <w:rPr>
          <w:lang w:eastAsia="ar-SA"/>
        </w:rPr>
        <w:t xml:space="preserve"> (Metz)- and 31 regional yards, 262 courtyards (mainly located in Centre and Poitou-Charentes regions) being closed to single wagon traffic. </w:t>
      </w:r>
      <w:r>
        <w:rPr>
          <w:lang w:eastAsia="ar-SA"/>
        </w:rPr>
        <w:t xml:space="preserve"> </w:t>
      </w:r>
      <w:r w:rsidRPr="00D80E11">
        <w:rPr>
          <w:lang w:eastAsia="ar-SA"/>
        </w:rPr>
        <w:t xml:space="preserve">Since this new organization was to be implemented within only 3-months following the announcement, shippers were forced to use emergency alternatives and local governments were alarmed. </w:t>
      </w:r>
      <w:r>
        <w:rPr>
          <w:lang w:eastAsia="ar-SA"/>
        </w:rPr>
        <w:t xml:space="preserve"> </w:t>
      </w:r>
      <w:r w:rsidRPr="00D80E11">
        <w:rPr>
          <w:lang w:eastAsia="ar-SA"/>
        </w:rPr>
        <w:t>Strangely enough, the announcement was made while the Government organised the great debates of “</w:t>
      </w:r>
      <w:proofErr w:type="spellStart"/>
      <w:r w:rsidRPr="00D80E11">
        <w:rPr>
          <w:lang w:eastAsia="ar-SA"/>
        </w:rPr>
        <w:t>Grenelle</w:t>
      </w:r>
      <w:proofErr w:type="spellEnd"/>
      <w:r w:rsidRPr="00D80E11">
        <w:rPr>
          <w:lang w:eastAsia="ar-SA"/>
        </w:rPr>
        <w:t xml:space="preserve"> de </w:t>
      </w:r>
      <w:proofErr w:type="spellStart"/>
      <w:r w:rsidRPr="00D80E11">
        <w:rPr>
          <w:lang w:eastAsia="ar-SA"/>
        </w:rPr>
        <w:t>l’Environnement</w:t>
      </w:r>
      <w:proofErr w:type="spellEnd"/>
      <w:r w:rsidRPr="00D80E11">
        <w:rPr>
          <w:lang w:eastAsia="ar-SA"/>
        </w:rPr>
        <w:t xml:space="preserve">”, that planned for non-road transport modes a +25% market share increase. Besides this, the strikes following the special working regimes reform in France, that highly concerned SNCF’s workers, brought on an estimated 80 M€ loss to freight branch. </w:t>
      </w:r>
      <w:r w:rsidR="0052127B">
        <w:rPr>
          <w:lang w:eastAsia="ar-SA"/>
        </w:rPr>
        <w:t xml:space="preserve"> Recently, since high deficits continued and quality objectives were only partially met, </w:t>
      </w:r>
      <w:r w:rsidR="0052127B" w:rsidRPr="00D80E11">
        <w:rPr>
          <w:lang w:eastAsia="ar-SA"/>
        </w:rPr>
        <w:t xml:space="preserve">SNCF </w:t>
      </w:r>
      <w:r w:rsidR="0052127B">
        <w:rPr>
          <w:lang w:eastAsia="ar-SA"/>
        </w:rPr>
        <w:t xml:space="preserve">issued another restructuration plan, including 1 billion </w:t>
      </w:r>
      <w:proofErr w:type="spellStart"/>
      <w:r w:rsidR="0052127B">
        <w:rPr>
          <w:lang w:eastAsia="ar-SA"/>
        </w:rPr>
        <w:t>euros</w:t>
      </w:r>
      <w:proofErr w:type="spellEnd"/>
      <w:r w:rsidR="0052127B">
        <w:rPr>
          <w:lang w:eastAsia="ar-SA"/>
        </w:rPr>
        <w:t xml:space="preserve"> investment and a reorganization of its freight activities</w:t>
      </w:r>
      <w:r w:rsidR="0052127B" w:rsidRPr="00D80E11">
        <w:rPr>
          <w:lang w:eastAsia="ar-SA"/>
        </w:rPr>
        <w:t>.</w:t>
      </w:r>
    </w:p>
    <w:p w:rsidR="00854221" w:rsidRPr="00D80E11" w:rsidRDefault="00854221" w:rsidP="00854221">
      <w:pPr>
        <w:rPr>
          <w:lang w:eastAsia="ar-SA"/>
        </w:rPr>
      </w:pPr>
    </w:p>
    <w:p w:rsidR="00854221" w:rsidRPr="00D80E11" w:rsidRDefault="00854221" w:rsidP="00854221">
      <w:bookmarkStart w:id="46" w:name="OLE_LINK11"/>
      <w:bookmarkStart w:id="47" w:name="OLE_LINK12"/>
      <w:r w:rsidRPr="00D80E11">
        <w:t xml:space="preserve">Thus, there have been a number of modifications to infrastructure charges in </w:t>
      </w:r>
      <w:smartTag w:uri="urn:schemas-microsoft-com:office:smarttags" w:element="place">
        <w:smartTag w:uri="urn:schemas-microsoft-com:office:smarttags" w:element="country-region">
          <w:r w:rsidRPr="00D80E11">
            <w:t>France</w:t>
          </w:r>
        </w:smartTag>
      </w:smartTag>
      <w:r w:rsidRPr="00D80E11">
        <w:t xml:space="preserve"> over the past decade, as well as some industrial upheaval arising out of reorganisation and new competition.  Identifying clear and distinct impacts of these factors on the demand for rail freight would always be difficult, but the lack of data from the two main sources, SNCF and RFF, has been a major problem.  Had it been possible to get the figures of quantities bought by rail operators for each type of tariff, we could have realistically sought to extract some kind of statistical link between tariffs and quantities bought.  </w:t>
      </w:r>
      <w:bookmarkEnd w:id="46"/>
      <w:bookmarkEnd w:id="47"/>
      <w:r w:rsidRPr="00D80E11">
        <w:t xml:space="preserve">However, as it is, all that is possible is to draw some broad indications. </w:t>
      </w:r>
    </w:p>
    <w:p w:rsidR="00854221" w:rsidRPr="00D80E11" w:rsidRDefault="00854221" w:rsidP="00854221"/>
    <w:p w:rsidR="00854221" w:rsidRPr="00D80E11" w:rsidRDefault="00854221" w:rsidP="00854221">
      <w:r w:rsidRPr="00D80E11">
        <w:t>In drawing any conclusions, we should recall that low-value freight traffic cannot bear high prices and is not very sensitive to transit time; therefore it is more likely to use low quality paths and thus less expensive track categories, especially D and E.</w:t>
      </w:r>
      <w:r>
        <w:t xml:space="preserve"> </w:t>
      </w:r>
      <w:r w:rsidRPr="00D80E11">
        <w:t xml:space="preserve"> Still, two of the three main marshalling yards -Villeneuve-Saint-Georges (</w:t>
      </w:r>
      <w:smartTag w:uri="urn:schemas-microsoft-com:office:smarttags" w:element="place">
        <w:smartTag w:uri="urn:schemas-microsoft-com:office:smarttags" w:element="City">
          <w:r w:rsidRPr="00D80E11">
            <w:t>Paris</w:t>
          </w:r>
        </w:smartTag>
      </w:smartTag>
      <w:r w:rsidRPr="00D80E11">
        <w:t xml:space="preserve">) and </w:t>
      </w:r>
      <w:proofErr w:type="spellStart"/>
      <w:r w:rsidRPr="00D80E11">
        <w:t>Sibelin</w:t>
      </w:r>
      <w:proofErr w:type="spellEnd"/>
      <w:r w:rsidRPr="00D80E11">
        <w:t xml:space="preserve"> (Lyons)</w:t>
      </w:r>
      <w:r>
        <w:t xml:space="preserve"> </w:t>
      </w:r>
      <w:r w:rsidRPr="00D80E11">
        <w:t xml:space="preserve">- are located on category </w:t>
      </w:r>
      <w:proofErr w:type="gramStart"/>
      <w:r w:rsidRPr="00D80E11">
        <w:t>A</w:t>
      </w:r>
      <w:proofErr w:type="gramEnd"/>
      <w:r w:rsidRPr="00D80E11">
        <w:t xml:space="preserve"> sections, so that a notable part of freight traffic cannot avoid running on the most expensive track category. </w:t>
      </w:r>
      <w:r>
        <w:t xml:space="preserve"> </w:t>
      </w:r>
      <w:r w:rsidRPr="00D80E11">
        <w:t>Except for a few postal TGVs, freight trains cannot run on high-speed (N) lines</w:t>
      </w:r>
      <w:r w:rsidR="00911F90">
        <w:t>, even though this question is under study for future high speed lines</w:t>
      </w:r>
      <w:r w:rsidRPr="00D80E11">
        <w:t xml:space="preserve">. </w:t>
      </w:r>
      <w:r>
        <w:t xml:space="preserve"> </w:t>
      </w:r>
      <w:r w:rsidRPr="00D80E11">
        <w:t xml:space="preserve">Freight trains are also more likely to use off-peak paths during the night. </w:t>
      </w:r>
    </w:p>
    <w:p w:rsidR="00854221" w:rsidRPr="00D80E11" w:rsidRDefault="00854221" w:rsidP="00854221">
      <w:pPr>
        <w:rPr>
          <w:lang w:eastAsia="ar-SA"/>
        </w:rPr>
      </w:pPr>
    </w:p>
    <w:p w:rsidR="00854221" w:rsidRPr="00D80E11" w:rsidRDefault="00854221" w:rsidP="00854221">
      <w:pPr>
        <w:rPr>
          <w:lang w:eastAsia="ar-SA"/>
        </w:rPr>
      </w:pPr>
      <w:r w:rsidRPr="00D80E11">
        <w:rPr>
          <w:lang w:eastAsia="ar-SA"/>
        </w:rPr>
        <w:t xml:space="preserve">As a whole, the increase of infrastructure charges for freight is important (see </w:t>
      </w:r>
      <w:r w:rsidR="00A85131" w:rsidRPr="00D80E11">
        <w:rPr>
          <w:lang w:eastAsia="ar-SA"/>
        </w:rPr>
        <w:fldChar w:fldCharType="begin"/>
      </w:r>
      <w:r w:rsidRPr="00D80E11">
        <w:rPr>
          <w:lang w:eastAsia="ar-SA"/>
        </w:rPr>
        <w:instrText xml:space="preserve"> REF _Ref203881898 \h </w:instrText>
      </w:r>
      <w:r w:rsidR="00A85131" w:rsidRPr="00D80E11">
        <w:rPr>
          <w:lang w:eastAsia="ar-SA"/>
        </w:rPr>
      </w:r>
      <w:r w:rsidR="00A85131" w:rsidRPr="00D80E11">
        <w:rPr>
          <w:lang w:eastAsia="ar-SA"/>
        </w:rPr>
        <w:fldChar w:fldCharType="separate"/>
      </w:r>
      <w:r w:rsidR="00C621E3" w:rsidRPr="00CF0622">
        <w:rPr>
          <w:rFonts w:cs="Arial"/>
        </w:rPr>
        <w:t xml:space="preserve">Table </w:t>
      </w:r>
      <w:r w:rsidR="00A85131" w:rsidRPr="00D80E11">
        <w:rPr>
          <w:lang w:eastAsia="ar-SA"/>
        </w:rPr>
        <w:fldChar w:fldCharType="end"/>
      </w:r>
      <w:r w:rsidR="00911F90">
        <w:rPr>
          <w:lang w:eastAsia="ar-SA"/>
        </w:rPr>
        <w:t>10</w:t>
      </w:r>
      <w:r w:rsidRPr="00D80E11">
        <w:rPr>
          <w:lang w:eastAsia="ar-SA"/>
        </w:rPr>
        <w:t xml:space="preserve">) but less apparent than for passenger traffic. RFF’s global revenue for freight showed a 5 % increase from 1997 to 2004 with a 29% decrease in traffic (in </w:t>
      </w:r>
      <w:proofErr w:type="spellStart"/>
      <w:r w:rsidRPr="00D80E11">
        <w:rPr>
          <w:lang w:eastAsia="ar-SA"/>
        </w:rPr>
        <w:t>tkm</w:t>
      </w:r>
      <w:proofErr w:type="spellEnd"/>
      <w:r w:rsidRPr="00D80E11">
        <w:rPr>
          <w:lang w:eastAsia="ar-SA"/>
        </w:rPr>
        <w:t xml:space="preserve">). </w:t>
      </w:r>
      <w:r>
        <w:rPr>
          <w:lang w:eastAsia="ar-SA"/>
        </w:rPr>
        <w:t xml:space="preserve"> </w:t>
      </w:r>
      <w:r w:rsidRPr="00D80E11">
        <w:rPr>
          <w:lang w:eastAsia="ar-SA"/>
        </w:rPr>
        <w:t xml:space="preserve">The most important evolutions are those of track category C, coefficient K applied to reservation fee </w:t>
      </w:r>
      <w:proofErr w:type="gramStart"/>
      <w:r w:rsidRPr="00D80E11">
        <w:rPr>
          <w:lang w:eastAsia="ar-SA"/>
        </w:rPr>
        <w:t>DRS,</w:t>
      </w:r>
      <w:proofErr w:type="gramEnd"/>
      <w:r w:rsidRPr="00D80E11">
        <w:rPr>
          <w:lang w:eastAsia="ar-SA"/>
        </w:rPr>
        <w:t xml:space="preserve"> and circulation fee DC. </w:t>
      </w:r>
      <w:r>
        <w:rPr>
          <w:lang w:eastAsia="ar-SA"/>
        </w:rPr>
        <w:t xml:space="preserve"> </w:t>
      </w:r>
      <w:r w:rsidRPr="00D80E11">
        <w:rPr>
          <w:lang w:eastAsia="ar-SA"/>
        </w:rPr>
        <w:t>T</w:t>
      </w:r>
      <w:r w:rsidRPr="00D80E11">
        <w:t xml:space="preserve">he access fee DA decreased and remained stable at a low level since its new 2006 variable structure for all conventional (non-N) categories. </w:t>
      </w:r>
    </w:p>
    <w:p w:rsidR="00854221" w:rsidRPr="00D80E11" w:rsidRDefault="00854221" w:rsidP="00854221"/>
    <w:p w:rsidR="00854221" w:rsidRPr="00D80E11" w:rsidRDefault="00854221" w:rsidP="00854221">
      <w:r w:rsidRPr="00D80E11">
        <w:t xml:space="preserve">DRS increased mainly for track category C: A increased by 11% from 2002 to 2009, B increased by 28 % and C was multiplied by 15. D an E tracks began to pay a reservation fee in 2004. </w:t>
      </w:r>
      <w:r>
        <w:t xml:space="preserve"> </w:t>
      </w:r>
      <w:r w:rsidRPr="00D80E11">
        <w:t xml:space="preserve">E tracks remained stable up to 2009 and D increased by 3%.  DRS increased mainly in 2005, for C tracks only. </w:t>
      </w:r>
    </w:p>
    <w:p w:rsidR="00854221" w:rsidRPr="00D80E11" w:rsidRDefault="00854221" w:rsidP="00854221">
      <w:r w:rsidRPr="00D80E11">
        <w:t xml:space="preserve">Peak hour tariff remained around 1.9 times the normal </w:t>
      </w:r>
      <w:proofErr w:type="gramStart"/>
      <w:r w:rsidRPr="00D80E11">
        <w:t>hours</w:t>
      </w:r>
      <w:proofErr w:type="gramEnd"/>
      <w:r w:rsidRPr="00D80E11">
        <w:t xml:space="preserve"> tariff from 2002 to 2009.  But off-peak hour’s coefficient increased from 0.27 to 0.42 during the same period, concerning more specifically freight trains.  Indeed, the level of time differentiation has decreased during this period.</w:t>
      </w:r>
    </w:p>
    <w:p w:rsidR="00854221" w:rsidRPr="00D80E11" w:rsidRDefault="00854221" w:rsidP="00854221"/>
    <w:p w:rsidR="00854221" w:rsidRPr="00D80E11" w:rsidRDefault="00854221" w:rsidP="00854221">
      <w:pPr>
        <w:rPr>
          <w:lang w:eastAsia="ar-SA"/>
        </w:rPr>
      </w:pPr>
      <w:r w:rsidRPr="00D80E11">
        <w:t xml:space="preserve">Coefficient K has been modified in order to introduce a willingness to pay criterion, introducing a differentiation between “rapid” (high value) freight traffic and other freight.  DC for freight doubled between 2002 and 2009. </w:t>
      </w:r>
      <w:r w:rsidRPr="00D80E11">
        <w:rPr>
          <w:lang w:eastAsia="ar-SA"/>
        </w:rPr>
        <w:t>While freight infrastructure charges went up as described, freight traffic went on a downward trend from the end of the 1990’s (see</w:t>
      </w:r>
      <w:r w:rsidR="00091328">
        <w:rPr>
          <w:lang w:eastAsia="ar-SA"/>
        </w:rPr>
        <w:t xml:space="preserve"> Figure 2</w:t>
      </w:r>
      <w:r w:rsidRPr="00D80E11">
        <w:rPr>
          <w:lang w:eastAsia="ar-SA"/>
        </w:rPr>
        <w:t xml:space="preserve">, </w:t>
      </w:r>
      <w:r w:rsidR="00091328">
        <w:rPr>
          <w:lang w:eastAsia="ar-SA"/>
        </w:rPr>
        <w:t xml:space="preserve">Figure 3 </w:t>
      </w:r>
      <w:r w:rsidRPr="00D80E11">
        <w:rPr>
          <w:lang w:eastAsia="ar-SA"/>
        </w:rPr>
        <w:t>and</w:t>
      </w:r>
      <w:r w:rsidR="00091328">
        <w:rPr>
          <w:lang w:eastAsia="ar-SA"/>
        </w:rPr>
        <w:t xml:space="preserve"> Table 10</w:t>
      </w:r>
      <w:r w:rsidRPr="00D80E11">
        <w:rPr>
          <w:lang w:eastAsia="ar-SA"/>
        </w:rPr>
        <w:t>). These evolutions may seem, at first sight, to be closely related.</w:t>
      </w:r>
    </w:p>
    <w:p w:rsidR="00854221" w:rsidRPr="00D80E11" w:rsidRDefault="00854221" w:rsidP="00854221">
      <w:pPr>
        <w:rPr>
          <w:rFonts w:eastAsia="Times New Roman"/>
          <w:lang w:eastAsia="ar-SA"/>
        </w:rPr>
      </w:pPr>
    </w:p>
    <w:p w:rsidR="00854221" w:rsidRPr="00D80E11" w:rsidRDefault="00C94AE6" w:rsidP="00854221">
      <w:bookmarkStart w:id="48" w:name="_Ref204159378"/>
      <w:r>
        <w:lastRenderedPageBreak/>
        <w:pict>
          <v:shape id="_x0000_i1026" type="#_x0000_t75" style="width:450pt;height:259.5pt" filled="t">
            <v:fill color2="black"/>
            <v:imagedata r:id="rId11" o:title="" croptop="4906f"/>
          </v:shape>
        </w:pict>
      </w:r>
      <w:bookmarkStart w:id="49" w:name="_Ref202845145"/>
      <w:r w:rsidR="00854221" w:rsidRPr="00D80E11">
        <w:t xml:space="preserve"> </w:t>
      </w:r>
    </w:p>
    <w:p w:rsidR="00854221" w:rsidRPr="00CF0622" w:rsidRDefault="00854221" w:rsidP="00854221">
      <w:pPr>
        <w:pStyle w:val="Caption"/>
        <w:jc w:val="both"/>
        <w:rPr>
          <w:rFonts w:cs="Arial"/>
        </w:rPr>
      </w:pPr>
      <w:bookmarkStart w:id="50" w:name="_Ref204427694"/>
      <w:bookmarkStart w:id="51" w:name="_Toc204771704"/>
      <w:r w:rsidRPr="00CF0622">
        <w:rPr>
          <w:rFonts w:cs="Arial"/>
        </w:rPr>
        <w:t xml:space="preserve">Figure </w:t>
      </w:r>
      <w:r w:rsidR="00A85131" w:rsidRPr="00CF0622">
        <w:rPr>
          <w:rFonts w:cs="Arial"/>
        </w:rPr>
        <w:fldChar w:fldCharType="begin"/>
      </w:r>
      <w:r w:rsidRPr="00CF0622">
        <w:rPr>
          <w:rFonts w:cs="Arial"/>
        </w:rPr>
        <w:instrText xml:space="preserve"> SEQ Figure \* ARABIC \s 1 </w:instrText>
      </w:r>
      <w:r w:rsidR="00A85131" w:rsidRPr="00CF0622">
        <w:rPr>
          <w:rFonts w:cs="Arial"/>
        </w:rPr>
        <w:fldChar w:fldCharType="separate"/>
      </w:r>
      <w:r w:rsidR="00C621E3">
        <w:rPr>
          <w:rFonts w:cs="Arial"/>
          <w:noProof/>
        </w:rPr>
        <w:t>2</w:t>
      </w:r>
      <w:r w:rsidR="00A85131" w:rsidRPr="00CF0622">
        <w:rPr>
          <w:rFonts w:cs="Arial"/>
        </w:rPr>
        <w:fldChar w:fldCharType="end"/>
      </w:r>
      <w:bookmarkEnd w:id="48"/>
      <w:bookmarkEnd w:id="49"/>
      <w:bookmarkEnd w:id="50"/>
      <w:r w:rsidR="00091328">
        <w:rPr>
          <w:rFonts w:cs="Arial"/>
        </w:rPr>
        <w:t>:</w:t>
      </w:r>
      <w:r w:rsidRPr="00CF0622">
        <w:rPr>
          <w:rFonts w:cs="Arial"/>
        </w:rPr>
        <w:t xml:space="preserve">  Freight </w:t>
      </w:r>
      <w:r>
        <w:rPr>
          <w:rFonts w:cs="Arial"/>
        </w:rPr>
        <w:t>I</w:t>
      </w:r>
      <w:r w:rsidRPr="00CF0622">
        <w:rPr>
          <w:rFonts w:cs="Arial"/>
        </w:rPr>
        <w:t xml:space="preserve">nfrastructure </w:t>
      </w:r>
      <w:r>
        <w:rPr>
          <w:rFonts w:cs="Arial"/>
        </w:rPr>
        <w:t>C</w:t>
      </w:r>
      <w:r w:rsidRPr="00CF0622">
        <w:rPr>
          <w:rFonts w:cs="Arial"/>
        </w:rPr>
        <w:t xml:space="preserve">harges and </w:t>
      </w:r>
      <w:r>
        <w:rPr>
          <w:rFonts w:cs="Arial"/>
        </w:rPr>
        <w:t>T</w:t>
      </w:r>
      <w:r w:rsidRPr="00CF0622">
        <w:rPr>
          <w:rFonts w:cs="Arial"/>
        </w:rPr>
        <w:t xml:space="preserve">raffic </w:t>
      </w:r>
      <w:r>
        <w:rPr>
          <w:rFonts w:cs="Arial"/>
        </w:rPr>
        <w:t>I</w:t>
      </w:r>
      <w:r w:rsidRPr="00CF0622">
        <w:rPr>
          <w:rFonts w:cs="Arial"/>
        </w:rPr>
        <w:t>ndicators from 1997 to 2006 (</w:t>
      </w:r>
      <w:r>
        <w:rPr>
          <w:rFonts w:cs="Arial"/>
        </w:rPr>
        <w:t>B</w:t>
      </w:r>
      <w:r w:rsidRPr="00CF0622">
        <w:rPr>
          <w:rFonts w:cs="Arial"/>
        </w:rPr>
        <w:t>ase: 100)</w:t>
      </w:r>
      <w:bookmarkEnd w:id="51"/>
    </w:p>
    <w:p w:rsidR="00854221" w:rsidRDefault="00854221" w:rsidP="00854221">
      <w:pPr>
        <w:rPr>
          <w:rFonts w:eastAsia="Times New Roman"/>
          <w:b/>
          <w:lang w:eastAsia="ar-SA"/>
        </w:rPr>
      </w:pPr>
    </w:p>
    <w:p w:rsidR="00027475" w:rsidRPr="00D80E11" w:rsidRDefault="00027475" w:rsidP="00854221">
      <w:pPr>
        <w:rPr>
          <w:rFonts w:eastAsia="Times New Roman"/>
          <w:b/>
          <w:lang w:eastAsia="ar-SA"/>
        </w:rPr>
      </w:pPr>
    </w:p>
    <w:p w:rsidR="00854221" w:rsidRPr="00CF0622" w:rsidRDefault="00A85131" w:rsidP="00854221">
      <w:pPr>
        <w:pStyle w:val="Caption"/>
        <w:rPr>
          <w:rFonts w:cs="Arial"/>
        </w:rPr>
      </w:pPr>
      <w:bookmarkStart w:id="52" w:name="_Ref204159401"/>
      <w:bookmarkStart w:id="53" w:name="_Toc204771705"/>
      <w:r>
        <w:rPr>
          <w:rFonts w:cs="Arial"/>
        </w:rPr>
        <w:pict>
          <v:shape id="_x0000_s1026" type="#_x0000_t75" style="position:absolute;left:0;text-align:left;margin-left:10.7pt;margin-top:1pt;width:453.45pt;height:258.75pt;z-index:251657728;mso-wrap-distance-left:0;mso-wrap-distance-right:0" filled="t">
            <v:fill opacity="0" color2="black"/>
            <v:imagedata r:id="rId12" o:title="" croptop="4920f"/>
            <w10:wrap type="topAndBottom"/>
          </v:shape>
        </w:pict>
      </w:r>
      <w:r w:rsidR="00854221" w:rsidRPr="00CF0622">
        <w:rPr>
          <w:rFonts w:cs="Arial"/>
        </w:rPr>
        <w:t xml:space="preserve">Figure </w:t>
      </w:r>
      <w:bookmarkEnd w:id="52"/>
      <w:r w:rsidR="00091328">
        <w:rPr>
          <w:rFonts w:cs="Arial"/>
        </w:rPr>
        <w:t>3:</w:t>
      </w:r>
      <w:r w:rsidR="00854221" w:rsidRPr="00CF0622">
        <w:rPr>
          <w:rFonts w:cs="Arial"/>
        </w:rPr>
        <w:t xml:space="preserve">  Freight Traffic (Mt-km) from 1997 to 2006</w:t>
      </w:r>
      <w:bookmarkEnd w:id="53"/>
    </w:p>
    <w:p w:rsidR="00854221" w:rsidRPr="00D80E11" w:rsidRDefault="00854221" w:rsidP="00854221">
      <w:pPr>
        <w:pStyle w:val="Caption"/>
      </w:pPr>
    </w:p>
    <w:p w:rsidR="00854221" w:rsidRPr="00D80E11" w:rsidRDefault="00854221" w:rsidP="00854221">
      <w:pPr>
        <w:pStyle w:val="Caption"/>
      </w:pPr>
    </w:p>
    <w:p w:rsidR="00854221" w:rsidRPr="00CF0622" w:rsidRDefault="00854221" w:rsidP="00854221">
      <w:pPr>
        <w:pStyle w:val="Caption"/>
        <w:rPr>
          <w:rFonts w:cs="Arial"/>
          <w:lang w:eastAsia="ar-SA"/>
        </w:rPr>
      </w:pPr>
      <w:r w:rsidRPr="00D80E11">
        <w:br w:type="page"/>
      </w:r>
      <w:bookmarkStart w:id="54" w:name="_Ref204155781"/>
      <w:bookmarkStart w:id="55" w:name="_Toc207524652"/>
      <w:r w:rsidRPr="00CF0622">
        <w:rPr>
          <w:rFonts w:cs="Arial"/>
        </w:rPr>
        <w:lastRenderedPageBreak/>
        <w:t xml:space="preserve">Table </w:t>
      </w:r>
      <w:bookmarkEnd w:id="54"/>
      <w:r w:rsidR="00091328">
        <w:rPr>
          <w:rFonts w:cs="Arial"/>
        </w:rPr>
        <w:t>10:</w:t>
      </w:r>
      <w:r w:rsidRPr="00CF0622">
        <w:rPr>
          <w:rFonts w:cs="Arial"/>
          <w:lang w:eastAsia="ar-SA"/>
        </w:rPr>
        <w:t xml:space="preserve">  Charges per </w:t>
      </w:r>
      <w:r>
        <w:rPr>
          <w:rFonts w:cs="Arial"/>
          <w:lang w:eastAsia="ar-SA"/>
        </w:rPr>
        <w:t>F</w:t>
      </w:r>
      <w:r w:rsidRPr="00CF0622">
        <w:rPr>
          <w:rFonts w:cs="Arial"/>
          <w:lang w:eastAsia="ar-SA"/>
        </w:rPr>
        <w:t xml:space="preserve">reight </w:t>
      </w:r>
      <w:r>
        <w:rPr>
          <w:rFonts w:cs="Arial"/>
          <w:lang w:eastAsia="ar-SA"/>
        </w:rPr>
        <w:t>T</w:t>
      </w:r>
      <w:r w:rsidRPr="00CF0622">
        <w:rPr>
          <w:rFonts w:cs="Arial"/>
          <w:lang w:eastAsia="ar-SA"/>
        </w:rPr>
        <w:t>rain-</w:t>
      </w:r>
      <w:r>
        <w:rPr>
          <w:rFonts w:cs="Arial"/>
          <w:lang w:eastAsia="ar-SA"/>
        </w:rPr>
        <w:t>K</w:t>
      </w:r>
      <w:r w:rsidRPr="00CF0622">
        <w:rPr>
          <w:rFonts w:cs="Arial"/>
          <w:lang w:eastAsia="ar-SA"/>
        </w:rPr>
        <w:t>m from 1997 to 2005</w:t>
      </w:r>
      <w:bookmarkEnd w:id="55"/>
    </w:p>
    <w:p w:rsidR="00854221" w:rsidRPr="00B97CC0" w:rsidRDefault="00854221" w:rsidP="00854221">
      <w:pPr>
        <w:rPr>
          <w:lang w:eastAsia="ar-SA"/>
        </w:rPr>
      </w:pPr>
    </w:p>
    <w:tbl>
      <w:tblPr>
        <w:tblW w:w="0" w:type="auto"/>
        <w:jc w:val="center"/>
        <w:tblLayout w:type="fixed"/>
        <w:tblCellMar>
          <w:left w:w="0" w:type="dxa"/>
          <w:right w:w="0" w:type="dxa"/>
        </w:tblCellMar>
        <w:tblLook w:val="0000"/>
      </w:tblPr>
      <w:tblGrid>
        <w:gridCol w:w="1080"/>
        <w:gridCol w:w="1440"/>
        <w:gridCol w:w="1620"/>
        <w:gridCol w:w="1480"/>
      </w:tblGrid>
      <w:tr w:rsidR="00854221" w:rsidRPr="00D80E11" w:rsidTr="00854221">
        <w:trPr>
          <w:jc w:val="center"/>
        </w:trPr>
        <w:tc>
          <w:tcPr>
            <w:tcW w:w="1080" w:type="dxa"/>
            <w:tcBorders>
              <w:top w:val="single" w:sz="4" w:space="0" w:color="000000"/>
              <w:left w:val="single" w:sz="4" w:space="0" w:color="000000"/>
              <w:bottom w:val="single" w:sz="4" w:space="0" w:color="000000"/>
            </w:tcBorders>
            <w:shd w:val="pct10" w:color="auto" w:fill="auto"/>
            <w:vAlign w:val="center"/>
          </w:tcPr>
          <w:p w:rsidR="00854221" w:rsidRPr="00D80E11" w:rsidRDefault="00854221" w:rsidP="00854221">
            <w:pPr>
              <w:pStyle w:val="BodyTextHeader"/>
            </w:pPr>
          </w:p>
        </w:tc>
        <w:tc>
          <w:tcPr>
            <w:tcW w:w="1440" w:type="dxa"/>
            <w:tcBorders>
              <w:top w:val="single" w:sz="4" w:space="0" w:color="000000"/>
              <w:left w:val="single" w:sz="4" w:space="0" w:color="000000"/>
              <w:bottom w:val="single" w:sz="4" w:space="0" w:color="000000"/>
            </w:tcBorders>
            <w:shd w:val="pct10" w:color="auto" w:fill="auto"/>
            <w:vAlign w:val="center"/>
          </w:tcPr>
          <w:p w:rsidR="00854221" w:rsidRPr="00D80E11" w:rsidRDefault="00854221" w:rsidP="00854221">
            <w:pPr>
              <w:pStyle w:val="BodyTextHeader"/>
            </w:pPr>
            <w:r w:rsidRPr="00D80E11">
              <w:t>Total Freight Charges (M€)</w:t>
            </w:r>
          </w:p>
        </w:tc>
        <w:tc>
          <w:tcPr>
            <w:tcW w:w="1620" w:type="dxa"/>
            <w:tcBorders>
              <w:top w:val="single" w:sz="4" w:space="0" w:color="000000"/>
              <w:left w:val="single" w:sz="4" w:space="0" w:color="000000"/>
              <w:bottom w:val="single" w:sz="4" w:space="0" w:color="000000"/>
            </w:tcBorders>
            <w:shd w:val="pct10" w:color="auto" w:fill="auto"/>
            <w:vAlign w:val="center"/>
          </w:tcPr>
          <w:p w:rsidR="00854221" w:rsidRPr="00D80E11" w:rsidRDefault="00854221" w:rsidP="00854221">
            <w:pPr>
              <w:pStyle w:val="BodyTextHeader"/>
            </w:pPr>
            <w:r w:rsidRPr="00D80E11">
              <w:t>Freight Traffic (M train-km)</w:t>
            </w:r>
          </w:p>
        </w:tc>
        <w:tc>
          <w:tcPr>
            <w:tcW w:w="14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854221" w:rsidRPr="00D80E11" w:rsidRDefault="00854221" w:rsidP="00854221">
            <w:pPr>
              <w:pStyle w:val="BodyTextHeader"/>
            </w:pPr>
            <w:r w:rsidRPr="00D80E11">
              <w:t>Charges per train-km (€)</w:t>
            </w:r>
          </w:p>
        </w:tc>
      </w:tr>
      <w:tr w:rsidR="00854221" w:rsidRPr="00D80E11" w:rsidTr="00854221">
        <w:trPr>
          <w:jc w:val="center"/>
        </w:trPr>
        <w:tc>
          <w:tcPr>
            <w:tcW w:w="1080" w:type="dxa"/>
            <w:tcBorders>
              <w:left w:val="single" w:sz="4" w:space="0" w:color="000000"/>
              <w:bottom w:val="single" w:sz="4" w:space="0" w:color="000000"/>
            </w:tcBorders>
            <w:vAlign w:val="center"/>
          </w:tcPr>
          <w:p w:rsidR="00854221" w:rsidRPr="00D80E11" w:rsidRDefault="00854221" w:rsidP="00854221">
            <w:pPr>
              <w:pStyle w:val="BodyText"/>
            </w:pPr>
            <w:r w:rsidRPr="00D80E11">
              <w:t>1997</w:t>
            </w:r>
          </w:p>
        </w:tc>
        <w:tc>
          <w:tcPr>
            <w:tcW w:w="1440" w:type="dxa"/>
            <w:tcBorders>
              <w:left w:val="single" w:sz="4" w:space="0" w:color="000000"/>
              <w:bottom w:val="single" w:sz="4" w:space="0" w:color="000000"/>
            </w:tcBorders>
            <w:vAlign w:val="center"/>
          </w:tcPr>
          <w:p w:rsidR="00854221" w:rsidRPr="00D80E11" w:rsidRDefault="00854221" w:rsidP="00854221">
            <w:pPr>
              <w:pStyle w:val="BodyText"/>
            </w:pPr>
            <w:r w:rsidRPr="00D80E11">
              <w:t>155</w:t>
            </w:r>
          </w:p>
        </w:tc>
        <w:tc>
          <w:tcPr>
            <w:tcW w:w="1620" w:type="dxa"/>
            <w:tcBorders>
              <w:left w:val="single" w:sz="4" w:space="0" w:color="000000"/>
              <w:bottom w:val="single" w:sz="4" w:space="0" w:color="000000"/>
            </w:tcBorders>
            <w:vAlign w:val="center"/>
          </w:tcPr>
          <w:p w:rsidR="00854221" w:rsidRPr="00D80E11" w:rsidRDefault="00854221" w:rsidP="00854221">
            <w:pPr>
              <w:pStyle w:val="BodyText"/>
            </w:pPr>
            <w:r w:rsidRPr="00D80E11">
              <w:t>155,6</w:t>
            </w:r>
          </w:p>
        </w:tc>
        <w:tc>
          <w:tcPr>
            <w:tcW w:w="1480"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1,00</w:t>
            </w:r>
          </w:p>
        </w:tc>
      </w:tr>
      <w:tr w:rsidR="00854221" w:rsidRPr="00D80E11" w:rsidTr="00854221">
        <w:trPr>
          <w:jc w:val="center"/>
        </w:trPr>
        <w:tc>
          <w:tcPr>
            <w:tcW w:w="1080" w:type="dxa"/>
            <w:tcBorders>
              <w:left w:val="single" w:sz="4" w:space="0" w:color="000000"/>
              <w:bottom w:val="single" w:sz="4" w:space="0" w:color="000000"/>
            </w:tcBorders>
            <w:vAlign w:val="center"/>
          </w:tcPr>
          <w:p w:rsidR="00854221" w:rsidRPr="00D80E11" w:rsidRDefault="00854221" w:rsidP="00854221">
            <w:pPr>
              <w:pStyle w:val="BodyText"/>
            </w:pPr>
            <w:r w:rsidRPr="00D80E11">
              <w:t>1998</w:t>
            </w:r>
          </w:p>
        </w:tc>
        <w:tc>
          <w:tcPr>
            <w:tcW w:w="1440" w:type="dxa"/>
            <w:tcBorders>
              <w:left w:val="single" w:sz="4" w:space="0" w:color="000000"/>
              <w:bottom w:val="single" w:sz="4" w:space="0" w:color="000000"/>
            </w:tcBorders>
            <w:vAlign w:val="center"/>
          </w:tcPr>
          <w:p w:rsidR="00854221" w:rsidRPr="00D80E11" w:rsidRDefault="00854221" w:rsidP="00854221">
            <w:pPr>
              <w:pStyle w:val="BodyText"/>
            </w:pPr>
            <w:r w:rsidRPr="00D80E11">
              <w:t>159</w:t>
            </w:r>
          </w:p>
        </w:tc>
        <w:tc>
          <w:tcPr>
            <w:tcW w:w="1620" w:type="dxa"/>
            <w:tcBorders>
              <w:left w:val="single" w:sz="4" w:space="0" w:color="000000"/>
              <w:bottom w:val="single" w:sz="4" w:space="0" w:color="000000"/>
            </w:tcBorders>
            <w:vAlign w:val="center"/>
          </w:tcPr>
          <w:p w:rsidR="00854221" w:rsidRPr="00D80E11" w:rsidRDefault="00854221" w:rsidP="00854221">
            <w:pPr>
              <w:pStyle w:val="BodyText"/>
            </w:pPr>
            <w:r w:rsidRPr="00D80E11">
              <w:t>154,1</w:t>
            </w:r>
          </w:p>
        </w:tc>
        <w:tc>
          <w:tcPr>
            <w:tcW w:w="1480"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1,03</w:t>
            </w:r>
          </w:p>
        </w:tc>
      </w:tr>
      <w:tr w:rsidR="00854221" w:rsidRPr="00D80E11" w:rsidTr="00854221">
        <w:trPr>
          <w:jc w:val="center"/>
        </w:trPr>
        <w:tc>
          <w:tcPr>
            <w:tcW w:w="1080" w:type="dxa"/>
            <w:tcBorders>
              <w:left w:val="single" w:sz="4" w:space="0" w:color="000000"/>
              <w:bottom w:val="single" w:sz="4" w:space="0" w:color="000000"/>
            </w:tcBorders>
            <w:vAlign w:val="center"/>
          </w:tcPr>
          <w:p w:rsidR="00854221" w:rsidRPr="00D80E11" w:rsidRDefault="00854221" w:rsidP="00854221">
            <w:pPr>
              <w:pStyle w:val="BodyText"/>
            </w:pPr>
            <w:r w:rsidRPr="00D80E11">
              <w:t>1999</w:t>
            </w:r>
          </w:p>
        </w:tc>
        <w:tc>
          <w:tcPr>
            <w:tcW w:w="1440" w:type="dxa"/>
            <w:tcBorders>
              <w:left w:val="single" w:sz="4" w:space="0" w:color="000000"/>
              <w:bottom w:val="single" w:sz="4" w:space="0" w:color="000000"/>
            </w:tcBorders>
            <w:vAlign w:val="center"/>
          </w:tcPr>
          <w:p w:rsidR="00854221" w:rsidRPr="00D80E11" w:rsidRDefault="00854221" w:rsidP="00854221">
            <w:pPr>
              <w:pStyle w:val="BodyText"/>
            </w:pPr>
            <w:r w:rsidRPr="00D80E11">
              <w:t>163</w:t>
            </w:r>
          </w:p>
        </w:tc>
        <w:tc>
          <w:tcPr>
            <w:tcW w:w="1620" w:type="dxa"/>
            <w:tcBorders>
              <w:left w:val="single" w:sz="4" w:space="0" w:color="000000"/>
              <w:bottom w:val="single" w:sz="4" w:space="0" w:color="000000"/>
            </w:tcBorders>
            <w:vAlign w:val="center"/>
          </w:tcPr>
          <w:p w:rsidR="00854221" w:rsidRPr="00D80E11" w:rsidRDefault="00854221" w:rsidP="00854221">
            <w:pPr>
              <w:pStyle w:val="BodyText"/>
            </w:pPr>
            <w:r w:rsidRPr="00D80E11">
              <w:t>154,8</w:t>
            </w:r>
          </w:p>
        </w:tc>
        <w:tc>
          <w:tcPr>
            <w:tcW w:w="1480"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1,05</w:t>
            </w:r>
          </w:p>
        </w:tc>
      </w:tr>
      <w:tr w:rsidR="00854221" w:rsidRPr="00D80E11" w:rsidTr="00854221">
        <w:trPr>
          <w:jc w:val="center"/>
        </w:trPr>
        <w:tc>
          <w:tcPr>
            <w:tcW w:w="1080" w:type="dxa"/>
            <w:tcBorders>
              <w:left w:val="single" w:sz="4" w:space="0" w:color="000000"/>
              <w:bottom w:val="single" w:sz="4" w:space="0" w:color="000000"/>
            </w:tcBorders>
            <w:vAlign w:val="center"/>
          </w:tcPr>
          <w:p w:rsidR="00854221" w:rsidRPr="00D80E11" w:rsidRDefault="00854221" w:rsidP="00854221">
            <w:pPr>
              <w:pStyle w:val="BodyText"/>
            </w:pPr>
            <w:r w:rsidRPr="00D80E11">
              <w:t>2000</w:t>
            </w:r>
          </w:p>
        </w:tc>
        <w:tc>
          <w:tcPr>
            <w:tcW w:w="1440" w:type="dxa"/>
            <w:tcBorders>
              <w:left w:val="single" w:sz="4" w:space="0" w:color="000000"/>
              <w:bottom w:val="single" w:sz="4" w:space="0" w:color="000000"/>
            </w:tcBorders>
            <w:vAlign w:val="center"/>
          </w:tcPr>
          <w:p w:rsidR="00854221" w:rsidRPr="00D80E11" w:rsidRDefault="00854221" w:rsidP="00854221">
            <w:pPr>
              <w:pStyle w:val="BodyText"/>
            </w:pPr>
            <w:r w:rsidRPr="00D80E11">
              <w:t>165</w:t>
            </w:r>
          </w:p>
        </w:tc>
        <w:tc>
          <w:tcPr>
            <w:tcW w:w="1620" w:type="dxa"/>
            <w:tcBorders>
              <w:left w:val="single" w:sz="4" w:space="0" w:color="000000"/>
              <w:bottom w:val="single" w:sz="4" w:space="0" w:color="000000"/>
            </w:tcBorders>
            <w:vAlign w:val="center"/>
          </w:tcPr>
          <w:p w:rsidR="00854221" w:rsidRPr="00D80E11" w:rsidRDefault="00854221" w:rsidP="00854221">
            <w:pPr>
              <w:pStyle w:val="BodyText"/>
            </w:pPr>
            <w:r w:rsidRPr="00D80E11">
              <w:t>154,7</w:t>
            </w:r>
          </w:p>
        </w:tc>
        <w:tc>
          <w:tcPr>
            <w:tcW w:w="1480"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1,07</w:t>
            </w:r>
          </w:p>
        </w:tc>
      </w:tr>
      <w:tr w:rsidR="00854221" w:rsidRPr="00D80E11" w:rsidTr="00854221">
        <w:trPr>
          <w:jc w:val="center"/>
        </w:trPr>
        <w:tc>
          <w:tcPr>
            <w:tcW w:w="1080" w:type="dxa"/>
            <w:tcBorders>
              <w:left w:val="single" w:sz="4" w:space="0" w:color="000000"/>
              <w:bottom w:val="single" w:sz="4" w:space="0" w:color="000000"/>
            </w:tcBorders>
            <w:vAlign w:val="center"/>
          </w:tcPr>
          <w:p w:rsidR="00854221" w:rsidRPr="00D80E11" w:rsidRDefault="00854221" w:rsidP="00854221">
            <w:pPr>
              <w:pStyle w:val="BodyText"/>
            </w:pPr>
            <w:r w:rsidRPr="00D80E11">
              <w:t>2001</w:t>
            </w:r>
          </w:p>
        </w:tc>
        <w:tc>
          <w:tcPr>
            <w:tcW w:w="1440" w:type="dxa"/>
            <w:tcBorders>
              <w:left w:val="single" w:sz="4" w:space="0" w:color="000000"/>
              <w:bottom w:val="single" w:sz="4" w:space="0" w:color="000000"/>
            </w:tcBorders>
            <w:vAlign w:val="center"/>
          </w:tcPr>
          <w:p w:rsidR="00854221" w:rsidRPr="00D80E11" w:rsidRDefault="00854221" w:rsidP="00854221">
            <w:pPr>
              <w:pStyle w:val="BodyText"/>
            </w:pPr>
            <w:r w:rsidRPr="00D80E11">
              <w:t>167</w:t>
            </w:r>
          </w:p>
        </w:tc>
        <w:tc>
          <w:tcPr>
            <w:tcW w:w="1620" w:type="dxa"/>
            <w:tcBorders>
              <w:left w:val="single" w:sz="4" w:space="0" w:color="000000"/>
              <w:bottom w:val="single" w:sz="4" w:space="0" w:color="000000"/>
            </w:tcBorders>
            <w:vAlign w:val="center"/>
          </w:tcPr>
          <w:p w:rsidR="00854221" w:rsidRPr="00D80E11" w:rsidRDefault="00854221" w:rsidP="00854221">
            <w:pPr>
              <w:pStyle w:val="BodyText"/>
            </w:pPr>
            <w:r w:rsidRPr="00D80E11">
              <w:t>144,3</w:t>
            </w:r>
          </w:p>
        </w:tc>
        <w:tc>
          <w:tcPr>
            <w:tcW w:w="1480"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1,16</w:t>
            </w:r>
          </w:p>
        </w:tc>
      </w:tr>
      <w:tr w:rsidR="00854221" w:rsidRPr="00D80E11" w:rsidTr="00854221">
        <w:trPr>
          <w:jc w:val="center"/>
        </w:trPr>
        <w:tc>
          <w:tcPr>
            <w:tcW w:w="1080" w:type="dxa"/>
            <w:tcBorders>
              <w:left w:val="single" w:sz="4" w:space="0" w:color="000000"/>
              <w:bottom w:val="single" w:sz="4" w:space="0" w:color="000000"/>
            </w:tcBorders>
            <w:vAlign w:val="center"/>
          </w:tcPr>
          <w:p w:rsidR="00854221" w:rsidRPr="00D80E11" w:rsidRDefault="00854221" w:rsidP="00854221">
            <w:pPr>
              <w:pStyle w:val="BodyText"/>
            </w:pPr>
            <w:r w:rsidRPr="00D80E11">
              <w:t>2002</w:t>
            </w:r>
          </w:p>
        </w:tc>
        <w:tc>
          <w:tcPr>
            <w:tcW w:w="1440" w:type="dxa"/>
            <w:tcBorders>
              <w:left w:val="single" w:sz="4" w:space="0" w:color="000000"/>
              <w:bottom w:val="single" w:sz="4" w:space="0" w:color="000000"/>
            </w:tcBorders>
            <w:vAlign w:val="center"/>
          </w:tcPr>
          <w:p w:rsidR="00854221" w:rsidRPr="00D80E11" w:rsidRDefault="00854221" w:rsidP="00854221">
            <w:pPr>
              <w:pStyle w:val="BodyText"/>
            </w:pPr>
            <w:r w:rsidRPr="00D80E11">
              <w:t>170</w:t>
            </w:r>
          </w:p>
        </w:tc>
        <w:tc>
          <w:tcPr>
            <w:tcW w:w="1620" w:type="dxa"/>
            <w:tcBorders>
              <w:left w:val="single" w:sz="4" w:space="0" w:color="000000"/>
              <w:bottom w:val="single" w:sz="4" w:space="0" w:color="000000"/>
            </w:tcBorders>
            <w:vAlign w:val="center"/>
          </w:tcPr>
          <w:p w:rsidR="00854221" w:rsidRPr="00D80E11" w:rsidRDefault="00854221" w:rsidP="00854221">
            <w:pPr>
              <w:pStyle w:val="BodyText"/>
            </w:pPr>
            <w:r w:rsidRPr="00D80E11">
              <w:t>143,9</w:t>
            </w:r>
          </w:p>
        </w:tc>
        <w:tc>
          <w:tcPr>
            <w:tcW w:w="1480"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1,18</w:t>
            </w:r>
          </w:p>
        </w:tc>
      </w:tr>
      <w:tr w:rsidR="00854221" w:rsidRPr="00D80E11" w:rsidTr="00854221">
        <w:trPr>
          <w:jc w:val="center"/>
        </w:trPr>
        <w:tc>
          <w:tcPr>
            <w:tcW w:w="1080" w:type="dxa"/>
            <w:tcBorders>
              <w:left w:val="single" w:sz="4" w:space="0" w:color="000000"/>
              <w:bottom w:val="single" w:sz="4" w:space="0" w:color="000000"/>
            </w:tcBorders>
            <w:vAlign w:val="center"/>
          </w:tcPr>
          <w:p w:rsidR="00854221" w:rsidRPr="00D80E11" w:rsidRDefault="00854221" w:rsidP="00854221">
            <w:pPr>
              <w:pStyle w:val="BodyText"/>
            </w:pPr>
            <w:r w:rsidRPr="00D80E11">
              <w:t>2003</w:t>
            </w:r>
          </w:p>
        </w:tc>
        <w:tc>
          <w:tcPr>
            <w:tcW w:w="1440" w:type="dxa"/>
            <w:tcBorders>
              <w:left w:val="single" w:sz="4" w:space="0" w:color="000000"/>
              <w:bottom w:val="single" w:sz="4" w:space="0" w:color="000000"/>
            </w:tcBorders>
            <w:vAlign w:val="center"/>
          </w:tcPr>
          <w:p w:rsidR="00854221" w:rsidRPr="00D80E11" w:rsidRDefault="00854221" w:rsidP="00854221">
            <w:pPr>
              <w:pStyle w:val="BodyText"/>
            </w:pPr>
            <w:r w:rsidRPr="00D80E11">
              <w:t>156</w:t>
            </w:r>
          </w:p>
        </w:tc>
        <w:tc>
          <w:tcPr>
            <w:tcW w:w="1620" w:type="dxa"/>
            <w:tcBorders>
              <w:left w:val="single" w:sz="4" w:space="0" w:color="000000"/>
              <w:bottom w:val="single" w:sz="4" w:space="0" w:color="000000"/>
            </w:tcBorders>
            <w:vAlign w:val="center"/>
          </w:tcPr>
          <w:p w:rsidR="00854221" w:rsidRPr="00D80E11" w:rsidRDefault="00854221" w:rsidP="00854221">
            <w:pPr>
              <w:pStyle w:val="BodyText"/>
            </w:pPr>
            <w:r w:rsidRPr="00D80E11">
              <w:t>130,4</w:t>
            </w:r>
          </w:p>
        </w:tc>
        <w:tc>
          <w:tcPr>
            <w:tcW w:w="1480"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1,20</w:t>
            </w:r>
          </w:p>
        </w:tc>
      </w:tr>
      <w:tr w:rsidR="00854221" w:rsidRPr="00D80E11" w:rsidTr="00854221">
        <w:trPr>
          <w:jc w:val="center"/>
        </w:trPr>
        <w:tc>
          <w:tcPr>
            <w:tcW w:w="1080" w:type="dxa"/>
            <w:tcBorders>
              <w:left w:val="single" w:sz="4" w:space="0" w:color="000000"/>
              <w:bottom w:val="single" w:sz="4" w:space="0" w:color="000000"/>
            </w:tcBorders>
            <w:vAlign w:val="center"/>
          </w:tcPr>
          <w:p w:rsidR="00854221" w:rsidRPr="00D80E11" w:rsidRDefault="00854221" w:rsidP="00854221">
            <w:pPr>
              <w:pStyle w:val="BodyText"/>
            </w:pPr>
            <w:r w:rsidRPr="00D80E11">
              <w:t>2004</w:t>
            </w:r>
          </w:p>
        </w:tc>
        <w:tc>
          <w:tcPr>
            <w:tcW w:w="1440" w:type="dxa"/>
            <w:tcBorders>
              <w:left w:val="single" w:sz="4" w:space="0" w:color="000000"/>
              <w:bottom w:val="single" w:sz="4" w:space="0" w:color="000000"/>
            </w:tcBorders>
            <w:vAlign w:val="center"/>
          </w:tcPr>
          <w:p w:rsidR="00854221" w:rsidRPr="00D80E11" w:rsidRDefault="00854221" w:rsidP="00854221">
            <w:pPr>
              <w:pStyle w:val="BodyText"/>
            </w:pPr>
            <w:r w:rsidRPr="00D80E11">
              <w:t>163</w:t>
            </w:r>
          </w:p>
        </w:tc>
        <w:tc>
          <w:tcPr>
            <w:tcW w:w="1620" w:type="dxa"/>
            <w:tcBorders>
              <w:left w:val="single" w:sz="4" w:space="0" w:color="000000"/>
              <w:bottom w:val="single" w:sz="4" w:space="0" w:color="000000"/>
            </w:tcBorders>
            <w:vAlign w:val="center"/>
          </w:tcPr>
          <w:p w:rsidR="00854221" w:rsidRPr="00D80E11" w:rsidRDefault="00854221" w:rsidP="00854221">
            <w:pPr>
              <w:pStyle w:val="BodyText"/>
            </w:pPr>
            <w:r w:rsidRPr="00D80E11">
              <w:t>121,6</w:t>
            </w:r>
          </w:p>
        </w:tc>
        <w:tc>
          <w:tcPr>
            <w:tcW w:w="1480"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1,34</w:t>
            </w:r>
          </w:p>
        </w:tc>
      </w:tr>
      <w:tr w:rsidR="00854221" w:rsidRPr="00D80E11" w:rsidTr="00854221">
        <w:trPr>
          <w:jc w:val="center"/>
        </w:trPr>
        <w:tc>
          <w:tcPr>
            <w:tcW w:w="1080" w:type="dxa"/>
            <w:tcBorders>
              <w:left w:val="single" w:sz="4" w:space="0" w:color="000000"/>
              <w:bottom w:val="single" w:sz="4" w:space="0" w:color="000000"/>
            </w:tcBorders>
            <w:vAlign w:val="center"/>
          </w:tcPr>
          <w:p w:rsidR="00854221" w:rsidRPr="00D80E11" w:rsidRDefault="00854221" w:rsidP="00854221">
            <w:pPr>
              <w:pStyle w:val="BodyText"/>
            </w:pPr>
            <w:r w:rsidRPr="00D80E11">
              <w:t>2005</w:t>
            </w:r>
          </w:p>
        </w:tc>
        <w:tc>
          <w:tcPr>
            <w:tcW w:w="1440" w:type="dxa"/>
            <w:tcBorders>
              <w:left w:val="single" w:sz="4" w:space="0" w:color="000000"/>
              <w:bottom w:val="single" w:sz="4" w:space="0" w:color="000000"/>
            </w:tcBorders>
            <w:vAlign w:val="center"/>
          </w:tcPr>
          <w:p w:rsidR="00854221" w:rsidRPr="00D80E11" w:rsidRDefault="00854221" w:rsidP="00854221">
            <w:pPr>
              <w:pStyle w:val="BodyText"/>
            </w:pPr>
            <w:r w:rsidRPr="00D80E11">
              <w:t>159</w:t>
            </w:r>
          </w:p>
        </w:tc>
        <w:tc>
          <w:tcPr>
            <w:tcW w:w="1620" w:type="dxa"/>
            <w:tcBorders>
              <w:left w:val="single" w:sz="4" w:space="0" w:color="000000"/>
              <w:bottom w:val="single" w:sz="4" w:space="0" w:color="000000"/>
            </w:tcBorders>
            <w:vAlign w:val="center"/>
          </w:tcPr>
          <w:p w:rsidR="00854221" w:rsidRPr="00D80E11" w:rsidRDefault="00854221" w:rsidP="00854221">
            <w:pPr>
              <w:pStyle w:val="BodyText"/>
            </w:pPr>
            <w:r w:rsidRPr="00D80E11">
              <w:t>105,7</w:t>
            </w:r>
          </w:p>
        </w:tc>
        <w:tc>
          <w:tcPr>
            <w:tcW w:w="1480" w:type="dxa"/>
            <w:tcBorders>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1,50</w:t>
            </w:r>
          </w:p>
        </w:tc>
      </w:tr>
    </w:tbl>
    <w:p w:rsidR="00854221" w:rsidRDefault="00854221" w:rsidP="00854221">
      <w:pPr>
        <w:jc w:val="center"/>
        <w:rPr>
          <w:rFonts w:eastAsia="Times New Roman"/>
          <w:b/>
          <w:lang w:eastAsia="ar-SA"/>
        </w:rPr>
      </w:pPr>
    </w:p>
    <w:p w:rsidR="00091328" w:rsidRPr="00D80E11" w:rsidRDefault="00091328" w:rsidP="00854221">
      <w:pPr>
        <w:jc w:val="center"/>
        <w:rPr>
          <w:rFonts w:eastAsia="Times New Roman"/>
          <w:b/>
          <w:lang w:eastAsia="ar-SA"/>
        </w:rPr>
      </w:pPr>
    </w:p>
    <w:p w:rsidR="00854221" w:rsidRPr="00D80E11" w:rsidRDefault="00854221" w:rsidP="00854221">
      <w:pPr>
        <w:rPr>
          <w:rFonts w:eastAsia="Times New Roman"/>
          <w:lang w:eastAsia="ar-SA"/>
        </w:rPr>
      </w:pPr>
      <w:r w:rsidRPr="00D80E11">
        <w:rPr>
          <w:rFonts w:eastAsia="Times New Roman"/>
          <w:lang w:eastAsia="ar-SA"/>
        </w:rPr>
        <w:t xml:space="preserve">Nevertheless, the linkage between charges and traffic remains unclear and probably low; it would be certainly misleading to see tariff evolution as the main reason for freight traffic decreases; expert views and interviews of operators tend to think that the impact of tariffs is rather low. </w:t>
      </w:r>
      <w:r>
        <w:rPr>
          <w:rFonts w:eastAsia="Times New Roman"/>
          <w:lang w:eastAsia="ar-SA"/>
        </w:rPr>
        <w:t xml:space="preserve"> </w:t>
      </w:r>
      <w:r w:rsidRPr="00D80E11">
        <w:rPr>
          <w:rFonts w:eastAsia="Times New Roman"/>
          <w:lang w:eastAsia="ar-SA"/>
        </w:rPr>
        <w:t>First, the main effect of tariff evolution, that occurred when reservation fees were effectively implemented, was the suppression of “facultative” paths that were unused, thus this effect does not appear in traffic figures. Second, even though it increased globally, the charge level still represents a low share in operators’ costs, especially for SNCF (around 8%)</w:t>
      </w:r>
      <w:proofErr w:type="gramStart"/>
      <w:r w:rsidRPr="00D80E11">
        <w:rPr>
          <w:rFonts w:eastAsia="Times New Roman"/>
          <w:lang w:eastAsia="ar-SA"/>
        </w:rPr>
        <w:t>,</w:t>
      </w:r>
      <w:proofErr w:type="gramEnd"/>
      <w:r w:rsidRPr="00D80E11">
        <w:rPr>
          <w:rFonts w:eastAsia="Times New Roman"/>
          <w:lang w:eastAsia="ar-SA"/>
        </w:rPr>
        <w:t xml:space="preserve"> whereas the evolution of traffic showed important shocks that seem to be much more related to the changes in SNCF’s freight strategy.</w:t>
      </w:r>
      <w:r>
        <w:rPr>
          <w:rFonts w:eastAsia="Times New Roman"/>
          <w:lang w:eastAsia="ar-SA"/>
        </w:rPr>
        <w:t xml:space="preserve"> </w:t>
      </w:r>
      <w:r w:rsidRPr="00D80E11">
        <w:rPr>
          <w:rFonts w:eastAsia="Times New Roman"/>
          <w:lang w:eastAsia="ar-SA"/>
        </w:rPr>
        <w:t xml:space="preserve">Indeed, reorganization plans, railway strikes, the liberalization of fret services and economic globalisation have extensively confused the price signal and impacted the traffic at a much higher degree than could do the relatively small signal of infrastructure charge. </w:t>
      </w:r>
    </w:p>
    <w:p w:rsidR="00854221" w:rsidRPr="00D80E11" w:rsidRDefault="00854221" w:rsidP="00854221">
      <w:pPr>
        <w:rPr>
          <w:rFonts w:eastAsia="Times New Roman"/>
          <w:lang w:eastAsia="ar-SA"/>
        </w:rPr>
      </w:pPr>
    </w:p>
    <w:p w:rsidR="00854221" w:rsidRPr="00D80E11" w:rsidRDefault="00854221" w:rsidP="00854221">
      <w:bookmarkStart w:id="56" w:name="OLE_LINK13"/>
      <w:bookmarkStart w:id="57" w:name="OLE_LINK14"/>
      <w:r w:rsidRPr="00D80E11">
        <w:t xml:space="preserve">However, set now at higher levels, and in a more stable environment, infrastructure charges may play a stronger role in the future. </w:t>
      </w:r>
      <w:r>
        <w:t xml:space="preserve"> </w:t>
      </w:r>
      <w:r w:rsidRPr="00D80E11">
        <w:t xml:space="preserve">At least, the steady increases, observed also in 2009 tariffs, may have an impact on operator’s purchase strategy –choice of day period, train speed, routes. </w:t>
      </w:r>
      <w:r>
        <w:t xml:space="preserve"> </w:t>
      </w:r>
      <w:r w:rsidRPr="00D80E11">
        <w:t xml:space="preserve">Unfortunately, we couldn’t have any access to wagon loading rates, or to the relative use of off-peak periods, or to the distribution of train speed. </w:t>
      </w:r>
    </w:p>
    <w:p w:rsidR="00854221" w:rsidRPr="00D80E11" w:rsidRDefault="00854221" w:rsidP="00854221">
      <w:pPr>
        <w:rPr>
          <w:rFonts w:eastAsia="Times New Roman"/>
          <w:lang w:eastAsia="ar-SA"/>
        </w:rPr>
      </w:pPr>
    </w:p>
    <w:bookmarkEnd w:id="56"/>
    <w:bookmarkEnd w:id="57"/>
    <w:p w:rsidR="00854221" w:rsidRPr="00D80E11" w:rsidRDefault="00854221" w:rsidP="00854221">
      <w:r w:rsidRPr="00D80E11">
        <w:t xml:space="preserve">RFF considers that freight operators have enough willingness to pay for long-haul, high-speed traffic, which is generally the most profitable. </w:t>
      </w:r>
      <w:r>
        <w:t xml:space="preserve"> </w:t>
      </w:r>
      <w:r w:rsidRPr="00D80E11">
        <w:t xml:space="preserve">Nevertheless, French operators are doubtful about RFF’s ability to improve the quality of its freight path offer. </w:t>
      </w:r>
      <w:r>
        <w:t xml:space="preserve"> </w:t>
      </w:r>
      <w:r w:rsidRPr="00D80E11">
        <w:t>Discussions have been led on 2010-2015 infrastructure charges tariffs; this result</w:t>
      </w:r>
      <w:r w:rsidR="00911F90">
        <w:t>ed</w:t>
      </w:r>
      <w:r w:rsidRPr="00D80E11">
        <w:t xml:space="preserve"> in new increases, so as to obtain a better cost coverage ratio for RFF </w:t>
      </w:r>
      <w:r w:rsidR="00911F90">
        <w:t>in exchange for</w:t>
      </w:r>
      <w:r w:rsidRPr="00D80E11">
        <w:t xml:space="preserve"> improved infrastructure quality for freight trains.</w:t>
      </w:r>
      <w:r w:rsidR="00911F90">
        <w:t xml:space="preserve"> The problem is that a good number of freig</w:t>
      </w:r>
      <w:r w:rsidR="00310A66">
        <w:t>h</w:t>
      </w:r>
      <w:r w:rsidR="00911F90">
        <w:t xml:space="preserve">t traffics could simply not pay for the tariff increase and would then disappear. Therefore, during several years, a public contribution will compensate the operators for the tariff increase. </w:t>
      </w:r>
      <w:r w:rsidR="00310A66">
        <w:t>But this contribution</w:t>
      </w:r>
      <w:r w:rsidR="00911F90">
        <w:t xml:space="preserve"> will decrease progressively</w:t>
      </w:r>
      <w:r w:rsidR="00310A66">
        <w:t xml:space="preserve"> and then disappear</w:t>
      </w:r>
      <w:r w:rsidR="00911F90">
        <w:t>, since it is expected that operators’ productivity gains, obtained both by their own efforts and by the improvement of RFF’</w:t>
      </w:r>
      <w:r w:rsidR="00310A66">
        <w:t xml:space="preserve">s </w:t>
      </w:r>
      <w:r w:rsidR="00911F90">
        <w:t>freight paths, will make possible to increase progressively the tariff effectively paid by the operators.</w:t>
      </w:r>
    </w:p>
    <w:p w:rsidR="00854221" w:rsidRPr="00D80E11" w:rsidRDefault="00854221" w:rsidP="00854221">
      <w:pPr>
        <w:rPr>
          <w:rFonts w:eastAsia="Times New Roman"/>
          <w:lang w:eastAsia="ar-SA"/>
        </w:rPr>
      </w:pPr>
    </w:p>
    <w:p w:rsidR="00854221" w:rsidRPr="00D80E11" w:rsidRDefault="00854221" w:rsidP="00854221">
      <w:r w:rsidRPr="00D80E11">
        <w:t xml:space="preserve">As a conclusion, it has not been possible to show a precise impact of the increase and differentiation in RFF’s freight tariffs. </w:t>
      </w:r>
      <w:r>
        <w:t xml:space="preserve"> </w:t>
      </w:r>
      <w:r w:rsidRPr="00D80E11">
        <w:t xml:space="preserve">The lack of data from the two main sources, SNCF and RFF, was a major problem. Very important events on the operators’ side and on the demand’s side had a major effect, and data available was not precise enough to get effects sorted out. </w:t>
      </w:r>
      <w:r>
        <w:t xml:space="preserve"> </w:t>
      </w:r>
      <w:r w:rsidRPr="00D80E11">
        <w:t xml:space="preserve">Nevertheless, it is highly plausible that RFF tariffs’ evolution accompanied the other changes in the same direction, possibly accentuating the decreasing trends in traffic levels. </w:t>
      </w:r>
    </w:p>
    <w:p w:rsidR="00854221" w:rsidRPr="00D80E11" w:rsidRDefault="00854221" w:rsidP="00854221">
      <w:pPr>
        <w:spacing w:line="276" w:lineRule="auto"/>
      </w:pPr>
    </w:p>
    <w:p w:rsidR="00854221" w:rsidRPr="00091328" w:rsidRDefault="00EC3B90" w:rsidP="003D2FE7">
      <w:pPr>
        <w:pStyle w:val="Heading2"/>
        <w:numPr>
          <w:ilvl w:val="0"/>
          <w:numId w:val="0"/>
        </w:numPr>
        <w:ind w:left="851" w:hanging="851"/>
        <w:rPr>
          <w:rFonts w:ascii="Arial" w:hAnsi="Arial"/>
          <w:smallCaps w:val="0"/>
          <w:color w:val="auto"/>
          <w:sz w:val="20"/>
          <w:szCs w:val="20"/>
        </w:rPr>
      </w:pPr>
      <w:bookmarkStart w:id="58" w:name="_Toc207526685"/>
      <w:r w:rsidRPr="00091328">
        <w:rPr>
          <w:rFonts w:ascii="Arial" w:hAnsi="Arial"/>
          <w:smallCaps w:val="0"/>
          <w:color w:val="auto"/>
          <w:sz w:val="20"/>
          <w:szCs w:val="20"/>
        </w:rPr>
        <w:t>4.3</w:t>
      </w:r>
      <w:r w:rsidR="003D2FE7" w:rsidRPr="00091328">
        <w:rPr>
          <w:rFonts w:ascii="Arial" w:hAnsi="Arial"/>
          <w:smallCaps w:val="0"/>
          <w:color w:val="auto"/>
          <w:sz w:val="20"/>
          <w:szCs w:val="20"/>
        </w:rPr>
        <w:t xml:space="preserve"> </w:t>
      </w:r>
      <w:r w:rsidR="00854221" w:rsidRPr="00091328">
        <w:rPr>
          <w:rFonts w:ascii="Arial" w:hAnsi="Arial"/>
          <w:smallCaps w:val="0"/>
          <w:color w:val="auto"/>
          <w:sz w:val="20"/>
          <w:szCs w:val="20"/>
        </w:rPr>
        <w:t xml:space="preserve">Freight </w:t>
      </w:r>
      <w:r w:rsidR="000A1DB3" w:rsidRPr="00091328">
        <w:rPr>
          <w:rFonts w:ascii="Arial" w:hAnsi="Arial"/>
          <w:smallCaps w:val="0"/>
          <w:color w:val="auto"/>
          <w:sz w:val="20"/>
          <w:szCs w:val="20"/>
        </w:rPr>
        <w:t>through</w:t>
      </w:r>
      <w:r w:rsidR="00854221" w:rsidRPr="00091328">
        <w:rPr>
          <w:rFonts w:ascii="Arial" w:hAnsi="Arial"/>
          <w:smallCaps w:val="0"/>
          <w:color w:val="auto"/>
          <w:sz w:val="20"/>
          <w:szCs w:val="20"/>
        </w:rPr>
        <w:t xml:space="preserve"> Eurotunnel</w:t>
      </w:r>
      <w:bookmarkEnd w:id="58"/>
    </w:p>
    <w:p w:rsidR="00854221" w:rsidRPr="00D80E11" w:rsidRDefault="00854221" w:rsidP="00854221">
      <w:r w:rsidRPr="00D80E11">
        <w:t xml:space="preserve">Eurotunnel provides an interesting case, as rail freight through the tunnel has performed somewhat disappointingly over a number of years and the charges faced by freight operators have consistently </w:t>
      </w:r>
      <w:r w:rsidRPr="00D80E11">
        <w:lastRenderedPageBreak/>
        <w:t xml:space="preserve">been cited as a potential cause of this poor performance.  After 14 years of service, the channel tunnel is far from operating at the level of capacity requested by the reports giving support to the tunnel alternative for a cross-channel fixed link.  Having originally had a design capacity of approximately 10 million tonnes, freight traffic grew during the first 3 years of operation to three million tonnes in 1997.  However, it then stagnated until 2000, before declining to just over one million tonnes in 2007.  </w:t>
      </w:r>
    </w:p>
    <w:p w:rsidR="00854221" w:rsidRPr="00D80E11" w:rsidRDefault="00854221" w:rsidP="00854221"/>
    <w:p w:rsidR="00854221" w:rsidRPr="00D80E11" w:rsidRDefault="000A1DB3" w:rsidP="00854221">
      <w:r>
        <w:t xml:space="preserve">Table 11 </w:t>
      </w:r>
      <w:r w:rsidR="00854221" w:rsidRPr="00D80E11">
        <w:t xml:space="preserve">and </w:t>
      </w:r>
      <w:r>
        <w:t>Table 12</w:t>
      </w:r>
      <w:r w:rsidR="00854221" w:rsidRPr="00D80E11">
        <w:t xml:space="preserve">draw similar pictures for tunnel freight forecasts: a total traffic of about 30 million tonnes around 1993 and a total market share of about 35% for the tunnel, corresponding to about 10 Mt, with better market shares for rail wagons than for Le Shuttle. </w:t>
      </w:r>
    </w:p>
    <w:p w:rsidR="00854221" w:rsidRPr="00D80E11" w:rsidRDefault="00854221" w:rsidP="00854221"/>
    <w:p w:rsidR="00854221" w:rsidRPr="00CF0622" w:rsidRDefault="00854221" w:rsidP="00854221">
      <w:pPr>
        <w:pStyle w:val="Caption"/>
        <w:rPr>
          <w:rFonts w:cs="Arial"/>
          <w:b w:val="0"/>
        </w:rPr>
      </w:pPr>
      <w:bookmarkStart w:id="59" w:name="_Ref204159827"/>
      <w:bookmarkStart w:id="60" w:name="_Toc207524653"/>
      <w:r w:rsidRPr="00CF0622">
        <w:rPr>
          <w:rFonts w:cs="Arial"/>
        </w:rPr>
        <w:t xml:space="preserve">Table </w:t>
      </w:r>
      <w:bookmarkEnd w:id="59"/>
      <w:r w:rsidR="000A1DB3">
        <w:rPr>
          <w:rFonts w:cs="Arial"/>
        </w:rPr>
        <w:t>11:</w:t>
      </w:r>
      <w:r w:rsidRPr="00CF0622">
        <w:rPr>
          <w:rFonts w:cs="Arial"/>
        </w:rPr>
        <w:t xml:space="preserve"> </w:t>
      </w:r>
      <w:r w:rsidRPr="00CF0622">
        <w:rPr>
          <w:rFonts w:cs="Arial"/>
          <w:b w:val="0"/>
        </w:rPr>
        <w:t xml:space="preserve"> </w:t>
      </w:r>
      <w:r w:rsidRPr="00CF0622">
        <w:rPr>
          <w:rFonts w:cs="Arial"/>
        </w:rPr>
        <w:t xml:space="preserve">Historical </w:t>
      </w:r>
      <w:r>
        <w:rPr>
          <w:rFonts w:cs="Arial"/>
        </w:rPr>
        <w:t>F</w:t>
      </w:r>
      <w:r w:rsidRPr="00CF0622">
        <w:rPr>
          <w:rFonts w:cs="Arial"/>
        </w:rPr>
        <w:t xml:space="preserve">orecast for </w:t>
      </w:r>
      <w:r>
        <w:rPr>
          <w:rFonts w:cs="Arial"/>
        </w:rPr>
        <w:t>F</w:t>
      </w:r>
      <w:r w:rsidRPr="00CF0622">
        <w:rPr>
          <w:rFonts w:cs="Arial"/>
        </w:rPr>
        <w:t xml:space="preserve">reight: Total </w:t>
      </w:r>
      <w:r>
        <w:rPr>
          <w:rFonts w:cs="Arial"/>
        </w:rPr>
        <w:t>C</w:t>
      </w:r>
      <w:r w:rsidRPr="00CF0622">
        <w:rPr>
          <w:rFonts w:cs="Arial"/>
        </w:rPr>
        <w:t xml:space="preserve">ross-Channel vs. Channel </w:t>
      </w:r>
      <w:r>
        <w:rPr>
          <w:rFonts w:cs="Arial"/>
        </w:rPr>
        <w:t>T</w:t>
      </w:r>
      <w:r w:rsidRPr="00CF0622">
        <w:rPr>
          <w:rFonts w:cs="Arial"/>
        </w:rPr>
        <w:t>unnel (</w:t>
      </w:r>
      <w:r>
        <w:rPr>
          <w:rFonts w:cs="Arial"/>
        </w:rPr>
        <w:t>M</w:t>
      </w:r>
      <w:r w:rsidRPr="00CF0622">
        <w:rPr>
          <w:rFonts w:cs="Arial"/>
        </w:rPr>
        <w:t xml:space="preserve">illion </w:t>
      </w:r>
      <w:r>
        <w:rPr>
          <w:rFonts w:cs="Arial"/>
        </w:rPr>
        <w:t>T</w:t>
      </w:r>
      <w:r w:rsidRPr="00CF0622">
        <w:rPr>
          <w:rFonts w:cs="Arial"/>
        </w:rPr>
        <w:t>onnes)</w:t>
      </w:r>
      <w:bookmarkEnd w:id="60"/>
    </w:p>
    <w:tbl>
      <w:tblPr>
        <w:tblW w:w="9232" w:type="dxa"/>
        <w:tblInd w:w="-113" w:type="dxa"/>
        <w:tblLayout w:type="fixed"/>
        <w:tblCellMar>
          <w:left w:w="0" w:type="dxa"/>
          <w:right w:w="0" w:type="dxa"/>
        </w:tblCellMar>
        <w:tblLook w:val="04A0"/>
      </w:tblPr>
      <w:tblGrid>
        <w:gridCol w:w="2268"/>
        <w:gridCol w:w="2340"/>
        <w:gridCol w:w="767"/>
        <w:gridCol w:w="767"/>
        <w:gridCol w:w="768"/>
        <w:gridCol w:w="767"/>
        <w:gridCol w:w="767"/>
        <w:gridCol w:w="788"/>
      </w:tblGrid>
      <w:tr w:rsidR="00854221" w:rsidRPr="00D80E11" w:rsidTr="00854221">
        <w:tc>
          <w:tcPr>
            <w:tcW w:w="4608" w:type="dxa"/>
            <w:gridSpan w:val="2"/>
            <w:tcBorders>
              <w:top w:val="single" w:sz="4" w:space="0" w:color="000000"/>
              <w:left w:val="single" w:sz="4" w:space="0" w:color="000000"/>
              <w:bottom w:val="single" w:sz="4" w:space="0" w:color="000000"/>
              <w:right w:val="nil"/>
            </w:tcBorders>
            <w:shd w:val="pct10" w:color="auto" w:fill="auto"/>
            <w:vAlign w:val="center"/>
          </w:tcPr>
          <w:p w:rsidR="00854221" w:rsidRPr="00D80E11" w:rsidRDefault="00854221" w:rsidP="00854221">
            <w:pPr>
              <w:pStyle w:val="BodyTextHeader"/>
              <w:rPr>
                <w:lang w:eastAsia="ar-SA"/>
              </w:rPr>
            </w:pPr>
            <w:r w:rsidRPr="00D80E11">
              <w:t>Freight forecasts</w:t>
            </w:r>
          </w:p>
        </w:tc>
        <w:tc>
          <w:tcPr>
            <w:tcW w:w="767" w:type="dxa"/>
            <w:tcBorders>
              <w:top w:val="single" w:sz="4" w:space="0" w:color="000000"/>
              <w:left w:val="single" w:sz="4" w:space="0" w:color="000000"/>
              <w:bottom w:val="single" w:sz="4" w:space="0" w:color="000000"/>
              <w:right w:val="nil"/>
            </w:tcBorders>
            <w:shd w:val="pct10" w:color="auto" w:fill="auto"/>
            <w:vAlign w:val="center"/>
          </w:tcPr>
          <w:p w:rsidR="00854221" w:rsidRPr="00D80E11" w:rsidRDefault="00854221" w:rsidP="00854221">
            <w:pPr>
              <w:pStyle w:val="BodyTextHeader"/>
              <w:rPr>
                <w:lang w:eastAsia="ar-SA"/>
              </w:rPr>
            </w:pPr>
            <w:r w:rsidRPr="00D80E11">
              <w:t>1969</w:t>
            </w:r>
          </w:p>
        </w:tc>
        <w:tc>
          <w:tcPr>
            <w:tcW w:w="767" w:type="dxa"/>
            <w:tcBorders>
              <w:top w:val="single" w:sz="4" w:space="0" w:color="000000"/>
              <w:left w:val="single" w:sz="4" w:space="0" w:color="000000"/>
              <w:bottom w:val="single" w:sz="4" w:space="0" w:color="000000"/>
              <w:right w:val="nil"/>
            </w:tcBorders>
            <w:shd w:val="pct10" w:color="auto" w:fill="auto"/>
            <w:vAlign w:val="center"/>
          </w:tcPr>
          <w:p w:rsidR="00854221" w:rsidRPr="00D80E11" w:rsidRDefault="00854221" w:rsidP="00854221">
            <w:pPr>
              <w:pStyle w:val="BodyTextHeader"/>
              <w:rPr>
                <w:lang w:eastAsia="ar-SA"/>
              </w:rPr>
            </w:pPr>
            <w:r w:rsidRPr="00D80E11">
              <w:t>1971</w:t>
            </w:r>
          </w:p>
        </w:tc>
        <w:tc>
          <w:tcPr>
            <w:tcW w:w="768" w:type="dxa"/>
            <w:tcBorders>
              <w:top w:val="single" w:sz="4" w:space="0" w:color="000000"/>
              <w:left w:val="single" w:sz="4" w:space="0" w:color="000000"/>
              <w:bottom w:val="single" w:sz="4" w:space="0" w:color="000000"/>
              <w:right w:val="nil"/>
            </w:tcBorders>
            <w:shd w:val="pct10" w:color="auto" w:fill="auto"/>
            <w:vAlign w:val="center"/>
          </w:tcPr>
          <w:p w:rsidR="00854221" w:rsidRPr="00D80E11" w:rsidRDefault="00854221" w:rsidP="00854221">
            <w:pPr>
              <w:pStyle w:val="BodyTextHeader"/>
              <w:rPr>
                <w:lang w:eastAsia="ar-SA"/>
              </w:rPr>
            </w:pPr>
            <w:r w:rsidRPr="00D80E11">
              <w:t>1980</w:t>
            </w:r>
          </w:p>
        </w:tc>
        <w:tc>
          <w:tcPr>
            <w:tcW w:w="767" w:type="dxa"/>
            <w:tcBorders>
              <w:top w:val="single" w:sz="4" w:space="0" w:color="000000"/>
              <w:left w:val="single" w:sz="4" w:space="0" w:color="000000"/>
              <w:bottom w:val="single" w:sz="4" w:space="0" w:color="000000"/>
              <w:right w:val="nil"/>
            </w:tcBorders>
            <w:shd w:val="pct10" w:color="auto" w:fill="auto"/>
            <w:vAlign w:val="center"/>
          </w:tcPr>
          <w:p w:rsidR="00854221" w:rsidRPr="00D80E11" w:rsidRDefault="00854221" w:rsidP="00854221">
            <w:pPr>
              <w:pStyle w:val="BodyTextHeader"/>
              <w:rPr>
                <w:lang w:eastAsia="ar-SA"/>
              </w:rPr>
            </w:pPr>
            <w:r w:rsidRPr="00D80E11">
              <w:t>1985</w:t>
            </w:r>
          </w:p>
        </w:tc>
        <w:tc>
          <w:tcPr>
            <w:tcW w:w="767" w:type="dxa"/>
            <w:tcBorders>
              <w:top w:val="single" w:sz="4" w:space="0" w:color="000000"/>
              <w:left w:val="single" w:sz="4" w:space="0" w:color="000000"/>
              <w:bottom w:val="single" w:sz="4" w:space="0" w:color="000000"/>
              <w:right w:val="nil"/>
            </w:tcBorders>
            <w:shd w:val="pct10" w:color="auto" w:fill="auto"/>
            <w:vAlign w:val="center"/>
          </w:tcPr>
          <w:p w:rsidR="00854221" w:rsidRPr="00D80E11" w:rsidRDefault="00854221" w:rsidP="00854221">
            <w:pPr>
              <w:pStyle w:val="BodyTextHeader"/>
              <w:rPr>
                <w:lang w:eastAsia="ar-SA"/>
              </w:rPr>
            </w:pPr>
            <w:r w:rsidRPr="00D80E11">
              <w:t>1990</w:t>
            </w:r>
          </w:p>
        </w:tc>
        <w:tc>
          <w:tcPr>
            <w:tcW w:w="788" w:type="dxa"/>
            <w:tcBorders>
              <w:top w:val="single" w:sz="4" w:space="0" w:color="000000"/>
              <w:left w:val="single" w:sz="4" w:space="0" w:color="000000"/>
              <w:bottom w:val="single" w:sz="4" w:space="0" w:color="000000"/>
              <w:right w:val="single" w:sz="4" w:space="0" w:color="000000"/>
            </w:tcBorders>
            <w:shd w:val="pct10" w:color="auto" w:fill="auto"/>
            <w:vAlign w:val="center"/>
          </w:tcPr>
          <w:p w:rsidR="00854221" w:rsidRPr="00D80E11" w:rsidRDefault="00854221" w:rsidP="00854221">
            <w:pPr>
              <w:pStyle w:val="BodyTextHeader"/>
              <w:rPr>
                <w:lang w:eastAsia="ar-SA"/>
              </w:rPr>
            </w:pPr>
            <w:r w:rsidRPr="00D80E11">
              <w:t>2000</w:t>
            </w:r>
          </w:p>
        </w:tc>
      </w:tr>
      <w:tr w:rsidR="00854221" w:rsidRPr="00D80E11" w:rsidTr="00854221">
        <w:tc>
          <w:tcPr>
            <w:tcW w:w="2268" w:type="dxa"/>
            <w:tcBorders>
              <w:top w:val="nil"/>
              <w:left w:val="single" w:sz="4" w:space="0" w:color="000000"/>
              <w:bottom w:val="single" w:sz="4" w:space="0" w:color="000000"/>
              <w:right w:val="nil"/>
            </w:tcBorders>
            <w:vAlign w:val="center"/>
          </w:tcPr>
          <w:p w:rsidR="00854221" w:rsidRPr="00D80E11" w:rsidRDefault="00854221" w:rsidP="00067008">
            <w:pPr>
              <w:pStyle w:val="BodyText"/>
              <w:rPr>
                <w:lang w:eastAsia="ar-SA"/>
              </w:rPr>
            </w:pPr>
            <w:proofErr w:type="spellStart"/>
            <w:r w:rsidRPr="00D80E11">
              <w:t>MoT</w:t>
            </w:r>
            <w:proofErr w:type="spellEnd"/>
            <w:r w:rsidRPr="00D80E11">
              <w:t xml:space="preserve"> (1963)</w:t>
            </w:r>
          </w:p>
        </w:tc>
        <w:tc>
          <w:tcPr>
            <w:tcW w:w="2340" w:type="dxa"/>
            <w:tcBorders>
              <w:top w:val="nil"/>
              <w:left w:val="single" w:sz="4" w:space="0" w:color="000000"/>
              <w:bottom w:val="single" w:sz="4" w:space="0" w:color="000000"/>
              <w:right w:val="nil"/>
            </w:tcBorders>
            <w:vAlign w:val="center"/>
          </w:tcPr>
          <w:p w:rsidR="00854221" w:rsidRPr="00D80E11" w:rsidRDefault="00854221" w:rsidP="00067008">
            <w:pPr>
              <w:pStyle w:val="BodyText"/>
              <w:rPr>
                <w:lang w:eastAsia="ar-SA"/>
              </w:rPr>
            </w:pPr>
            <w:r w:rsidRPr="00D80E11">
              <w:t>Via tunnel</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2,6</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2,9</w:t>
            </w:r>
          </w:p>
        </w:tc>
        <w:tc>
          <w:tcPr>
            <w:tcW w:w="768"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4,0</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4,5</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w:t>
            </w:r>
          </w:p>
        </w:tc>
        <w:tc>
          <w:tcPr>
            <w:tcW w:w="788" w:type="dxa"/>
            <w:tcBorders>
              <w:top w:val="nil"/>
              <w:left w:val="single" w:sz="4" w:space="0" w:color="000000"/>
              <w:bottom w:val="single" w:sz="4" w:space="0" w:color="000000"/>
              <w:right w:val="single" w:sz="4" w:space="0" w:color="000000"/>
            </w:tcBorders>
            <w:vAlign w:val="center"/>
          </w:tcPr>
          <w:p w:rsidR="00854221" w:rsidRPr="00D80E11" w:rsidRDefault="00854221" w:rsidP="00067008">
            <w:pPr>
              <w:pStyle w:val="BodyText"/>
              <w:jc w:val="center"/>
              <w:rPr>
                <w:lang w:eastAsia="ar-SA"/>
              </w:rPr>
            </w:pPr>
            <w:r w:rsidRPr="00D80E11">
              <w:t>-</w:t>
            </w:r>
          </w:p>
        </w:tc>
      </w:tr>
      <w:tr w:rsidR="00854221" w:rsidRPr="00D80E11" w:rsidTr="00854221">
        <w:trPr>
          <w:cantSplit/>
          <w:trHeight w:hRule="exact" w:val="263"/>
        </w:trPr>
        <w:tc>
          <w:tcPr>
            <w:tcW w:w="2268" w:type="dxa"/>
            <w:vMerge w:val="restart"/>
            <w:tcBorders>
              <w:top w:val="nil"/>
              <w:left w:val="single" w:sz="4" w:space="0" w:color="000000"/>
              <w:bottom w:val="single" w:sz="4" w:space="0" w:color="000000"/>
              <w:right w:val="nil"/>
            </w:tcBorders>
            <w:vAlign w:val="center"/>
          </w:tcPr>
          <w:p w:rsidR="00854221" w:rsidRPr="00D80E11" w:rsidRDefault="00854221" w:rsidP="00067008">
            <w:pPr>
              <w:pStyle w:val="BodyText"/>
              <w:rPr>
                <w:lang w:eastAsia="ar-SA"/>
              </w:rPr>
            </w:pPr>
            <w:r w:rsidRPr="00D80E11">
              <w:t>C &amp; L (1973)</w:t>
            </w:r>
          </w:p>
        </w:tc>
        <w:tc>
          <w:tcPr>
            <w:tcW w:w="2340" w:type="dxa"/>
            <w:tcBorders>
              <w:top w:val="nil"/>
              <w:left w:val="single" w:sz="4" w:space="0" w:color="000000"/>
              <w:bottom w:val="single" w:sz="4" w:space="0" w:color="000000"/>
              <w:right w:val="nil"/>
            </w:tcBorders>
            <w:vAlign w:val="center"/>
          </w:tcPr>
          <w:p w:rsidR="00854221" w:rsidRPr="00D80E11" w:rsidRDefault="00854221" w:rsidP="00067008">
            <w:pPr>
              <w:pStyle w:val="BodyText"/>
              <w:rPr>
                <w:lang w:eastAsia="ar-SA"/>
              </w:rPr>
            </w:pPr>
            <w:r w:rsidRPr="00D80E11">
              <w:t>Total demand</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5,7</w:t>
            </w:r>
          </w:p>
        </w:tc>
        <w:tc>
          <w:tcPr>
            <w:tcW w:w="768"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13,1</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25,3</w:t>
            </w:r>
          </w:p>
        </w:tc>
        <w:tc>
          <w:tcPr>
            <w:tcW w:w="788" w:type="dxa"/>
            <w:tcBorders>
              <w:top w:val="nil"/>
              <w:left w:val="single" w:sz="4" w:space="0" w:color="000000"/>
              <w:bottom w:val="single" w:sz="4" w:space="0" w:color="000000"/>
              <w:right w:val="single" w:sz="4" w:space="0" w:color="000000"/>
            </w:tcBorders>
            <w:vAlign w:val="center"/>
          </w:tcPr>
          <w:p w:rsidR="00854221" w:rsidRPr="00D80E11" w:rsidRDefault="00854221" w:rsidP="00067008">
            <w:pPr>
              <w:pStyle w:val="BodyText"/>
              <w:jc w:val="center"/>
              <w:rPr>
                <w:lang w:eastAsia="ar-SA"/>
              </w:rPr>
            </w:pPr>
            <w:r w:rsidRPr="00D80E11">
              <w:t>-</w:t>
            </w:r>
          </w:p>
        </w:tc>
      </w:tr>
      <w:tr w:rsidR="00854221" w:rsidRPr="00D80E11" w:rsidTr="00854221">
        <w:trPr>
          <w:cantSplit/>
        </w:trPr>
        <w:tc>
          <w:tcPr>
            <w:tcW w:w="2268" w:type="dxa"/>
            <w:vMerge/>
            <w:tcBorders>
              <w:top w:val="nil"/>
              <w:left w:val="single" w:sz="4" w:space="0" w:color="000000"/>
              <w:bottom w:val="single" w:sz="4" w:space="0" w:color="000000"/>
              <w:right w:val="nil"/>
            </w:tcBorders>
            <w:vAlign w:val="center"/>
          </w:tcPr>
          <w:p w:rsidR="00854221" w:rsidRPr="00D80E11" w:rsidRDefault="00854221" w:rsidP="00067008">
            <w:pPr>
              <w:pStyle w:val="BodyText"/>
              <w:rPr>
                <w:lang w:eastAsia="ar-SA"/>
              </w:rPr>
            </w:pPr>
          </w:p>
        </w:tc>
        <w:tc>
          <w:tcPr>
            <w:tcW w:w="2340" w:type="dxa"/>
            <w:tcBorders>
              <w:top w:val="nil"/>
              <w:left w:val="single" w:sz="4" w:space="0" w:color="000000"/>
              <w:bottom w:val="single" w:sz="4" w:space="0" w:color="000000"/>
              <w:right w:val="nil"/>
            </w:tcBorders>
            <w:vAlign w:val="center"/>
          </w:tcPr>
          <w:p w:rsidR="00854221" w:rsidRPr="00D80E11" w:rsidRDefault="00854221" w:rsidP="00067008">
            <w:pPr>
              <w:pStyle w:val="BodyText"/>
              <w:rPr>
                <w:lang w:eastAsia="ar-SA"/>
              </w:rPr>
            </w:pPr>
            <w:r w:rsidRPr="00D80E11">
              <w:t>Via tunnel</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w:t>
            </w:r>
          </w:p>
        </w:tc>
        <w:tc>
          <w:tcPr>
            <w:tcW w:w="768"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5,4</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11,3</w:t>
            </w:r>
          </w:p>
        </w:tc>
        <w:tc>
          <w:tcPr>
            <w:tcW w:w="788" w:type="dxa"/>
            <w:tcBorders>
              <w:top w:val="nil"/>
              <w:left w:val="single" w:sz="4" w:space="0" w:color="000000"/>
              <w:bottom w:val="single" w:sz="4" w:space="0" w:color="000000"/>
              <w:right w:val="single" w:sz="4" w:space="0" w:color="000000"/>
            </w:tcBorders>
            <w:vAlign w:val="center"/>
          </w:tcPr>
          <w:p w:rsidR="00854221" w:rsidRPr="00D80E11" w:rsidRDefault="00854221" w:rsidP="00067008">
            <w:pPr>
              <w:pStyle w:val="BodyText"/>
              <w:jc w:val="center"/>
              <w:rPr>
                <w:lang w:eastAsia="ar-SA"/>
              </w:rPr>
            </w:pPr>
            <w:r w:rsidRPr="00D80E11">
              <w:t>-</w:t>
            </w:r>
          </w:p>
        </w:tc>
      </w:tr>
      <w:tr w:rsidR="00854221" w:rsidRPr="00D80E11" w:rsidTr="00854221">
        <w:trPr>
          <w:cantSplit/>
          <w:trHeight w:hRule="exact" w:val="263"/>
        </w:trPr>
        <w:tc>
          <w:tcPr>
            <w:tcW w:w="2268" w:type="dxa"/>
            <w:vMerge w:val="restart"/>
            <w:tcBorders>
              <w:top w:val="nil"/>
              <w:left w:val="single" w:sz="4" w:space="0" w:color="000000"/>
              <w:bottom w:val="single" w:sz="4" w:space="0" w:color="000000"/>
              <w:right w:val="nil"/>
            </w:tcBorders>
            <w:vAlign w:val="center"/>
          </w:tcPr>
          <w:p w:rsidR="00854221" w:rsidRPr="00D80E11" w:rsidRDefault="00854221" w:rsidP="00067008">
            <w:pPr>
              <w:pStyle w:val="BodyText"/>
              <w:rPr>
                <w:lang w:eastAsia="ar-SA"/>
              </w:rPr>
            </w:pPr>
            <w:r w:rsidRPr="00D80E11">
              <w:t>CTAG (1975)</w:t>
            </w:r>
          </w:p>
        </w:tc>
        <w:tc>
          <w:tcPr>
            <w:tcW w:w="2340" w:type="dxa"/>
            <w:tcBorders>
              <w:top w:val="nil"/>
              <w:left w:val="single" w:sz="4" w:space="0" w:color="000000"/>
              <w:bottom w:val="single" w:sz="4" w:space="0" w:color="000000"/>
              <w:right w:val="nil"/>
            </w:tcBorders>
            <w:vAlign w:val="center"/>
          </w:tcPr>
          <w:p w:rsidR="00854221" w:rsidRPr="00D80E11" w:rsidRDefault="00854221" w:rsidP="00067008">
            <w:pPr>
              <w:pStyle w:val="BodyText"/>
              <w:rPr>
                <w:lang w:eastAsia="ar-SA"/>
              </w:rPr>
            </w:pPr>
            <w:r w:rsidRPr="00D80E11">
              <w:t>Total demand</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5,7</w:t>
            </w:r>
          </w:p>
        </w:tc>
        <w:tc>
          <w:tcPr>
            <w:tcW w:w="768"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12,9</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20,2</w:t>
            </w:r>
          </w:p>
        </w:tc>
        <w:tc>
          <w:tcPr>
            <w:tcW w:w="788" w:type="dxa"/>
            <w:tcBorders>
              <w:top w:val="nil"/>
              <w:left w:val="single" w:sz="4" w:space="0" w:color="000000"/>
              <w:bottom w:val="single" w:sz="4" w:space="0" w:color="000000"/>
              <w:right w:val="single" w:sz="4" w:space="0" w:color="000000"/>
            </w:tcBorders>
            <w:vAlign w:val="center"/>
          </w:tcPr>
          <w:p w:rsidR="00854221" w:rsidRPr="00D80E11" w:rsidRDefault="00854221" w:rsidP="00067008">
            <w:pPr>
              <w:pStyle w:val="BodyText"/>
              <w:jc w:val="center"/>
              <w:rPr>
                <w:lang w:eastAsia="ar-SA"/>
              </w:rPr>
            </w:pPr>
            <w:r w:rsidRPr="00D80E11">
              <w:t>-</w:t>
            </w:r>
          </w:p>
        </w:tc>
      </w:tr>
      <w:tr w:rsidR="00854221" w:rsidRPr="00D80E11" w:rsidTr="00854221">
        <w:trPr>
          <w:cantSplit/>
        </w:trPr>
        <w:tc>
          <w:tcPr>
            <w:tcW w:w="2268" w:type="dxa"/>
            <w:vMerge/>
            <w:tcBorders>
              <w:top w:val="nil"/>
              <w:left w:val="single" w:sz="4" w:space="0" w:color="000000"/>
              <w:bottom w:val="single" w:sz="4" w:space="0" w:color="000000"/>
              <w:right w:val="nil"/>
            </w:tcBorders>
            <w:vAlign w:val="center"/>
          </w:tcPr>
          <w:p w:rsidR="00854221" w:rsidRPr="00D80E11" w:rsidRDefault="00854221" w:rsidP="00067008">
            <w:pPr>
              <w:pStyle w:val="BodyText"/>
              <w:rPr>
                <w:lang w:eastAsia="ar-SA"/>
              </w:rPr>
            </w:pPr>
          </w:p>
        </w:tc>
        <w:tc>
          <w:tcPr>
            <w:tcW w:w="2340" w:type="dxa"/>
            <w:tcBorders>
              <w:top w:val="nil"/>
              <w:left w:val="single" w:sz="4" w:space="0" w:color="000000"/>
              <w:bottom w:val="single" w:sz="4" w:space="0" w:color="000000"/>
              <w:right w:val="nil"/>
            </w:tcBorders>
            <w:vAlign w:val="center"/>
          </w:tcPr>
          <w:p w:rsidR="00854221" w:rsidRPr="00D80E11" w:rsidRDefault="00854221" w:rsidP="00067008">
            <w:pPr>
              <w:pStyle w:val="BodyText"/>
              <w:rPr>
                <w:lang w:eastAsia="ar-SA"/>
              </w:rPr>
            </w:pPr>
            <w:r w:rsidRPr="00D80E11">
              <w:t>Via tunnel</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w:t>
            </w:r>
          </w:p>
        </w:tc>
        <w:tc>
          <w:tcPr>
            <w:tcW w:w="768"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5,3</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7,8</w:t>
            </w:r>
          </w:p>
        </w:tc>
        <w:tc>
          <w:tcPr>
            <w:tcW w:w="788" w:type="dxa"/>
            <w:tcBorders>
              <w:top w:val="nil"/>
              <w:left w:val="single" w:sz="4" w:space="0" w:color="000000"/>
              <w:bottom w:val="single" w:sz="4" w:space="0" w:color="000000"/>
              <w:right w:val="single" w:sz="4" w:space="0" w:color="000000"/>
            </w:tcBorders>
            <w:vAlign w:val="center"/>
          </w:tcPr>
          <w:p w:rsidR="00854221" w:rsidRPr="00D80E11" w:rsidRDefault="00854221" w:rsidP="00067008">
            <w:pPr>
              <w:pStyle w:val="BodyText"/>
              <w:jc w:val="center"/>
              <w:rPr>
                <w:lang w:eastAsia="ar-SA"/>
              </w:rPr>
            </w:pPr>
            <w:r w:rsidRPr="00D80E11">
              <w:t>-</w:t>
            </w:r>
          </w:p>
        </w:tc>
      </w:tr>
      <w:tr w:rsidR="00854221" w:rsidRPr="00D80E11" w:rsidTr="00854221">
        <w:trPr>
          <w:cantSplit/>
          <w:trHeight w:hRule="exact" w:val="263"/>
        </w:trPr>
        <w:tc>
          <w:tcPr>
            <w:tcW w:w="2268" w:type="dxa"/>
            <w:vMerge w:val="restart"/>
            <w:tcBorders>
              <w:top w:val="nil"/>
              <w:left w:val="single" w:sz="4" w:space="0" w:color="000000"/>
              <w:bottom w:val="single" w:sz="4" w:space="0" w:color="000000"/>
              <w:right w:val="nil"/>
            </w:tcBorders>
            <w:vAlign w:val="center"/>
          </w:tcPr>
          <w:p w:rsidR="00854221" w:rsidRPr="00D80E11" w:rsidRDefault="00854221" w:rsidP="00067008">
            <w:pPr>
              <w:pStyle w:val="BodyText"/>
              <w:rPr>
                <w:lang w:eastAsia="ar-SA"/>
              </w:rPr>
            </w:pPr>
            <w:r w:rsidRPr="00D80E11">
              <w:t>DoT (1982)</w:t>
            </w:r>
          </w:p>
        </w:tc>
        <w:tc>
          <w:tcPr>
            <w:tcW w:w="2340" w:type="dxa"/>
            <w:tcBorders>
              <w:top w:val="nil"/>
              <w:left w:val="single" w:sz="4" w:space="0" w:color="000000"/>
              <w:bottom w:val="single" w:sz="4" w:space="0" w:color="000000"/>
              <w:right w:val="nil"/>
            </w:tcBorders>
            <w:vAlign w:val="center"/>
          </w:tcPr>
          <w:p w:rsidR="00854221" w:rsidRPr="00D80E11" w:rsidRDefault="00854221" w:rsidP="00067008">
            <w:pPr>
              <w:pStyle w:val="BodyText"/>
              <w:rPr>
                <w:lang w:eastAsia="ar-SA"/>
              </w:rPr>
            </w:pPr>
            <w:r w:rsidRPr="00D80E11">
              <w:t>Total demand</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w:t>
            </w:r>
          </w:p>
        </w:tc>
        <w:tc>
          <w:tcPr>
            <w:tcW w:w="768"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15,9</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27,3</w:t>
            </w:r>
          </w:p>
        </w:tc>
        <w:tc>
          <w:tcPr>
            <w:tcW w:w="788" w:type="dxa"/>
            <w:tcBorders>
              <w:top w:val="nil"/>
              <w:left w:val="single" w:sz="4" w:space="0" w:color="000000"/>
              <w:bottom w:val="single" w:sz="4" w:space="0" w:color="000000"/>
              <w:right w:val="single" w:sz="4" w:space="0" w:color="000000"/>
            </w:tcBorders>
            <w:vAlign w:val="center"/>
          </w:tcPr>
          <w:p w:rsidR="00854221" w:rsidRPr="00D80E11" w:rsidRDefault="00854221" w:rsidP="00067008">
            <w:pPr>
              <w:pStyle w:val="BodyText"/>
              <w:jc w:val="center"/>
              <w:rPr>
                <w:lang w:eastAsia="ar-SA"/>
              </w:rPr>
            </w:pPr>
            <w:r w:rsidRPr="00D80E11">
              <w:t>37,2</w:t>
            </w:r>
          </w:p>
        </w:tc>
      </w:tr>
      <w:tr w:rsidR="00854221" w:rsidRPr="00D80E11" w:rsidTr="00854221">
        <w:trPr>
          <w:cantSplit/>
        </w:trPr>
        <w:tc>
          <w:tcPr>
            <w:tcW w:w="2268" w:type="dxa"/>
            <w:vMerge/>
            <w:tcBorders>
              <w:top w:val="nil"/>
              <w:left w:val="single" w:sz="4" w:space="0" w:color="000000"/>
              <w:bottom w:val="single" w:sz="4" w:space="0" w:color="000000"/>
              <w:right w:val="nil"/>
            </w:tcBorders>
            <w:vAlign w:val="center"/>
          </w:tcPr>
          <w:p w:rsidR="00854221" w:rsidRPr="00D80E11" w:rsidRDefault="00854221" w:rsidP="00067008">
            <w:pPr>
              <w:pStyle w:val="BodyText"/>
              <w:rPr>
                <w:lang w:eastAsia="ar-SA"/>
              </w:rPr>
            </w:pPr>
          </w:p>
        </w:tc>
        <w:tc>
          <w:tcPr>
            <w:tcW w:w="2340" w:type="dxa"/>
            <w:tcBorders>
              <w:top w:val="nil"/>
              <w:left w:val="single" w:sz="4" w:space="0" w:color="000000"/>
              <w:bottom w:val="single" w:sz="4" w:space="0" w:color="000000"/>
              <w:right w:val="nil"/>
            </w:tcBorders>
            <w:vAlign w:val="center"/>
          </w:tcPr>
          <w:p w:rsidR="00854221" w:rsidRPr="00D80E11" w:rsidRDefault="00854221" w:rsidP="00067008">
            <w:pPr>
              <w:pStyle w:val="BodyText"/>
              <w:rPr>
                <w:lang w:eastAsia="ar-SA"/>
              </w:rPr>
            </w:pPr>
            <w:r w:rsidRPr="00D80E11">
              <w:t>Via tunnel</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w:t>
            </w:r>
          </w:p>
        </w:tc>
        <w:tc>
          <w:tcPr>
            <w:tcW w:w="768"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w:t>
            </w:r>
          </w:p>
        </w:tc>
        <w:tc>
          <w:tcPr>
            <w:tcW w:w="767" w:type="dxa"/>
            <w:tcBorders>
              <w:top w:val="nil"/>
              <w:left w:val="single" w:sz="4" w:space="0" w:color="000000"/>
              <w:bottom w:val="single" w:sz="4" w:space="0" w:color="000000"/>
              <w:right w:val="nil"/>
            </w:tcBorders>
            <w:vAlign w:val="center"/>
          </w:tcPr>
          <w:p w:rsidR="00854221" w:rsidRPr="00D80E11" w:rsidRDefault="00854221" w:rsidP="00067008">
            <w:pPr>
              <w:pStyle w:val="BodyText"/>
              <w:jc w:val="center"/>
              <w:rPr>
                <w:lang w:eastAsia="ar-SA"/>
              </w:rPr>
            </w:pPr>
            <w:r w:rsidRPr="00D80E11">
              <w:t>8,6</w:t>
            </w:r>
          </w:p>
        </w:tc>
        <w:tc>
          <w:tcPr>
            <w:tcW w:w="788" w:type="dxa"/>
            <w:tcBorders>
              <w:top w:val="nil"/>
              <w:left w:val="single" w:sz="4" w:space="0" w:color="000000"/>
              <w:bottom w:val="single" w:sz="4" w:space="0" w:color="000000"/>
              <w:right w:val="single" w:sz="4" w:space="0" w:color="000000"/>
            </w:tcBorders>
            <w:vAlign w:val="center"/>
          </w:tcPr>
          <w:p w:rsidR="00854221" w:rsidRPr="00D80E11" w:rsidRDefault="00854221" w:rsidP="00067008">
            <w:pPr>
              <w:pStyle w:val="BodyText"/>
              <w:jc w:val="center"/>
              <w:rPr>
                <w:lang w:eastAsia="ar-SA"/>
              </w:rPr>
            </w:pPr>
            <w:r w:rsidRPr="00D80E11">
              <w:t>11,1</w:t>
            </w:r>
          </w:p>
        </w:tc>
      </w:tr>
    </w:tbl>
    <w:p w:rsidR="00854221" w:rsidRPr="00D80E11" w:rsidRDefault="00854221" w:rsidP="00854221">
      <w:pPr>
        <w:pStyle w:val="Source"/>
      </w:pPr>
      <w:r w:rsidRPr="00D80E11">
        <w:t xml:space="preserve">Source: </w:t>
      </w:r>
      <w:proofErr w:type="spellStart"/>
      <w:r w:rsidRPr="00D80E11">
        <w:t>Chevroulet</w:t>
      </w:r>
      <w:proofErr w:type="spellEnd"/>
      <w:r w:rsidRPr="00D80E11">
        <w:t xml:space="preserve"> et al, 2007; </w:t>
      </w:r>
      <w:proofErr w:type="spellStart"/>
      <w:r w:rsidRPr="00D80E11">
        <w:t>Anguera</w:t>
      </w:r>
      <w:proofErr w:type="spellEnd"/>
      <w:r w:rsidRPr="00D80E11">
        <w:t>, 2006</w:t>
      </w:r>
    </w:p>
    <w:p w:rsidR="00854221" w:rsidRPr="00D80E11" w:rsidRDefault="00854221" w:rsidP="00854221"/>
    <w:p w:rsidR="00854221" w:rsidRPr="00D80E11" w:rsidRDefault="00854221" w:rsidP="00854221">
      <w:pPr>
        <w:jc w:val="center"/>
        <w:rPr>
          <w:b/>
        </w:rPr>
      </w:pPr>
    </w:p>
    <w:p w:rsidR="00854221" w:rsidRPr="00CF0622" w:rsidRDefault="00854221" w:rsidP="00854221">
      <w:pPr>
        <w:pStyle w:val="Caption"/>
        <w:rPr>
          <w:rFonts w:cs="Arial"/>
        </w:rPr>
      </w:pPr>
      <w:bookmarkStart w:id="61" w:name="_Ref204159852"/>
      <w:bookmarkStart w:id="62" w:name="_Toc207524654"/>
      <w:r w:rsidRPr="00CF0622">
        <w:rPr>
          <w:rFonts w:cs="Arial"/>
        </w:rPr>
        <w:t xml:space="preserve">Table </w:t>
      </w:r>
      <w:bookmarkEnd w:id="61"/>
      <w:r w:rsidR="000A1DB3">
        <w:rPr>
          <w:rFonts w:cs="Arial"/>
        </w:rPr>
        <w:t>12:</w:t>
      </w:r>
      <w:r w:rsidRPr="00CF0622">
        <w:rPr>
          <w:rFonts w:cs="Arial"/>
        </w:rPr>
        <w:t xml:space="preserve">  CTG-FM </w:t>
      </w:r>
      <w:r>
        <w:rPr>
          <w:rFonts w:cs="Arial"/>
        </w:rPr>
        <w:t>U</w:t>
      </w:r>
      <w:r w:rsidRPr="00CF0622">
        <w:rPr>
          <w:rFonts w:cs="Arial"/>
        </w:rPr>
        <w:t xml:space="preserve">nitised </w:t>
      </w:r>
      <w:r>
        <w:rPr>
          <w:rFonts w:cs="Arial"/>
        </w:rPr>
        <w:t>F</w:t>
      </w:r>
      <w:r w:rsidRPr="00CF0622">
        <w:rPr>
          <w:rFonts w:cs="Arial"/>
        </w:rPr>
        <w:t xml:space="preserve">reight </w:t>
      </w:r>
      <w:r>
        <w:rPr>
          <w:rFonts w:cs="Arial"/>
        </w:rPr>
        <w:t>F</w:t>
      </w:r>
      <w:r w:rsidRPr="00CF0622">
        <w:rPr>
          <w:rFonts w:cs="Arial"/>
        </w:rPr>
        <w:t>orecasts –</w:t>
      </w:r>
      <w:r>
        <w:rPr>
          <w:rFonts w:cs="Arial"/>
        </w:rPr>
        <w:t>T</w:t>
      </w:r>
      <w:r w:rsidRPr="00CF0622">
        <w:rPr>
          <w:rFonts w:cs="Arial"/>
        </w:rPr>
        <w:t xml:space="preserve">otal </w:t>
      </w:r>
      <w:r>
        <w:rPr>
          <w:rFonts w:cs="Arial"/>
        </w:rPr>
        <w:t>D</w:t>
      </w:r>
      <w:r w:rsidRPr="00CF0622">
        <w:rPr>
          <w:rFonts w:cs="Arial"/>
        </w:rPr>
        <w:t xml:space="preserve">emand &amp; </w:t>
      </w:r>
      <w:r>
        <w:rPr>
          <w:rFonts w:cs="Arial"/>
        </w:rPr>
        <w:t>M</w:t>
      </w:r>
      <w:r w:rsidRPr="00CF0622">
        <w:rPr>
          <w:rFonts w:cs="Arial"/>
        </w:rPr>
        <w:t xml:space="preserve">arket </w:t>
      </w:r>
      <w:r>
        <w:rPr>
          <w:rFonts w:cs="Arial"/>
        </w:rPr>
        <w:t>S</w:t>
      </w:r>
      <w:r w:rsidRPr="00CF0622">
        <w:rPr>
          <w:rFonts w:cs="Arial"/>
        </w:rPr>
        <w:t>hare (</w:t>
      </w:r>
      <w:r>
        <w:rPr>
          <w:rFonts w:cs="Arial"/>
        </w:rPr>
        <w:t>M</w:t>
      </w:r>
      <w:r w:rsidRPr="00CF0622">
        <w:rPr>
          <w:rFonts w:cs="Arial"/>
        </w:rPr>
        <w:t xml:space="preserve">illion </w:t>
      </w:r>
      <w:r>
        <w:rPr>
          <w:rFonts w:cs="Arial"/>
        </w:rPr>
        <w:t>T</w:t>
      </w:r>
      <w:r w:rsidRPr="00CF0622">
        <w:rPr>
          <w:rFonts w:cs="Arial"/>
        </w:rPr>
        <w:t>onnes)</w:t>
      </w:r>
      <w:bookmarkEnd w:id="62"/>
    </w:p>
    <w:p w:rsidR="00854221" w:rsidRPr="00D80E11" w:rsidRDefault="00854221" w:rsidP="00854221">
      <w:pPr>
        <w:jc w:val="center"/>
        <w:rPr>
          <w:b/>
        </w:rPr>
      </w:pPr>
    </w:p>
    <w:tbl>
      <w:tblPr>
        <w:tblW w:w="0" w:type="auto"/>
        <w:tblInd w:w="-113" w:type="dxa"/>
        <w:tblLayout w:type="fixed"/>
        <w:tblCellMar>
          <w:left w:w="0" w:type="dxa"/>
          <w:right w:w="0" w:type="dxa"/>
        </w:tblCellMar>
        <w:tblLook w:val="04A0"/>
      </w:tblPr>
      <w:tblGrid>
        <w:gridCol w:w="2722"/>
        <w:gridCol w:w="1622"/>
        <w:gridCol w:w="1623"/>
        <w:gridCol w:w="1622"/>
        <w:gridCol w:w="1643"/>
      </w:tblGrid>
      <w:tr w:rsidR="00854221" w:rsidRPr="00D80E11" w:rsidTr="00854221">
        <w:tc>
          <w:tcPr>
            <w:tcW w:w="2722"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pPr>
          </w:p>
        </w:tc>
        <w:tc>
          <w:tcPr>
            <w:tcW w:w="1622" w:type="dxa"/>
            <w:tcBorders>
              <w:top w:val="single" w:sz="4" w:space="0" w:color="000000"/>
              <w:left w:val="single" w:sz="4" w:space="0" w:color="000000"/>
              <w:bottom w:val="single" w:sz="4" w:space="0" w:color="000000"/>
              <w:right w:val="nil"/>
            </w:tcBorders>
            <w:shd w:val="pct10" w:color="auto" w:fill="auto"/>
            <w:vAlign w:val="center"/>
          </w:tcPr>
          <w:p w:rsidR="00854221" w:rsidRPr="00D80E11" w:rsidRDefault="00854221" w:rsidP="00854221">
            <w:pPr>
              <w:pStyle w:val="BodyTextHeader"/>
            </w:pPr>
            <w:r w:rsidRPr="00D80E11">
              <w:t>Cross-Channel 1993</w:t>
            </w:r>
          </w:p>
        </w:tc>
        <w:tc>
          <w:tcPr>
            <w:tcW w:w="1623" w:type="dxa"/>
            <w:tcBorders>
              <w:top w:val="single" w:sz="4" w:space="0" w:color="000000"/>
              <w:left w:val="single" w:sz="4" w:space="0" w:color="000000"/>
              <w:bottom w:val="single" w:sz="4" w:space="0" w:color="000000"/>
              <w:right w:val="nil"/>
            </w:tcBorders>
            <w:shd w:val="pct10" w:color="auto" w:fill="auto"/>
            <w:vAlign w:val="center"/>
          </w:tcPr>
          <w:p w:rsidR="00854221" w:rsidRPr="00D80E11" w:rsidRDefault="00854221" w:rsidP="00854221">
            <w:pPr>
              <w:pStyle w:val="BodyTextHeader"/>
            </w:pPr>
            <w:r w:rsidRPr="00D80E11">
              <w:t>Tunnel freight 1993</w:t>
            </w:r>
          </w:p>
        </w:tc>
        <w:tc>
          <w:tcPr>
            <w:tcW w:w="1622" w:type="dxa"/>
            <w:tcBorders>
              <w:top w:val="single" w:sz="4" w:space="0" w:color="000000"/>
              <w:left w:val="single" w:sz="4" w:space="0" w:color="000000"/>
              <w:bottom w:val="single" w:sz="4" w:space="0" w:color="000000"/>
              <w:right w:val="nil"/>
            </w:tcBorders>
            <w:shd w:val="pct10" w:color="auto" w:fill="auto"/>
            <w:vAlign w:val="center"/>
          </w:tcPr>
          <w:p w:rsidR="00854221" w:rsidRPr="00D80E11" w:rsidRDefault="00854221" w:rsidP="00854221">
            <w:pPr>
              <w:pStyle w:val="BodyTextHeader"/>
            </w:pPr>
            <w:r w:rsidRPr="00D80E11">
              <w:t>Market share 1993</w:t>
            </w:r>
          </w:p>
        </w:tc>
        <w:tc>
          <w:tcPr>
            <w:tcW w:w="1643" w:type="dxa"/>
            <w:tcBorders>
              <w:top w:val="single" w:sz="4" w:space="0" w:color="000000"/>
              <w:left w:val="single" w:sz="4" w:space="0" w:color="000000"/>
              <w:bottom w:val="single" w:sz="4" w:space="0" w:color="000000"/>
              <w:right w:val="single" w:sz="4" w:space="0" w:color="000000"/>
            </w:tcBorders>
            <w:shd w:val="pct10" w:color="auto" w:fill="auto"/>
            <w:vAlign w:val="center"/>
          </w:tcPr>
          <w:p w:rsidR="00854221" w:rsidRPr="00D80E11" w:rsidRDefault="00854221" w:rsidP="00854221">
            <w:pPr>
              <w:pStyle w:val="BodyTextHeader"/>
            </w:pPr>
            <w:r w:rsidRPr="00D80E11">
              <w:t>Tunnel freight 2003</w:t>
            </w:r>
          </w:p>
        </w:tc>
      </w:tr>
      <w:tr w:rsidR="00854221" w:rsidRPr="00D80E11" w:rsidTr="00854221">
        <w:tc>
          <w:tcPr>
            <w:tcW w:w="2722"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Roll-on/roll-off freight</w:t>
            </w:r>
          </w:p>
        </w:tc>
        <w:tc>
          <w:tcPr>
            <w:tcW w:w="1622"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24,2</w:t>
            </w:r>
          </w:p>
        </w:tc>
        <w:tc>
          <w:tcPr>
            <w:tcW w:w="1623"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6,0</w:t>
            </w:r>
          </w:p>
        </w:tc>
        <w:tc>
          <w:tcPr>
            <w:tcW w:w="1622"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25</w:t>
            </w:r>
          </w:p>
        </w:tc>
        <w:tc>
          <w:tcPr>
            <w:tcW w:w="1643" w:type="dxa"/>
            <w:tcBorders>
              <w:top w:val="nil"/>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7,5</w:t>
            </w:r>
          </w:p>
        </w:tc>
      </w:tr>
      <w:tr w:rsidR="00854221" w:rsidRPr="00D80E11" w:rsidTr="00854221">
        <w:tc>
          <w:tcPr>
            <w:tcW w:w="2722"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Containers and rail wagon</w:t>
            </w:r>
          </w:p>
        </w:tc>
        <w:tc>
          <w:tcPr>
            <w:tcW w:w="1622"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7,9</w:t>
            </w:r>
          </w:p>
        </w:tc>
        <w:tc>
          <w:tcPr>
            <w:tcW w:w="1623"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4,0</w:t>
            </w:r>
          </w:p>
        </w:tc>
        <w:tc>
          <w:tcPr>
            <w:tcW w:w="1622"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52</w:t>
            </w:r>
          </w:p>
        </w:tc>
        <w:tc>
          <w:tcPr>
            <w:tcW w:w="1643" w:type="dxa"/>
            <w:tcBorders>
              <w:top w:val="nil"/>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6,8</w:t>
            </w:r>
          </w:p>
        </w:tc>
      </w:tr>
      <w:tr w:rsidR="00854221" w:rsidRPr="00D80E11" w:rsidTr="00854221">
        <w:tc>
          <w:tcPr>
            <w:tcW w:w="2722"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Total</w:t>
            </w:r>
          </w:p>
        </w:tc>
        <w:tc>
          <w:tcPr>
            <w:tcW w:w="1622"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32,1</w:t>
            </w:r>
          </w:p>
        </w:tc>
        <w:tc>
          <w:tcPr>
            <w:tcW w:w="1623"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10,0</w:t>
            </w:r>
          </w:p>
        </w:tc>
        <w:tc>
          <w:tcPr>
            <w:tcW w:w="1622"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31</w:t>
            </w:r>
          </w:p>
        </w:tc>
        <w:tc>
          <w:tcPr>
            <w:tcW w:w="1643" w:type="dxa"/>
            <w:tcBorders>
              <w:top w:val="nil"/>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14,3</w:t>
            </w:r>
          </w:p>
        </w:tc>
      </w:tr>
    </w:tbl>
    <w:p w:rsidR="00854221" w:rsidRPr="00D80E11" w:rsidRDefault="00854221" w:rsidP="00854221">
      <w:pPr>
        <w:pStyle w:val="Source"/>
      </w:pPr>
      <w:bookmarkStart w:id="63" w:name="OLE_LINK15"/>
      <w:bookmarkStart w:id="64" w:name="OLE_LINK16"/>
      <w:r w:rsidRPr="00D80E11">
        <w:t xml:space="preserve">Source: </w:t>
      </w:r>
      <w:proofErr w:type="spellStart"/>
      <w:r w:rsidRPr="00D80E11">
        <w:t>Chevroulet</w:t>
      </w:r>
      <w:proofErr w:type="spellEnd"/>
      <w:r w:rsidRPr="00D80E11">
        <w:t xml:space="preserve"> et al, </w:t>
      </w:r>
      <w:proofErr w:type="gramStart"/>
      <w:r w:rsidRPr="00D80E11">
        <w:t>2007 ;</w:t>
      </w:r>
      <w:proofErr w:type="gramEnd"/>
      <w:r w:rsidRPr="00D80E11">
        <w:t xml:space="preserve"> </w:t>
      </w:r>
      <w:proofErr w:type="spellStart"/>
      <w:r w:rsidRPr="00D80E11">
        <w:t>Anguera</w:t>
      </w:r>
      <w:proofErr w:type="spellEnd"/>
      <w:r w:rsidRPr="00D80E11">
        <w:t>, 2006</w:t>
      </w:r>
    </w:p>
    <w:p w:rsidR="00854221" w:rsidRPr="00D80E11" w:rsidRDefault="00854221" w:rsidP="00854221"/>
    <w:bookmarkEnd w:id="63"/>
    <w:bookmarkEnd w:id="64"/>
    <w:p w:rsidR="00854221" w:rsidRPr="00D80E11" w:rsidRDefault="00854221" w:rsidP="00854221">
      <w:r w:rsidRPr="00D80E11">
        <w:t xml:space="preserve">However, actual traffic was much different, as shown in </w:t>
      </w:r>
      <w:r w:rsidR="000A1DB3">
        <w:t xml:space="preserve">Table 13 </w:t>
      </w:r>
      <w:r w:rsidRPr="00D80E11">
        <w:t>and</w:t>
      </w:r>
      <w:r w:rsidR="000A1DB3">
        <w:t xml:space="preserve"> Table 14</w:t>
      </w:r>
      <w:r w:rsidRPr="00D80E11">
        <w:t>.  The total freight tonnage was underestimated by most of the forecasts</w:t>
      </w:r>
      <w:r w:rsidRPr="00577E87">
        <w:rPr>
          <w:rFonts w:cs="Arial"/>
        </w:rPr>
        <w:t>,</w:t>
      </w:r>
      <w:r w:rsidRPr="00D80E11">
        <w:t xml:space="preserve"> and the traffic of through rail services remains very low compared to forecast and to freight shuttle.  Freight shuttle service, in absolute terms, increased quite steadily ahead of what was forecast through to 2007. </w:t>
      </w:r>
      <w:r>
        <w:t xml:space="preserve"> </w:t>
      </w:r>
      <w:r w:rsidRPr="00D80E11">
        <w:t>Nevertheless, forecasts for freight Shuttle’s market share appeared to be not far from what occurred.</w:t>
      </w:r>
    </w:p>
    <w:p w:rsidR="00027475" w:rsidRDefault="00027475" w:rsidP="00854221">
      <w:pPr>
        <w:pStyle w:val="Caption"/>
        <w:rPr>
          <w:rFonts w:eastAsia="Times"/>
          <w:b w:val="0"/>
          <w:bCs w:val="0"/>
        </w:rPr>
      </w:pPr>
      <w:bookmarkStart w:id="65" w:name="_Ref204159947"/>
      <w:bookmarkStart w:id="66" w:name="_Ref204576219"/>
      <w:bookmarkStart w:id="67" w:name="_Ref204576206"/>
      <w:bookmarkStart w:id="68" w:name="_Toc207524655"/>
    </w:p>
    <w:p w:rsidR="00854221" w:rsidRPr="00CF0622" w:rsidRDefault="00854221" w:rsidP="00854221">
      <w:pPr>
        <w:pStyle w:val="Caption"/>
        <w:rPr>
          <w:rFonts w:cs="Arial"/>
        </w:rPr>
      </w:pPr>
      <w:r w:rsidRPr="00CF0622">
        <w:rPr>
          <w:rFonts w:cs="Arial"/>
        </w:rPr>
        <w:t xml:space="preserve">Table </w:t>
      </w:r>
      <w:bookmarkEnd w:id="65"/>
      <w:bookmarkEnd w:id="66"/>
      <w:r w:rsidR="000A1DB3">
        <w:rPr>
          <w:rFonts w:cs="Arial"/>
        </w:rPr>
        <w:t>13:</w:t>
      </w:r>
      <w:r w:rsidRPr="00CF0622">
        <w:rPr>
          <w:rFonts w:cs="Arial"/>
        </w:rPr>
        <w:t xml:space="preserve">  Actual </w:t>
      </w:r>
      <w:r>
        <w:rPr>
          <w:rFonts w:cs="Arial"/>
        </w:rPr>
        <w:t>C</w:t>
      </w:r>
      <w:r w:rsidRPr="00CF0622">
        <w:rPr>
          <w:rFonts w:cs="Arial"/>
        </w:rPr>
        <w:t xml:space="preserve">hannel </w:t>
      </w:r>
      <w:r>
        <w:rPr>
          <w:rFonts w:cs="Arial"/>
        </w:rPr>
        <w:t>T</w:t>
      </w:r>
      <w:r w:rsidRPr="00CF0622">
        <w:rPr>
          <w:rFonts w:cs="Arial"/>
        </w:rPr>
        <w:t xml:space="preserve">unnel </w:t>
      </w:r>
      <w:proofErr w:type="spellStart"/>
      <w:r>
        <w:rPr>
          <w:rFonts w:cs="Arial"/>
        </w:rPr>
        <w:t>F</w:t>
      </w:r>
      <w:r w:rsidRPr="00CF0622">
        <w:rPr>
          <w:rFonts w:cs="Arial"/>
        </w:rPr>
        <w:t>reight</w:t>
      </w:r>
      <w:r>
        <w:rPr>
          <w:rFonts w:cs="Arial"/>
        </w:rPr>
        <w:t>T</w:t>
      </w:r>
      <w:r w:rsidRPr="00CF0622">
        <w:rPr>
          <w:rFonts w:cs="Arial"/>
        </w:rPr>
        <w:t>onnages</w:t>
      </w:r>
      <w:proofErr w:type="spellEnd"/>
      <w:r w:rsidRPr="00CF0622">
        <w:rPr>
          <w:rFonts w:cs="Arial"/>
        </w:rPr>
        <w:t xml:space="preserve"> (</w:t>
      </w:r>
      <w:r>
        <w:rPr>
          <w:rFonts w:cs="Arial"/>
        </w:rPr>
        <w:t>M</w:t>
      </w:r>
      <w:r w:rsidRPr="00CF0622">
        <w:rPr>
          <w:rFonts w:cs="Arial"/>
        </w:rPr>
        <w:t xml:space="preserve">illion </w:t>
      </w:r>
      <w:r>
        <w:rPr>
          <w:rFonts w:cs="Arial"/>
        </w:rPr>
        <w:t>T</w:t>
      </w:r>
      <w:r w:rsidRPr="00CF0622">
        <w:rPr>
          <w:rFonts w:cs="Arial"/>
        </w:rPr>
        <w:t>onnes)</w:t>
      </w:r>
      <w:bookmarkEnd w:id="67"/>
      <w:bookmarkEnd w:id="68"/>
    </w:p>
    <w:p w:rsidR="00854221" w:rsidRPr="00D80E11" w:rsidRDefault="00854221" w:rsidP="00854221">
      <w:pPr>
        <w:pStyle w:val="titretableaux"/>
        <w:rPr>
          <w:u w:val="none"/>
        </w:rPr>
      </w:pPr>
    </w:p>
    <w:tbl>
      <w:tblPr>
        <w:tblW w:w="0" w:type="auto"/>
        <w:tblInd w:w="-113" w:type="dxa"/>
        <w:tblLayout w:type="fixed"/>
        <w:tblCellMar>
          <w:left w:w="0" w:type="dxa"/>
          <w:right w:w="0" w:type="dxa"/>
        </w:tblCellMar>
        <w:tblLook w:val="04A0"/>
      </w:tblPr>
      <w:tblGrid>
        <w:gridCol w:w="2228"/>
        <w:gridCol w:w="706"/>
        <w:gridCol w:w="706"/>
        <w:gridCol w:w="706"/>
        <w:gridCol w:w="706"/>
        <w:gridCol w:w="706"/>
        <w:gridCol w:w="706"/>
        <w:gridCol w:w="706"/>
        <w:gridCol w:w="706"/>
        <w:gridCol w:w="706"/>
        <w:gridCol w:w="726"/>
      </w:tblGrid>
      <w:tr w:rsidR="00854221" w:rsidRPr="00D80E11" w:rsidTr="00854221">
        <w:tc>
          <w:tcPr>
            <w:tcW w:w="2228"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pP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1994</w:t>
            </w: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1995</w:t>
            </w: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1996</w:t>
            </w: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1997</w:t>
            </w: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1998</w:t>
            </w: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1999</w:t>
            </w: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2000</w:t>
            </w: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2001</w:t>
            </w: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2002</w:t>
            </w:r>
          </w:p>
        </w:tc>
        <w:tc>
          <w:tcPr>
            <w:tcW w:w="726" w:type="dxa"/>
            <w:tcBorders>
              <w:top w:val="single" w:sz="4" w:space="0" w:color="000000"/>
              <w:left w:val="single" w:sz="4" w:space="0" w:color="000000"/>
              <w:bottom w:val="single" w:sz="4" w:space="0" w:color="000000"/>
              <w:right w:val="single" w:sz="4" w:space="0" w:color="000000"/>
            </w:tcBorders>
            <w:shd w:val="pct10" w:color="auto" w:fill="auto"/>
          </w:tcPr>
          <w:p w:rsidR="00854221" w:rsidRPr="00D80E11" w:rsidRDefault="00854221" w:rsidP="00854221">
            <w:pPr>
              <w:pStyle w:val="BodyTextHeader"/>
              <w:rPr>
                <w:lang w:eastAsia="ar-SA"/>
              </w:rPr>
            </w:pPr>
            <w:r w:rsidRPr="00D80E11">
              <w:t>2003</w:t>
            </w:r>
          </w:p>
        </w:tc>
      </w:tr>
      <w:tr w:rsidR="00854221" w:rsidRPr="00D80E11" w:rsidTr="00854221">
        <w:tc>
          <w:tcPr>
            <w:tcW w:w="2228"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Le Shuttle Freight</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0,8</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5,1</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6,7</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3,3</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9,2</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10,9</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14,7</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15,6</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15,6</w:t>
            </w:r>
          </w:p>
        </w:tc>
        <w:tc>
          <w:tcPr>
            <w:tcW w:w="726" w:type="dxa"/>
            <w:tcBorders>
              <w:top w:val="nil"/>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16,7</w:t>
            </w:r>
          </w:p>
        </w:tc>
      </w:tr>
      <w:tr w:rsidR="00854221" w:rsidRPr="00D80E11" w:rsidTr="00854221">
        <w:tc>
          <w:tcPr>
            <w:tcW w:w="2228"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Through rail services</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1,3</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2,4</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2,9</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3,1</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2,9</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2,9</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2,4</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1,5</w:t>
            </w:r>
          </w:p>
        </w:tc>
        <w:tc>
          <w:tcPr>
            <w:tcW w:w="726" w:type="dxa"/>
            <w:tcBorders>
              <w:top w:val="nil"/>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1,7</w:t>
            </w:r>
          </w:p>
        </w:tc>
      </w:tr>
      <w:tr w:rsidR="00854221" w:rsidRPr="00D80E11" w:rsidTr="00854221">
        <w:tc>
          <w:tcPr>
            <w:tcW w:w="2228"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 xml:space="preserve">Total tunnel freight </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0,8</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6,4</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9,1</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6,2</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12,3</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13,8</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17,7</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18,8</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17,1</w:t>
            </w:r>
          </w:p>
        </w:tc>
        <w:tc>
          <w:tcPr>
            <w:tcW w:w="726" w:type="dxa"/>
            <w:tcBorders>
              <w:top w:val="nil"/>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18,4</w:t>
            </w:r>
          </w:p>
        </w:tc>
      </w:tr>
    </w:tbl>
    <w:p w:rsidR="00854221" w:rsidRPr="00D80E11" w:rsidRDefault="00854221" w:rsidP="00854221">
      <w:pPr>
        <w:pStyle w:val="Source"/>
      </w:pPr>
      <w:r w:rsidRPr="00D80E11">
        <w:t xml:space="preserve">Source: </w:t>
      </w:r>
      <w:proofErr w:type="spellStart"/>
      <w:r w:rsidRPr="00D80E11">
        <w:t>Chevroulet</w:t>
      </w:r>
      <w:proofErr w:type="spellEnd"/>
      <w:r w:rsidRPr="00D80E11">
        <w:t xml:space="preserve"> et al., 2007; </w:t>
      </w:r>
      <w:proofErr w:type="spellStart"/>
      <w:r w:rsidRPr="00D80E11">
        <w:t>Anguera</w:t>
      </w:r>
      <w:proofErr w:type="spellEnd"/>
      <w:r w:rsidRPr="00D80E11">
        <w:t>, 2006</w:t>
      </w:r>
    </w:p>
    <w:p w:rsidR="00854221" w:rsidRPr="00D80E11" w:rsidRDefault="00854221" w:rsidP="00854221">
      <w:pPr>
        <w:pStyle w:val="sourcetableaux"/>
      </w:pPr>
    </w:p>
    <w:p w:rsidR="00854221" w:rsidRPr="00CF0622" w:rsidRDefault="00854221" w:rsidP="00854221">
      <w:pPr>
        <w:pStyle w:val="Caption"/>
        <w:rPr>
          <w:rFonts w:cs="Arial"/>
        </w:rPr>
      </w:pPr>
      <w:bookmarkStart w:id="69" w:name="_Ref204159960"/>
      <w:bookmarkStart w:id="70" w:name="_Toc207524656"/>
      <w:r w:rsidRPr="00CF0622">
        <w:rPr>
          <w:rFonts w:cs="Arial"/>
        </w:rPr>
        <w:t xml:space="preserve">Table </w:t>
      </w:r>
      <w:bookmarkEnd w:id="69"/>
      <w:r w:rsidR="000A1DB3">
        <w:rPr>
          <w:rFonts w:cs="Arial"/>
        </w:rPr>
        <w:t>14:</w:t>
      </w:r>
      <w:r w:rsidRPr="00CF0622">
        <w:rPr>
          <w:rFonts w:cs="Arial"/>
        </w:rPr>
        <w:t xml:space="preserve">  </w:t>
      </w:r>
      <w:r>
        <w:rPr>
          <w:rFonts w:cs="Arial"/>
        </w:rPr>
        <w:t xml:space="preserve">Actual </w:t>
      </w:r>
      <w:r w:rsidRPr="00CF0622">
        <w:rPr>
          <w:rFonts w:cs="Arial"/>
        </w:rPr>
        <w:t xml:space="preserve">Channel </w:t>
      </w:r>
      <w:r>
        <w:rPr>
          <w:rFonts w:cs="Arial"/>
        </w:rPr>
        <w:t>T</w:t>
      </w:r>
      <w:r w:rsidRPr="00CF0622">
        <w:rPr>
          <w:rFonts w:cs="Arial"/>
        </w:rPr>
        <w:t xml:space="preserve">unnel </w:t>
      </w:r>
      <w:r>
        <w:rPr>
          <w:rFonts w:cs="Arial"/>
        </w:rPr>
        <w:t>F</w:t>
      </w:r>
      <w:r w:rsidRPr="00CF0622">
        <w:rPr>
          <w:rFonts w:cs="Arial"/>
        </w:rPr>
        <w:t xml:space="preserve">reight </w:t>
      </w:r>
      <w:r>
        <w:rPr>
          <w:rFonts w:cs="Arial"/>
        </w:rPr>
        <w:t>T</w:t>
      </w:r>
      <w:r w:rsidRPr="00CF0622">
        <w:rPr>
          <w:rFonts w:cs="Arial"/>
        </w:rPr>
        <w:t>onnage (</w:t>
      </w:r>
      <w:r>
        <w:rPr>
          <w:rFonts w:cs="Arial"/>
        </w:rPr>
        <w:t>M</w:t>
      </w:r>
      <w:r w:rsidRPr="00CF0622">
        <w:rPr>
          <w:rFonts w:cs="Arial"/>
        </w:rPr>
        <w:t xml:space="preserve">illion </w:t>
      </w:r>
      <w:r>
        <w:rPr>
          <w:rFonts w:cs="Arial"/>
        </w:rPr>
        <w:t>T</w:t>
      </w:r>
      <w:r w:rsidRPr="00CF0622">
        <w:rPr>
          <w:rFonts w:cs="Arial"/>
        </w:rPr>
        <w:t>onnes)</w:t>
      </w:r>
      <w:bookmarkEnd w:id="70"/>
    </w:p>
    <w:tbl>
      <w:tblPr>
        <w:tblW w:w="0" w:type="auto"/>
        <w:jc w:val="center"/>
        <w:tblLayout w:type="fixed"/>
        <w:tblCellMar>
          <w:left w:w="0" w:type="dxa"/>
          <w:right w:w="0" w:type="dxa"/>
        </w:tblCellMar>
        <w:tblLook w:val="04A0"/>
      </w:tblPr>
      <w:tblGrid>
        <w:gridCol w:w="2228"/>
        <w:gridCol w:w="706"/>
        <w:gridCol w:w="706"/>
        <w:gridCol w:w="706"/>
        <w:gridCol w:w="726"/>
      </w:tblGrid>
      <w:tr w:rsidR="00854221" w:rsidRPr="00D80E11" w:rsidTr="00854221">
        <w:trPr>
          <w:jc w:val="center"/>
        </w:trPr>
        <w:tc>
          <w:tcPr>
            <w:tcW w:w="2228"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pP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2004</w:t>
            </w: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2005</w:t>
            </w: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2006</w:t>
            </w:r>
          </w:p>
        </w:tc>
        <w:tc>
          <w:tcPr>
            <w:tcW w:w="726" w:type="dxa"/>
            <w:tcBorders>
              <w:top w:val="single" w:sz="4" w:space="0" w:color="000000"/>
              <w:left w:val="single" w:sz="4" w:space="0" w:color="000000"/>
              <w:bottom w:val="single" w:sz="4" w:space="0" w:color="000000"/>
              <w:right w:val="single" w:sz="4" w:space="0" w:color="000000"/>
            </w:tcBorders>
            <w:shd w:val="pct10" w:color="auto" w:fill="auto"/>
          </w:tcPr>
          <w:p w:rsidR="00854221" w:rsidRPr="00D80E11" w:rsidRDefault="00854221" w:rsidP="00854221">
            <w:pPr>
              <w:pStyle w:val="BodyTextHeader"/>
              <w:rPr>
                <w:lang w:eastAsia="ar-SA"/>
              </w:rPr>
            </w:pPr>
            <w:r w:rsidRPr="00D80E11">
              <w:t>2007</w:t>
            </w:r>
          </w:p>
        </w:tc>
      </w:tr>
      <w:tr w:rsidR="00854221" w:rsidRPr="00D80E11" w:rsidTr="00854221">
        <w:trPr>
          <w:jc w:val="center"/>
        </w:trPr>
        <w:tc>
          <w:tcPr>
            <w:tcW w:w="2228"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Le Shuttle Freight</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16,6</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17</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16,9</w:t>
            </w:r>
          </w:p>
        </w:tc>
        <w:tc>
          <w:tcPr>
            <w:tcW w:w="726" w:type="dxa"/>
            <w:tcBorders>
              <w:top w:val="nil"/>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18,4</w:t>
            </w:r>
          </w:p>
        </w:tc>
      </w:tr>
      <w:tr w:rsidR="00854221" w:rsidRPr="00D80E11" w:rsidTr="00854221">
        <w:trPr>
          <w:jc w:val="center"/>
        </w:trPr>
        <w:tc>
          <w:tcPr>
            <w:tcW w:w="2228"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lastRenderedPageBreak/>
              <w:t>Through rail services</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1,9</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1,6</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1,6</w:t>
            </w:r>
          </w:p>
        </w:tc>
        <w:tc>
          <w:tcPr>
            <w:tcW w:w="726" w:type="dxa"/>
            <w:tcBorders>
              <w:top w:val="nil"/>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1,2</w:t>
            </w:r>
          </w:p>
        </w:tc>
      </w:tr>
      <w:tr w:rsidR="00854221" w:rsidRPr="00D80E11" w:rsidTr="00854221">
        <w:trPr>
          <w:jc w:val="center"/>
        </w:trPr>
        <w:tc>
          <w:tcPr>
            <w:tcW w:w="2228"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 xml:space="preserve">Total tunnel freight </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18,5</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18,6</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18,5</w:t>
            </w:r>
          </w:p>
        </w:tc>
        <w:tc>
          <w:tcPr>
            <w:tcW w:w="726" w:type="dxa"/>
            <w:tcBorders>
              <w:top w:val="nil"/>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19,6</w:t>
            </w:r>
          </w:p>
        </w:tc>
      </w:tr>
    </w:tbl>
    <w:p w:rsidR="00854221" w:rsidRPr="00D80E11" w:rsidRDefault="00854221" w:rsidP="00854221">
      <w:pPr>
        <w:pStyle w:val="BodyText"/>
      </w:pPr>
    </w:p>
    <w:p w:rsidR="00027475" w:rsidRDefault="00027475" w:rsidP="00854221">
      <w:pPr>
        <w:pStyle w:val="Caption"/>
        <w:rPr>
          <w:rFonts w:cs="Arial"/>
        </w:rPr>
      </w:pPr>
      <w:bookmarkStart w:id="71" w:name="_Ref202844303"/>
      <w:bookmarkStart w:id="72" w:name="_Toc207524657"/>
    </w:p>
    <w:p w:rsidR="00027475" w:rsidRDefault="00027475" w:rsidP="00854221">
      <w:pPr>
        <w:pStyle w:val="Caption"/>
        <w:rPr>
          <w:rFonts w:cs="Arial"/>
        </w:rPr>
      </w:pPr>
    </w:p>
    <w:p w:rsidR="00854221" w:rsidRPr="00D85B54" w:rsidRDefault="00854221" w:rsidP="00854221">
      <w:pPr>
        <w:pStyle w:val="Caption"/>
        <w:rPr>
          <w:rFonts w:cs="Arial"/>
          <w:b w:val="0"/>
        </w:rPr>
      </w:pPr>
      <w:r w:rsidRPr="00D85B54">
        <w:rPr>
          <w:rFonts w:cs="Arial"/>
        </w:rPr>
        <w:t xml:space="preserve">Table </w:t>
      </w:r>
      <w:bookmarkEnd w:id="71"/>
      <w:r w:rsidR="000A1DB3">
        <w:rPr>
          <w:rFonts w:cs="Arial"/>
        </w:rPr>
        <w:t>15:</w:t>
      </w:r>
      <w:r w:rsidRPr="00D85B54">
        <w:rPr>
          <w:rFonts w:cs="Arial"/>
        </w:rPr>
        <w:t xml:space="preserve">  Cross-Channel </w:t>
      </w:r>
      <w:r>
        <w:rPr>
          <w:rFonts w:cs="Arial"/>
        </w:rPr>
        <w:t>U</w:t>
      </w:r>
      <w:r w:rsidRPr="00D85B54">
        <w:rPr>
          <w:rFonts w:cs="Arial"/>
        </w:rPr>
        <w:t xml:space="preserve">nitised </w:t>
      </w:r>
      <w:r>
        <w:rPr>
          <w:rFonts w:cs="Arial"/>
        </w:rPr>
        <w:t>F</w:t>
      </w:r>
      <w:r w:rsidRPr="00D85B54">
        <w:rPr>
          <w:rFonts w:cs="Arial"/>
        </w:rPr>
        <w:t>reight 1994-2003 (</w:t>
      </w:r>
      <w:r>
        <w:rPr>
          <w:rFonts w:cs="Arial"/>
        </w:rPr>
        <w:t>M</w:t>
      </w:r>
      <w:r w:rsidRPr="00D85B54">
        <w:rPr>
          <w:rFonts w:cs="Arial"/>
        </w:rPr>
        <w:t xml:space="preserve">illion </w:t>
      </w:r>
      <w:r>
        <w:rPr>
          <w:rFonts w:cs="Arial"/>
        </w:rPr>
        <w:t>T</w:t>
      </w:r>
      <w:r w:rsidRPr="00D85B54">
        <w:rPr>
          <w:rFonts w:cs="Arial"/>
        </w:rPr>
        <w:t>onnes)</w:t>
      </w:r>
      <w:bookmarkEnd w:id="72"/>
    </w:p>
    <w:tbl>
      <w:tblPr>
        <w:tblW w:w="9308" w:type="dxa"/>
        <w:tblInd w:w="-113" w:type="dxa"/>
        <w:tblLayout w:type="fixed"/>
        <w:tblCellMar>
          <w:left w:w="0" w:type="dxa"/>
          <w:right w:w="0" w:type="dxa"/>
        </w:tblCellMar>
        <w:tblLook w:val="04A0"/>
      </w:tblPr>
      <w:tblGrid>
        <w:gridCol w:w="2228"/>
        <w:gridCol w:w="706"/>
        <w:gridCol w:w="706"/>
        <w:gridCol w:w="706"/>
        <w:gridCol w:w="706"/>
        <w:gridCol w:w="706"/>
        <w:gridCol w:w="706"/>
        <w:gridCol w:w="706"/>
        <w:gridCol w:w="706"/>
        <w:gridCol w:w="706"/>
        <w:gridCol w:w="726"/>
      </w:tblGrid>
      <w:tr w:rsidR="00854221" w:rsidRPr="00D80E11" w:rsidTr="00854221">
        <w:tc>
          <w:tcPr>
            <w:tcW w:w="2228"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pP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1994</w:t>
            </w: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1995</w:t>
            </w: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1996</w:t>
            </w: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1997</w:t>
            </w: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1998</w:t>
            </w: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1999</w:t>
            </w: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2000</w:t>
            </w: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2001</w:t>
            </w:r>
          </w:p>
        </w:tc>
        <w:tc>
          <w:tcPr>
            <w:tcW w:w="706" w:type="dxa"/>
            <w:tcBorders>
              <w:top w:val="single" w:sz="4" w:space="0" w:color="000000"/>
              <w:left w:val="single" w:sz="4" w:space="0" w:color="000000"/>
              <w:bottom w:val="single" w:sz="4" w:space="0" w:color="000000"/>
              <w:right w:val="nil"/>
            </w:tcBorders>
            <w:shd w:val="pct10" w:color="auto" w:fill="auto"/>
          </w:tcPr>
          <w:p w:rsidR="00854221" w:rsidRPr="00D80E11" w:rsidRDefault="00854221" w:rsidP="00854221">
            <w:pPr>
              <w:pStyle w:val="BodyTextHeader"/>
              <w:rPr>
                <w:lang w:eastAsia="ar-SA"/>
              </w:rPr>
            </w:pPr>
            <w:r w:rsidRPr="00D80E11">
              <w:t>2002</w:t>
            </w:r>
          </w:p>
        </w:tc>
        <w:tc>
          <w:tcPr>
            <w:tcW w:w="726" w:type="dxa"/>
            <w:tcBorders>
              <w:top w:val="single" w:sz="4" w:space="0" w:color="000000"/>
              <w:left w:val="single" w:sz="4" w:space="0" w:color="000000"/>
              <w:bottom w:val="single" w:sz="4" w:space="0" w:color="000000"/>
              <w:right w:val="single" w:sz="4" w:space="0" w:color="000000"/>
            </w:tcBorders>
            <w:shd w:val="pct10" w:color="auto" w:fill="auto"/>
          </w:tcPr>
          <w:p w:rsidR="00854221" w:rsidRPr="00D80E11" w:rsidRDefault="00854221" w:rsidP="00854221">
            <w:pPr>
              <w:pStyle w:val="BodyTextHeader"/>
              <w:rPr>
                <w:lang w:eastAsia="ar-SA"/>
              </w:rPr>
            </w:pPr>
            <w:r w:rsidRPr="00D80E11">
              <w:t>2003</w:t>
            </w:r>
          </w:p>
        </w:tc>
      </w:tr>
      <w:tr w:rsidR="00854221" w:rsidRPr="00D80E11" w:rsidTr="00854221">
        <w:tc>
          <w:tcPr>
            <w:tcW w:w="2228"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Channel tunnel</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0,8</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6,4</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9,1</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6,2</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12,3</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13,8</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17,7</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18,8</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17,1</w:t>
            </w:r>
          </w:p>
        </w:tc>
        <w:tc>
          <w:tcPr>
            <w:tcW w:w="726" w:type="dxa"/>
            <w:tcBorders>
              <w:top w:val="nil"/>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18,4</w:t>
            </w:r>
          </w:p>
        </w:tc>
      </w:tr>
      <w:tr w:rsidR="00854221" w:rsidRPr="00D80E11" w:rsidTr="00854221">
        <w:tc>
          <w:tcPr>
            <w:tcW w:w="2228" w:type="dxa"/>
            <w:tcBorders>
              <w:top w:val="nil"/>
              <w:left w:val="single" w:sz="4" w:space="0" w:color="000000"/>
              <w:bottom w:val="single" w:sz="4" w:space="0" w:color="000000"/>
              <w:right w:val="nil"/>
            </w:tcBorders>
            <w:vAlign w:val="center"/>
          </w:tcPr>
          <w:p w:rsidR="00854221" w:rsidRPr="00D80E11" w:rsidRDefault="00854221" w:rsidP="00854221">
            <w:pPr>
              <w:pStyle w:val="BodyText"/>
            </w:pPr>
            <w:smartTag w:uri="urn:schemas-microsoft-com:office:smarttags" w:element="place">
              <w:smartTag w:uri="urn:schemas-microsoft-com:office:smarttags" w:element="PlaceType">
                <w:r w:rsidRPr="00D80E11">
                  <w:t>Port</w:t>
                </w:r>
              </w:smartTag>
              <w:r w:rsidRPr="00D80E11">
                <w:t xml:space="preserve"> of </w:t>
              </w:r>
              <w:smartTag w:uri="urn:schemas-microsoft-com:office:smarttags" w:element="PlaceName">
                <w:r w:rsidRPr="00D80E11">
                  <w:t>Dover</w:t>
                </w:r>
              </w:smartTag>
            </w:smartTag>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15,1</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14,0</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13,9</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20,8</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19,8</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21,7</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21,0</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23,0</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24,1</w:t>
            </w:r>
          </w:p>
        </w:tc>
        <w:tc>
          <w:tcPr>
            <w:tcW w:w="726" w:type="dxa"/>
            <w:tcBorders>
              <w:top w:val="nil"/>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23,2</w:t>
            </w:r>
          </w:p>
        </w:tc>
      </w:tr>
      <w:tr w:rsidR="00854221" w:rsidRPr="00D80E11" w:rsidTr="00854221">
        <w:tc>
          <w:tcPr>
            <w:tcW w:w="2228"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Total cross-channel</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15,9</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20,4</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23,0</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27,1</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32,1</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35,5</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38,7</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41,1</w:t>
            </w:r>
          </w:p>
        </w:tc>
        <w:tc>
          <w:tcPr>
            <w:tcW w:w="706" w:type="dxa"/>
            <w:tcBorders>
              <w:top w:val="nil"/>
              <w:left w:val="single" w:sz="4" w:space="0" w:color="000000"/>
              <w:bottom w:val="single" w:sz="4" w:space="0" w:color="000000"/>
              <w:right w:val="nil"/>
            </w:tcBorders>
            <w:vAlign w:val="center"/>
          </w:tcPr>
          <w:p w:rsidR="00854221" w:rsidRPr="00D80E11" w:rsidRDefault="00854221" w:rsidP="00854221">
            <w:pPr>
              <w:pStyle w:val="BodyText"/>
            </w:pPr>
            <w:r w:rsidRPr="00D80E11">
              <w:t>41,2</w:t>
            </w:r>
          </w:p>
        </w:tc>
        <w:tc>
          <w:tcPr>
            <w:tcW w:w="726" w:type="dxa"/>
            <w:tcBorders>
              <w:top w:val="nil"/>
              <w:left w:val="single" w:sz="4" w:space="0" w:color="000000"/>
              <w:bottom w:val="single" w:sz="4" w:space="0" w:color="000000"/>
              <w:right w:val="single" w:sz="4" w:space="0" w:color="000000"/>
            </w:tcBorders>
            <w:vAlign w:val="center"/>
          </w:tcPr>
          <w:p w:rsidR="00854221" w:rsidRPr="00D80E11" w:rsidRDefault="00854221" w:rsidP="00854221">
            <w:pPr>
              <w:pStyle w:val="BodyText"/>
            </w:pPr>
            <w:r w:rsidRPr="00D80E11">
              <w:t>41,6</w:t>
            </w:r>
          </w:p>
        </w:tc>
      </w:tr>
    </w:tbl>
    <w:p w:rsidR="00854221" w:rsidRPr="00D80E11" w:rsidRDefault="00854221" w:rsidP="00854221">
      <w:pPr>
        <w:pStyle w:val="Source"/>
      </w:pPr>
      <w:r w:rsidRPr="00D80E11">
        <w:t xml:space="preserve">Source: </w:t>
      </w:r>
      <w:proofErr w:type="spellStart"/>
      <w:r w:rsidRPr="00D80E11">
        <w:t>Chevroulet</w:t>
      </w:r>
      <w:proofErr w:type="spellEnd"/>
      <w:r w:rsidRPr="00D80E11">
        <w:t xml:space="preserve"> et al., 2007; </w:t>
      </w:r>
      <w:proofErr w:type="spellStart"/>
      <w:r w:rsidRPr="00D80E11">
        <w:t>Anguera</w:t>
      </w:r>
      <w:proofErr w:type="spellEnd"/>
      <w:r w:rsidRPr="00D80E11">
        <w:t>, 2006</w:t>
      </w:r>
    </w:p>
    <w:p w:rsidR="00854221" w:rsidRPr="00D80E11" w:rsidRDefault="00854221" w:rsidP="00854221">
      <w:pPr>
        <w:pStyle w:val="sourcetableaux"/>
      </w:pPr>
    </w:p>
    <w:p w:rsidR="00854221" w:rsidRPr="00D80E11" w:rsidRDefault="00854221" w:rsidP="00854221">
      <w:r w:rsidRPr="00D80E11">
        <w:t xml:space="preserve">Eurotunnel's only forecast that proved to be more or less correct is the freight Shuttle's market share. This traffic obeys mainly to road logics, for which existing methods, data and tools were more appropriate for doing forecasts. </w:t>
      </w:r>
      <w:r>
        <w:t xml:space="preserve"> </w:t>
      </w:r>
      <w:r w:rsidRPr="00D80E11">
        <w:t xml:space="preserve">A hypothesis we can make is that by the time forecasts were made, the methods and tools used were built using these road logics, inducing no anticipation of strong competitive reaction (a shipping line is very mobile, unlike roads; prices are not often a competitive tool in the road sector) and modelling the competitive situation as a network composed of minor (high cost) “road links” for the ferries, compared to a new (low cost) motorway for the Tunnel. </w:t>
      </w:r>
      <w:r>
        <w:t xml:space="preserve"> </w:t>
      </w:r>
      <w:r w:rsidRPr="00D80E11">
        <w:t xml:space="preserve">Another hypothesis is that Eurotunnel had more incentive and tools to reach its forecasts of roll-on roll-off than of through trains. </w:t>
      </w:r>
      <w:r>
        <w:t xml:space="preserve"> </w:t>
      </w:r>
      <w:r w:rsidRPr="00D80E11">
        <w:t>This last point leads us to the issue of infrastructure charges.</w:t>
      </w:r>
    </w:p>
    <w:p w:rsidR="00854221" w:rsidRPr="00D80E11" w:rsidRDefault="00854221" w:rsidP="00854221"/>
    <w:p w:rsidR="00854221" w:rsidRPr="00D80E11" w:rsidRDefault="00854221" w:rsidP="00854221">
      <w:r w:rsidRPr="00D80E11">
        <w:t xml:space="preserve">The situation of infrastructure charges for using Eurotunnel is a complex one, having involved 3 major components.  Prior to the opening of the tunnel, a fifty-year agreement was formed between Eurotunnel and the two then state railways, British Rail and SNCF, that each be allocated half of the tunnel’s capacity in return for the payment of infrastructure charges.  In addition, the two railways agreed to pay a Minimum Usage Charge each year for using the tunnel, irrespective of how many trains actually used it.  Thirdly, the two railways agreed to pay a fixed annual contribution to Eurotunnel’s operating costs, amounting to approximately £6.5 m each.   </w:t>
      </w:r>
    </w:p>
    <w:p w:rsidR="00854221" w:rsidRPr="00D80E11" w:rsidRDefault="00854221" w:rsidP="00854221"/>
    <w:p w:rsidR="00854221" w:rsidRPr="00D80E11" w:rsidRDefault="00854221" w:rsidP="00854221">
      <w:pPr>
        <w:rPr>
          <w:rFonts w:cs="Arial"/>
        </w:rPr>
      </w:pPr>
      <w:r w:rsidRPr="00D80E11">
        <w:rPr>
          <w:rFonts w:cs="Arial"/>
        </w:rPr>
        <w:t xml:space="preserve">The infrastructure charges were initially levied on a per tonne basis, based on a guide price of £10 per tonne and an overall volume of 10m tonnes.  To that </w:t>
      </w:r>
      <w:proofErr w:type="gramStart"/>
      <w:r w:rsidRPr="00D80E11">
        <w:rPr>
          <w:rFonts w:cs="Arial"/>
        </w:rPr>
        <w:t>was added fixed charges</w:t>
      </w:r>
      <w:proofErr w:type="gramEnd"/>
      <w:r w:rsidRPr="00D80E11">
        <w:rPr>
          <w:rFonts w:cs="Arial"/>
        </w:rPr>
        <w:t xml:space="preserve"> for Eurotunnel and for essential facilities at either end of the tunnel, each of which should have added another £1 per tonne.  In reality though, those fixed charges were divided by the number of trains, and, since there were not many trains, this ended up resulting in very high charges.  The per tonne charges were differentiated between bulk and non-bulk traffic, though – </w:t>
      </w:r>
      <w:r>
        <w:rPr>
          <w:rFonts w:cs="Arial"/>
        </w:rPr>
        <w:t xml:space="preserve">apparently </w:t>
      </w:r>
      <w:r w:rsidRPr="00D80E11">
        <w:rPr>
          <w:rFonts w:cs="Arial"/>
        </w:rPr>
        <w:t>somewhat counter-intuitively – the charge for non-bulk was three times that for bulk traffic.</w:t>
      </w:r>
    </w:p>
    <w:p w:rsidR="00854221" w:rsidRPr="00D80E11" w:rsidRDefault="00854221" w:rsidP="00854221">
      <w:pPr>
        <w:rPr>
          <w:rFonts w:cs="Arial"/>
        </w:rPr>
      </w:pPr>
    </w:p>
    <w:p w:rsidR="00854221" w:rsidRPr="00D80E11" w:rsidRDefault="00854221" w:rsidP="00854221">
      <w:pPr>
        <w:rPr>
          <w:rFonts w:cs="Arial"/>
        </w:rPr>
      </w:pPr>
      <w:r w:rsidRPr="00D80E11">
        <w:rPr>
          <w:rFonts w:cs="Arial"/>
        </w:rPr>
        <w:t xml:space="preserve">On rail privatisation in Britain, freight operations through the tunnel were sold to EWS, but it was agreed that government retain the responsibility for paying the infrastructure charges, the Minimum Usage Charge and the operating cost contribution through until November 2006. </w:t>
      </w:r>
      <w:r>
        <w:rPr>
          <w:rFonts w:cs="Arial"/>
        </w:rPr>
        <w:t xml:space="preserve"> </w:t>
      </w:r>
      <w:r w:rsidRPr="00D80E11">
        <w:rPr>
          <w:rFonts w:cs="Arial"/>
        </w:rPr>
        <w:t>As of 2006, the agreement was that the Minimum Usage Charge would cease and the payment of infrastructure charges and the operating cost contribution would transfer to EWS.  Subsequently, EWS have agreed with the government that the operating cost contribution continue to be paid by the government, leaving EWS to pay the remaining infrastructure charges.  On the French side, SNCF has, throughout the past 14 years, been responsible for all 3 charging components.</w:t>
      </w:r>
    </w:p>
    <w:p w:rsidR="00854221" w:rsidRPr="00D80E11" w:rsidRDefault="00854221" w:rsidP="00854221">
      <w:pPr>
        <w:rPr>
          <w:rFonts w:cs="Arial"/>
        </w:rPr>
      </w:pPr>
    </w:p>
    <w:p w:rsidR="00854221" w:rsidRDefault="00854221" w:rsidP="00854221">
      <w:pPr>
        <w:rPr>
          <w:rFonts w:cs="Arial"/>
        </w:rPr>
      </w:pPr>
      <w:r w:rsidRPr="00D80E11">
        <w:rPr>
          <w:rFonts w:cs="Arial"/>
        </w:rPr>
        <w:t>Following the cessation of the Minimum Usage charge and continued decline in rail freight traffic through the tunnel, discussion between the key stakeholders led to another set of revised charges being announced in autumn 2007.  This set of charges, set out below, was issued as part of Eurotunnel’s strategy for ‘</w:t>
      </w:r>
      <w:proofErr w:type="spellStart"/>
      <w:r w:rsidRPr="00D80E11">
        <w:rPr>
          <w:rFonts w:cs="Arial"/>
        </w:rPr>
        <w:t>relaunching</w:t>
      </w:r>
      <w:proofErr w:type="spellEnd"/>
      <w:r w:rsidRPr="00D80E11">
        <w:rPr>
          <w:rFonts w:cs="Arial"/>
        </w:rPr>
        <w:t xml:space="preserve">’ Open Access cross-Channel rail freight.  The charges are focused around a central average charge of 4.5k Euro (£3k) per train, irrespective of train-load.  This central charge represents a significant reduction compared to the 2007 average charge of 8k Euro (£5,3k).  Furthermore, the charges are differentiated according to speed and time of day.  The central charge is based on a train passing through the tunnel at a speed of 120kph during a period of medium traffic density; lower charges are applicable for higher speeds and/or periods of lower traffic density, and vice-versa.  Most intermodal/non-bulk traffic tends to travel at 120kph, whilst bulk traffic has </w:t>
      </w:r>
      <w:r w:rsidRPr="00D80E11">
        <w:rPr>
          <w:rFonts w:cs="Arial"/>
        </w:rPr>
        <w:lastRenderedPageBreak/>
        <w:t>tended to travel at slower speeds.  At the same time, additional measures have been introduced to provide operators guarantees of equitable and efficient open access to the essential facilities at either end of the tunnel.</w:t>
      </w:r>
    </w:p>
    <w:p w:rsidR="00027475" w:rsidRDefault="00027475" w:rsidP="00854221">
      <w:pPr>
        <w:rPr>
          <w:rFonts w:cs="Arial"/>
        </w:rPr>
      </w:pPr>
    </w:p>
    <w:p w:rsidR="00027475" w:rsidRDefault="00027475" w:rsidP="00854221">
      <w:pPr>
        <w:rPr>
          <w:rFonts w:cs="Arial"/>
        </w:rPr>
      </w:pPr>
    </w:p>
    <w:p w:rsidR="00027475" w:rsidRPr="00D80E11" w:rsidRDefault="00027475" w:rsidP="00854221">
      <w:pPr>
        <w:rPr>
          <w:rFonts w:cs="Arial"/>
        </w:rPr>
      </w:pPr>
    </w:p>
    <w:p w:rsidR="00854221" w:rsidRPr="00D80E11" w:rsidRDefault="00854221" w:rsidP="00854221">
      <w:pPr>
        <w:rPr>
          <w:rFonts w:cs="Arial"/>
        </w:rPr>
      </w:pPr>
    </w:p>
    <w:p w:rsidR="00854221" w:rsidRPr="00CF0622" w:rsidRDefault="00854221" w:rsidP="00854221">
      <w:pPr>
        <w:pStyle w:val="Caption"/>
        <w:rPr>
          <w:rFonts w:cs="Arial"/>
          <w:b w:val="0"/>
        </w:rPr>
      </w:pPr>
      <w:bookmarkStart w:id="73" w:name="_Toc207524658"/>
      <w:r w:rsidRPr="00CF0622">
        <w:rPr>
          <w:rFonts w:cs="Arial"/>
        </w:rPr>
        <w:t xml:space="preserve">Table </w:t>
      </w:r>
      <w:r w:rsidR="000A1DB3">
        <w:rPr>
          <w:rFonts w:cs="Arial"/>
        </w:rPr>
        <w:t>16:</w:t>
      </w:r>
      <w:r w:rsidRPr="00CF0622">
        <w:rPr>
          <w:rFonts w:cs="Arial"/>
        </w:rPr>
        <w:t xml:space="preserve">  Eurotunnel Infrastructure Charges, 2007-08</w:t>
      </w:r>
      <w:bookmarkEnd w:id="7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1"/>
        <w:gridCol w:w="2322"/>
        <w:gridCol w:w="2322"/>
        <w:gridCol w:w="2322"/>
      </w:tblGrid>
      <w:tr w:rsidR="00854221" w:rsidRPr="00D80E11" w:rsidTr="00854221">
        <w:tc>
          <w:tcPr>
            <w:tcW w:w="2321" w:type="dxa"/>
            <w:shd w:val="pct10" w:color="auto" w:fill="auto"/>
          </w:tcPr>
          <w:p w:rsidR="00854221" w:rsidRPr="00D80E11" w:rsidRDefault="00854221" w:rsidP="00854221">
            <w:pPr>
              <w:pStyle w:val="BodyTextHeader"/>
            </w:pPr>
            <w:r w:rsidRPr="00D80E11">
              <w:t xml:space="preserve">Train @ </w:t>
            </w:r>
            <w:smartTag w:uri="urn:schemas-microsoft-com:office:smarttags" w:element="metricconverter">
              <w:smartTagPr>
                <w:attr w:name="ProductID" w:val="120 km/h"/>
              </w:smartTagPr>
              <w:r w:rsidRPr="00D80E11">
                <w:t>120 km/h</w:t>
              </w:r>
            </w:smartTag>
          </w:p>
        </w:tc>
        <w:tc>
          <w:tcPr>
            <w:tcW w:w="2322" w:type="dxa"/>
            <w:shd w:val="pct10" w:color="auto" w:fill="auto"/>
          </w:tcPr>
          <w:p w:rsidR="00854221" w:rsidRPr="00D80E11" w:rsidRDefault="00854221" w:rsidP="00854221">
            <w:pPr>
              <w:pStyle w:val="BodyTextHeader"/>
            </w:pPr>
            <w:r w:rsidRPr="00D80E11">
              <w:t>Reservation fee per train single (£)</w:t>
            </w:r>
          </w:p>
        </w:tc>
        <w:tc>
          <w:tcPr>
            <w:tcW w:w="2322" w:type="dxa"/>
            <w:shd w:val="pct10" w:color="auto" w:fill="auto"/>
          </w:tcPr>
          <w:p w:rsidR="00854221" w:rsidRPr="00D80E11" w:rsidRDefault="00854221" w:rsidP="00854221">
            <w:pPr>
              <w:pStyle w:val="BodyTextHeader"/>
            </w:pPr>
            <w:r w:rsidRPr="00D80E11">
              <w:t>Access fee per train single (£)</w:t>
            </w:r>
          </w:p>
        </w:tc>
        <w:tc>
          <w:tcPr>
            <w:tcW w:w="2322" w:type="dxa"/>
            <w:shd w:val="pct10" w:color="auto" w:fill="auto"/>
          </w:tcPr>
          <w:p w:rsidR="00854221" w:rsidRPr="00D80E11" w:rsidRDefault="00854221" w:rsidP="00854221">
            <w:pPr>
              <w:pStyle w:val="BodyTextHeader"/>
            </w:pPr>
            <w:r w:rsidRPr="00D80E11">
              <w:t>Equivalent price per train single (based on 52 train single/year) (£)</w:t>
            </w:r>
          </w:p>
        </w:tc>
      </w:tr>
      <w:tr w:rsidR="00854221" w:rsidRPr="00D80E11" w:rsidTr="00854221">
        <w:tc>
          <w:tcPr>
            <w:tcW w:w="2321" w:type="dxa"/>
          </w:tcPr>
          <w:p w:rsidR="00854221" w:rsidRPr="00D80E11" w:rsidRDefault="00854221" w:rsidP="00854221">
            <w:pPr>
              <w:pStyle w:val="BodyText"/>
            </w:pPr>
            <w:r w:rsidRPr="00D80E11">
              <w:t>Off-peak period</w:t>
            </w:r>
          </w:p>
        </w:tc>
        <w:tc>
          <w:tcPr>
            <w:tcW w:w="2322" w:type="dxa"/>
          </w:tcPr>
          <w:p w:rsidR="00854221" w:rsidRPr="00D80E11" w:rsidRDefault="00854221" w:rsidP="00854221">
            <w:pPr>
              <w:pStyle w:val="BodyText"/>
            </w:pPr>
            <w:r w:rsidRPr="00D80E11">
              <w:t>270</w:t>
            </w:r>
          </w:p>
        </w:tc>
        <w:tc>
          <w:tcPr>
            <w:tcW w:w="2322" w:type="dxa"/>
          </w:tcPr>
          <w:p w:rsidR="00854221" w:rsidRPr="00D80E11" w:rsidRDefault="00854221" w:rsidP="00854221">
            <w:pPr>
              <w:pStyle w:val="BodyText"/>
            </w:pPr>
            <w:r w:rsidRPr="00D80E11">
              <w:t>2430</w:t>
            </w:r>
          </w:p>
        </w:tc>
        <w:tc>
          <w:tcPr>
            <w:tcW w:w="2322" w:type="dxa"/>
          </w:tcPr>
          <w:p w:rsidR="00854221" w:rsidRPr="00D80E11" w:rsidRDefault="00854221" w:rsidP="00854221">
            <w:pPr>
              <w:pStyle w:val="BodyText"/>
            </w:pPr>
            <w:r w:rsidRPr="00D80E11">
              <w:t>2700</w:t>
            </w:r>
          </w:p>
        </w:tc>
      </w:tr>
      <w:tr w:rsidR="00854221" w:rsidRPr="00D80E11" w:rsidTr="00854221">
        <w:tc>
          <w:tcPr>
            <w:tcW w:w="2321" w:type="dxa"/>
          </w:tcPr>
          <w:p w:rsidR="00854221" w:rsidRPr="00D80E11" w:rsidRDefault="00854221" w:rsidP="00854221">
            <w:pPr>
              <w:pStyle w:val="BodyText"/>
            </w:pPr>
            <w:r w:rsidRPr="00D80E11">
              <w:t>Intermediate period</w:t>
            </w:r>
          </w:p>
        </w:tc>
        <w:tc>
          <w:tcPr>
            <w:tcW w:w="2322" w:type="dxa"/>
          </w:tcPr>
          <w:p w:rsidR="00854221" w:rsidRPr="00D80E11" w:rsidRDefault="00854221" w:rsidP="00854221">
            <w:pPr>
              <w:pStyle w:val="BodyText"/>
            </w:pPr>
            <w:r w:rsidRPr="00D80E11">
              <w:t>300</w:t>
            </w:r>
          </w:p>
        </w:tc>
        <w:tc>
          <w:tcPr>
            <w:tcW w:w="2322" w:type="dxa"/>
          </w:tcPr>
          <w:p w:rsidR="00854221" w:rsidRPr="00D80E11" w:rsidRDefault="00854221" w:rsidP="00854221">
            <w:pPr>
              <w:pStyle w:val="BodyText"/>
            </w:pPr>
            <w:r w:rsidRPr="00D80E11">
              <w:t>2700</w:t>
            </w:r>
          </w:p>
        </w:tc>
        <w:tc>
          <w:tcPr>
            <w:tcW w:w="2322" w:type="dxa"/>
          </w:tcPr>
          <w:p w:rsidR="00854221" w:rsidRPr="00D80E11" w:rsidRDefault="00854221" w:rsidP="00854221">
            <w:pPr>
              <w:pStyle w:val="BodyText"/>
            </w:pPr>
            <w:r w:rsidRPr="00D80E11">
              <w:t>3000</w:t>
            </w:r>
          </w:p>
        </w:tc>
      </w:tr>
      <w:tr w:rsidR="00854221" w:rsidRPr="00D80E11" w:rsidTr="00854221">
        <w:tc>
          <w:tcPr>
            <w:tcW w:w="2321" w:type="dxa"/>
          </w:tcPr>
          <w:p w:rsidR="00854221" w:rsidRPr="00D80E11" w:rsidRDefault="00854221" w:rsidP="00854221">
            <w:pPr>
              <w:pStyle w:val="BodyText"/>
            </w:pPr>
            <w:r w:rsidRPr="00D80E11">
              <w:t>Peak period</w:t>
            </w:r>
          </w:p>
        </w:tc>
        <w:tc>
          <w:tcPr>
            <w:tcW w:w="2322" w:type="dxa"/>
          </w:tcPr>
          <w:p w:rsidR="00854221" w:rsidRPr="00D80E11" w:rsidRDefault="00854221" w:rsidP="00854221">
            <w:pPr>
              <w:pStyle w:val="BodyText"/>
            </w:pPr>
            <w:r w:rsidRPr="00D80E11">
              <w:t>330</w:t>
            </w:r>
          </w:p>
        </w:tc>
        <w:tc>
          <w:tcPr>
            <w:tcW w:w="2322" w:type="dxa"/>
          </w:tcPr>
          <w:p w:rsidR="00854221" w:rsidRPr="00D80E11" w:rsidRDefault="00854221" w:rsidP="00854221">
            <w:pPr>
              <w:pStyle w:val="BodyText"/>
            </w:pPr>
            <w:r w:rsidRPr="00D80E11">
              <w:t>2970</w:t>
            </w:r>
          </w:p>
        </w:tc>
        <w:tc>
          <w:tcPr>
            <w:tcW w:w="2322" w:type="dxa"/>
          </w:tcPr>
          <w:p w:rsidR="00854221" w:rsidRPr="00D80E11" w:rsidRDefault="00854221" w:rsidP="00854221">
            <w:pPr>
              <w:pStyle w:val="BodyText"/>
            </w:pPr>
            <w:r w:rsidRPr="00D80E11">
              <w:t>3300</w:t>
            </w:r>
          </w:p>
        </w:tc>
      </w:tr>
    </w:tbl>
    <w:p w:rsidR="00854221" w:rsidRPr="00D80E11" w:rsidRDefault="00854221" w:rsidP="00854221">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1"/>
        <w:gridCol w:w="2322"/>
        <w:gridCol w:w="2322"/>
        <w:gridCol w:w="2322"/>
      </w:tblGrid>
      <w:tr w:rsidR="00854221" w:rsidRPr="00D80E11" w:rsidTr="00854221">
        <w:tc>
          <w:tcPr>
            <w:tcW w:w="2321" w:type="dxa"/>
            <w:shd w:val="pct10" w:color="auto" w:fill="auto"/>
          </w:tcPr>
          <w:p w:rsidR="00854221" w:rsidRPr="00D80E11" w:rsidRDefault="00854221" w:rsidP="00854221">
            <w:pPr>
              <w:pStyle w:val="BodyTextHeader"/>
            </w:pPr>
            <w:r w:rsidRPr="00D80E11">
              <w:t xml:space="preserve">Train @ </w:t>
            </w:r>
            <w:smartTag w:uri="urn:schemas-microsoft-com:office:smarttags" w:element="metricconverter">
              <w:smartTagPr>
                <w:attr w:name="ProductID" w:val="100 km/h"/>
              </w:smartTagPr>
              <w:r w:rsidRPr="00D80E11">
                <w:t>100 km/h</w:t>
              </w:r>
            </w:smartTag>
          </w:p>
        </w:tc>
        <w:tc>
          <w:tcPr>
            <w:tcW w:w="2322" w:type="dxa"/>
            <w:shd w:val="pct10" w:color="auto" w:fill="auto"/>
          </w:tcPr>
          <w:p w:rsidR="00854221" w:rsidRPr="00D80E11" w:rsidRDefault="00854221" w:rsidP="00854221">
            <w:pPr>
              <w:pStyle w:val="BodyTextHeader"/>
            </w:pPr>
            <w:r w:rsidRPr="00D80E11">
              <w:t>Reservation fee per train single (£)</w:t>
            </w:r>
          </w:p>
        </w:tc>
        <w:tc>
          <w:tcPr>
            <w:tcW w:w="2322" w:type="dxa"/>
            <w:shd w:val="pct10" w:color="auto" w:fill="auto"/>
          </w:tcPr>
          <w:p w:rsidR="00854221" w:rsidRPr="00D80E11" w:rsidRDefault="00854221" w:rsidP="00854221">
            <w:pPr>
              <w:pStyle w:val="BodyTextHeader"/>
            </w:pPr>
            <w:r w:rsidRPr="00D80E11">
              <w:t>Access fee per train single (£)</w:t>
            </w:r>
          </w:p>
        </w:tc>
        <w:tc>
          <w:tcPr>
            <w:tcW w:w="2322" w:type="dxa"/>
            <w:shd w:val="pct10" w:color="auto" w:fill="auto"/>
          </w:tcPr>
          <w:p w:rsidR="00854221" w:rsidRPr="00D80E11" w:rsidRDefault="00854221" w:rsidP="00854221">
            <w:pPr>
              <w:pStyle w:val="BodyTextHeader"/>
            </w:pPr>
            <w:r w:rsidRPr="00D80E11">
              <w:t>Equivalent price per train single (based on 52 train single/year) (£)</w:t>
            </w:r>
          </w:p>
        </w:tc>
      </w:tr>
      <w:tr w:rsidR="00854221" w:rsidRPr="00D80E11" w:rsidTr="00854221">
        <w:tc>
          <w:tcPr>
            <w:tcW w:w="2321" w:type="dxa"/>
          </w:tcPr>
          <w:p w:rsidR="00854221" w:rsidRPr="00D80E11" w:rsidRDefault="00854221" w:rsidP="00854221">
            <w:pPr>
              <w:pStyle w:val="BodyText"/>
            </w:pPr>
            <w:r w:rsidRPr="00D80E11">
              <w:t>Off-peak period</w:t>
            </w:r>
          </w:p>
        </w:tc>
        <w:tc>
          <w:tcPr>
            <w:tcW w:w="2322" w:type="dxa"/>
          </w:tcPr>
          <w:p w:rsidR="00854221" w:rsidRPr="00D80E11" w:rsidRDefault="00854221" w:rsidP="00854221">
            <w:pPr>
              <w:pStyle w:val="BodyText"/>
            </w:pPr>
            <w:r w:rsidRPr="00D80E11">
              <w:t>300</w:t>
            </w:r>
          </w:p>
        </w:tc>
        <w:tc>
          <w:tcPr>
            <w:tcW w:w="2322" w:type="dxa"/>
          </w:tcPr>
          <w:p w:rsidR="00854221" w:rsidRPr="00D80E11" w:rsidRDefault="00854221" w:rsidP="00854221">
            <w:pPr>
              <w:pStyle w:val="BodyText"/>
            </w:pPr>
            <w:r w:rsidRPr="00D80E11">
              <w:t>2700</w:t>
            </w:r>
          </w:p>
        </w:tc>
        <w:tc>
          <w:tcPr>
            <w:tcW w:w="2322" w:type="dxa"/>
          </w:tcPr>
          <w:p w:rsidR="00854221" w:rsidRPr="00D80E11" w:rsidRDefault="00854221" w:rsidP="00854221">
            <w:pPr>
              <w:pStyle w:val="BodyText"/>
            </w:pPr>
            <w:r w:rsidRPr="00D80E11">
              <w:t>3000</w:t>
            </w:r>
          </w:p>
        </w:tc>
      </w:tr>
    </w:tbl>
    <w:p w:rsidR="00854221" w:rsidRPr="00D80E11" w:rsidRDefault="00854221" w:rsidP="00854221">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1"/>
        <w:gridCol w:w="2322"/>
        <w:gridCol w:w="2322"/>
        <w:gridCol w:w="2322"/>
      </w:tblGrid>
      <w:tr w:rsidR="00854221" w:rsidRPr="00D80E11" w:rsidTr="00854221">
        <w:tc>
          <w:tcPr>
            <w:tcW w:w="2321" w:type="dxa"/>
            <w:shd w:val="pct10" w:color="auto" w:fill="auto"/>
          </w:tcPr>
          <w:p w:rsidR="00854221" w:rsidRPr="00D80E11" w:rsidRDefault="00854221" w:rsidP="00854221">
            <w:pPr>
              <w:pStyle w:val="BodyTextHeader"/>
            </w:pPr>
            <w:r w:rsidRPr="00D80E11">
              <w:t>Maintenance periods</w:t>
            </w:r>
          </w:p>
        </w:tc>
        <w:tc>
          <w:tcPr>
            <w:tcW w:w="2322" w:type="dxa"/>
            <w:shd w:val="pct10" w:color="auto" w:fill="auto"/>
          </w:tcPr>
          <w:p w:rsidR="00854221" w:rsidRPr="00D80E11" w:rsidRDefault="00854221" w:rsidP="00854221">
            <w:pPr>
              <w:pStyle w:val="BodyTextHeader"/>
            </w:pPr>
            <w:r w:rsidRPr="00D80E11">
              <w:t>Reservation fee per train single (£)</w:t>
            </w:r>
          </w:p>
        </w:tc>
        <w:tc>
          <w:tcPr>
            <w:tcW w:w="2322" w:type="dxa"/>
            <w:shd w:val="pct10" w:color="auto" w:fill="auto"/>
          </w:tcPr>
          <w:p w:rsidR="00854221" w:rsidRPr="00D80E11" w:rsidRDefault="00854221" w:rsidP="00854221">
            <w:pPr>
              <w:pStyle w:val="BodyTextHeader"/>
            </w:pPr>
            <w:r w:rsidRPr="00D80E11">
              <w:t>Access fee per train single (£)</w:t>
            </w:r>
          </w:p>
        </w:tc>
        <w:tc>
          <w:tcPr>
            <w:tcW w:w="2322" w:type="dxa"/>
            <w:shd w:val="pct10" w:color="auto" w:fill="auto"/>
          </w:tcPr>
          <w:p w:rsidR="00854221" w:rsidRPr="00D80E11" w:rsidRDefault="00854221" w:rsidP="00854221">
            <w:pPr>
              <w:pStyle w:val="BodyTextHeader"/>
            </w:pPr>
            <w:r w:rsidRPr="00D80E11">
              <w:t>Equivalent price per train single (based on 52 train single/year) (£)</w:t>
            </w:r>
          </w:p>
        </w:tc>
      </w:tr>
      <w:tr w:rsidR="00854221" w:rsidRPr="00D80E11" w:rsidTr="00854221">
        <w:tc>
          <w:tcPr>
            <w:tcW w:w="2321" w:type="dxa"/>
          </w:tcPr>
          <w:p w:rsidR="00854221" w:rsidRPr="00D80E11" w:rsidRDefault="00854221" w:rsidP="00854221">
            <w:pPr>
              <w:pStyle w:val="BodyText"/>
            </w:pPr>
            <w:r w:rsidRPr="00D80E11">
              <w:t xml:space="preserve">All trains @ </w:t>
            </w:r>
            <w:smartTag w:uri="urn:schemas-microsoft-com:office:smarttags" w:element="metricconverter">
              <w:smartTagPr>
                <w:attr w:name="ProductID" w:val="100 km/h"/>
              </w:smartTagPr>
              <w:r w:rsidRPr="00D80E11">
                <w:t>100 km/h</w:t>
              </w:r>
            </w:smartTag>
          </w:p>
        </w:tc>
        <w:tc>
          <w:tcPr>
            <w:tcW w:w="2322" w:type="dxa"/>
          </w:tcPr>
          <w:p w:rsidR="00854221" w:rsidRPr="00D80E11" w:rsidRDefault="00854221" w:rsidP="00854221">
            <w:pPr>
              <w:pStyle w:val="BodyText"/>
            </w:pPr>
            <w:r w:rsidRPr="00D80E11">
              <w:t>300</w:t>
            </w:r>
          </w:p>
        </w:tc>
        <w:tc>
          <w:tcPr>
            <w:tcW w:w="2322" w:type="dxa"/>
          </w:tcPr>
          <w:p w:rsidR="00854221" w:rsidRPr="00D80E11" w:rsidRDefault="00854221" w:rsidP="00854221">
            <w:pPr>
              <w:pStyle w:val="BodyText"/>
            </w:pPr>
            <w:r w:rsidRPr="00D80E11">
              <w:t>2700</w:t>
            </w:r>
          </w:p>
        </w:tc>
        <w:tc>
          <w:tcPr>
            <w:tcW w:w="2322" w:type="dxa"/>
          </w:tcPr>
          <w:p w:rsidR="00854221" w:rsidRPr="00D80E11" w:rsidRDefault="00854221" w:rsidP="00854221">
            <w:pPr>
              <w:pStyle w:val="BodyText"/>
            </w:pPr>
            <w:r w:rsidRPr="00D80E11">
              <w:t>3000</w:t>
            </w:r>
          </w:p>
        </w:tc>
      </w:tr>
    </w:tbl>
    <w:p w:rsidR="00854221" w:rsidRDefault="00854221" w:rsidP="00854221">
      <w:pPr>
        <w:pStyle w:val="Source"/>
      </w:pPr>
      <w:bookmarkStart w:id="74" w:name="OLE_LINK17"/>
      <w:bookmarkStart w:id="75" w:name="OLE_LINK18"/>
      <w:r w:rsidRPr="0085116A">
        <w:t>Source: Eurotunnel’s Network Statement - 2008 Working Timetable</w:t>
      </w:r>
    </w:p>
    <w:bookmarkEnd w:id="74"/>
    <w:bookmarkEnd w:id="75"/>
    <w:p w:rsidR="00E00462" w:rsidRPr="0085116A" w:rsidRDefault="00E00462" w:rsidP="00854221">
      <w:pPr>
        <w:pStyle w:val="Source"/>
      </w:pPr>
    </w:p>
    <w:p w:rsidR="00854221" w:rsidRPr="00D80E11" w:rsidRDefault="00854221" w:rsidP="00854221">
      <w:pPr>
        <w:rPr>
          <w:rFonts w:cs="Arial"/>
        </w:rPr>
      </w:pPr>
    </w:p>
    <w:p w:rsidR="00854221" w:rsidRPr="00D80E11" w:rsidRDefault="00854221" w:rsidP="00854221">
      <w:r w:rsidRPr="00D80E11">
        <w:t xml:space="preserve">These new charges, and the </w:t>
      </w:r>
      <w:proofErr w:type="spellStart"/>
      <w:r w:rsidRPr="00D80E11">
        <w:t>relaunch</w:t>
      </w:r>
      <w:proofErr w:type="spellEnd"/>
      <w:r w:rsidRPr="00D80E11">
        <w:t xml:space="preserve"> strategy, appear to be having clear impacts on rail freight traffic.  Firstly, EWS report that they have increased the speed of their bulk traffic so as to take advantage of the lower charge for this.  This has been somewhat fortuitous, as the change occurred at a time when they happened to have the rolling stock available to enable this.  Secondly, EWS have announced the commencement of two regular Channel Tunnel services.  Thirdly, though on a more negative note, Freight Europe UK have announced withdrawal of services apparently in response to the new charges.  Freight Europe UK have been providing a less than train-load service between continental Europe and the </w:t>
      </w:r>
      <w:smartTag w:uri="urn:schemas-microsoft-com:office:smarttags" w:element="place">
        <w:smartTag w:uri="urn:schemas-microsoft-com:office:smarttags" w:element="country-region">
          <w:r w:rsidRPr="00D80E11">
            <w:t>UK</w:t>
          </w:r>
        </w:smartTag>
      </w:smartTag>
      <w:r w:rsidRPr="00D80E11">
        <w:t xml:space="preserve"> which was, whilst charges were on a per-tonne basis, viable.  However, with the switch to per-train charges, their payments have increased as they have begun having to pay for empty or part-empty trains.  It may be that this is a temporary problem, as they rationalise their service and arrive at a new level of service, although it may also be the case that such a rationalised level of service may no longer be sufficiently attractive to customers and that they find their service having to be rationalised further.</w:t>
      </w:r>
    </w:p>
    <w:p w:rsidR="00854221" w:rsidRPr="00D80E11" w:rsidRDefault="00854221" w:rsidP="00854221">
      <w:pPr>
        <w:rPr>
          <w:rFonts w:cs="Arial"/>
        </w:rPr>
      </w:pPr>
      <w:r w:rsidRPr="00D80E11">
        <w:rPr>
          <w:rFonts w:cs="Arial"/>
        </w:rPr>
        <w:t>The main problem of the forecasts, as compared with the actual traffic, seems to rely o</w:t>
      </w:r>
      <w:r>
        <w:rPr>
          <w:rFonts w:cs="Arial"/>
        </w:rPr>
        <w:t>n the nature of the market Eurot</w:t>
      </w:r>
      <w:r w:rsidRPr="00D80E11">
        <w:rPr>
          <w:rFonts w:cs="Arial"/>
        </w:rPr>
        <w:t xml:space="preserve">unnel could try to grasp. The reaction of ferries proved to be </w:t>
      </w:r>
      <w:r>
        <w:rPr>
          <w:rFonts w:cs="Arial"/>
        </w:rPr>
        <w:t>quite effective at cutting Eurot</w:t>
      </w:r>
      <w:r w:rsidRPr="00D80E11">
        <w:rPr>
          <w:rFonts w:cs="Arial"/>
        </w:rPr>
        <w:t>unnel from a good part of its expected market, among other means by concentrating and reinforcing offers for origin-destination trips remote from the Channel.  The decline in competitiveness relative to road transport, as a result of the impact of the fixed costs of frontier infrastructure (including security constraints) proved to be further constraints on channel Tunnel rail freight growth.</w:t>
      </w:r>
    </w:p>
    <w:p w:rsidR="00854221" w:rsidRPr="00D80E11" w:rsidRDefault="00854221" w:rsidP="00854221">
      <w:pPr>
        <w:rPr>
          <w:rFonts w:ascii="Verdana" w:hAnsi="Verdana"/>
          <w:color w:val="666666"/>
          <w:sz w:val="17"/>
          <w:szCs w:val="17"/>
        </w:rPr>
      </w:pPr>
    </w:p>
    <w:p w:rsidR="00854221" w:rsidRPr="00D80E11" w:rsidRDefault="00854221" w:rsidP="00854221">
      <w:pPr>
        <w:rPr>
          <w:rFonts w:cs="Arial"/>
        </w:rPr>
      </w:pPr>
      <w:r w:rsidRPr="00D80E11">
        <w:rPr>
          <w:rFonts w:cs="Arial"/>
        </w:rPr>
        <w:t>Hence, the original charges were devised with no reference to the market, and the monopoly and state aid aspects of the market rendered them irrelevant as signals to the market.  Since the removal of state aid, opening up of the market and establishment of the new charging regime, traffic appears, on the whole, to be responding positively, though it is too soon to say whether this is a sustained turn-around.</w:t>
      </w:r>
    </w:p>
    <w:p w:rsidR="00854221" w:rsidRPr="00D80E11" w:rsidRDefault="00854221" w:rsidP="00854221">
      <w:pPr>
        <w:rPr>
          <w:rFonts w:cs="Arial"/>
        </w:rPr>
      </w:pPr>
    </w:p>
    <w:p w:rsidR="00854221" w:rsidRPr="000A1DB3" w:rsidRDefault="00EC3B90" w:rsidP="003D2FE7">
      <w:pPr>
        <w:pStyle w:val="Heading2"/>
        <w:numPr>
          <w:ilvl w:val="0"/>
          <w:numId w:val="0"/>
        </w:numPr>
        <w:ind w:left="851" w:hanging="851"/>
        <w:rPr>
          <w:rFonts w:ascii="Arial" w:hAnsi="Arial"/>
          <w:smallCaps w:val="0"/>
          <w:color w:val="auto"/>
          <w:sz w:val="20"/>
          <w:szCs w:val="20"/>
        </w:rPr>
      </w:pPr>
      <w:bookmarkStart w:id="76" w:name="_Toc207526686"/>
      <w:r w:rsidRPr="000A1DB3">
        <w:rPr>
          <w:rFonts w:ascii="Arial" w:hAnsi="Arial"/>
          <w:smallCaps w:val="0"/>
          <w:color w:val="auto"/>
          <w:sz w:val="20"/>
          <w:szCs w:val="20"/>
        </w:rPr>
        <w:lastRenderedPageBreak/>
        <w:t>4.4</w:t>
      </w:r>
      <w:r w:rsidR="003D2FE7" w:rsidRPr="000A1DB3">
        <w:rPr>
          <w:rFonts w:ascii="Arial" w:hAnsi="Arial"/>
          <w:smallCaps w:val="0"/>
          <w:color w:val="auto"/>
          <w:sz w:val="20"/>
          <w:szCs w:val="20"/>
        </w:rPr>
        <w:t xml:space="preserve"> </w:t>
      </w:r>
      <w:r w:rsidR="00854221" w:rsidRPr="000A1DB3">
        <w:rPr>
          <w:rFonts w:ascii="Arial" w:hAnsi="Arial"/>
          <w:smallCaps w:val="0"/>
          <w:color w:val="auto"/>
          <w:sz w:val="20"/>
          <w:szCs w:val="20"/>
        </w:rPr>
        <w:t>Modelling Reactions in the British Rail Freight Market</w:t>
      </w:r>
      <w:bookmarkEnd w:id="76"/>
    </w:p>
    <w:p w:rsidR="00854221" w:rsidRDefault="00854221" w:rsidP="00854221">
      <w:pPr>
        <w:rPr>
          <w:lang w:eastAsia="en-GB"/>
        </w:rPr>
      </w:pPr>
      <w:r w:rsidRPr="00D80E11">
        <w:t xml:space="preserve">The </w:t>
      </w:r>
      <w:proofErr w:type="gramStart"/>
      <w:r w:rsidRPr="00D80E11">
        <w:t xml:space="preserve">effect of changes in rail access charge regimes on rail and road traffic in </w:t>
      </w:r>
      <w:smartTag w:uri="urn:schemas-microsoft-com:office:smarttags" w:element="place">
        <w:smartTag w:uri="urn:schemas-microsoft-com:office:smarttags" w:element="country-region">
          <w:r w:rsidRPr="00D80E11">
            <w:t>Britain</w:t>
          </w:r>
        </w:smartTag>
      </w:smartTag>
      <w:r w:rsidRPr="00D80E11">
        <w:t xml:space="preserve"> have</w:t>
      </w:r>
      <w:proofErr w:type="gramEnd"/>
      <w:r w:rsidRPr="00D80E11">
        <w:t xml:space="preserve"> been modelled using the Leeds Freight Transport Model (LEFT) </w:t>
      </w:r>
      <w:r w:rsidRPr="00D80E11">
        <w:rPr>
          <w:lang w:eastAsia="en-GB"/>
        </w:rPr>
        <w:t xml:space="preserve">(Johnson et al, 2007)). </w:t>
      </w:r>
      <w:r>
        <w:rPr>
          <w:lang w:eastAsia="en-GB"/>
        </w:rPr>
        <w:t xml:space="preserve"> </w:t>
      </w:r>
      <w:r w:rsidRPr="00D80E11">
        <w:t xml:space="preserve">The LEFT model is essentially an aggregate mode split model for road and rail freight traffic in </w:t>
      </w:r>
      <w:smartTag w:uri="urn:schemas-microsoft-com:office:smarttags" w:element="place">
        <w:smartTag w:uri="urn:schemas-microsoft-com:office:smarttags" w:element="country-region">
          <w:r w:rsidRPr="00D80E11">
            <w:t>Britain</w:t>
          </w:r>
        </w:smartTag>
      </w:smartTag>
      <w:r w:rsidRPr="00D80E11">
        <w:t xml:space="preserve">, capable of forecasting changes in traffic for different commodities and modes following changes in transport costs.  LEFT was initially constructed in 2002 and has been further developed over subsequent years, the current version being LEFT3.  The model </w:t>
      </w:r>
      <w:r w:rsidRPr="00D80E11">
        <w:rPr>
          <w:lang w:eastAsia="en-GB"/>
        </w:rPr>
        <w:t xml:space="preserve">has no geography and uses Binary </w:t>
      </w:r>
      <w:proofErr w:type="spellStart"/>
      <w:r w:rsidRPr="00D80E11">
        <w:rPr>
          <w:lang w:eastAsia="en-GB"/>
        </w:rPr>
        <w:t>Logit</w:t>
      </w:r>
      <w:proofErr w:type="spellEnd"/>
      <w:r w:rsidRPr="00D80E11">
        <w:rPr>
          <w:lang w:eastAsia="en-GB"/>
        </w:rPr>
        <w:t xml:space="preserve"> models calibrated to existing data to perform mode split. Market size is determined using </w:t>
      </w:r>
      <w:proofErr w:type="spellStart"/>
      <w:r w:rsidRPr="00D80E11">
        <w:rPr>
          <w:lang w:eastAsia="en-GB"/>
        </w:rPr>
        <w:t>elasticities</w:t>
      </w:r>
      <w:proofErr w:type="spellEnd"/>
      <w:r w:rsidRPr="00D80E11">
        <w:rPr>
          <w:lang w:eastAsia="en-GB"/>
        </w:rPr>
        <w:t xml:space="preserve"> of </w:t>
      </w:r>
      <w:proofErr w:type="spellStart"/>
      <w:r w:rsidRPr="00D80E11">
        <w:rPr>
          <w:lang w:eastAsia="en-GB"/>
        </w:rPr>
        <w:t>tkm</w:t>
      </w:r>
      <w:proofErr w:type="spellEnd"/>
      <w:r w:rsidRPr="00D80E11">
        <w:rPr>
          <w:lang w:eastAsia="en-GB"/>
        </w:rPr>
        <w:t xml:space="preserve"> with respect to Generalised Cost and applying them with the mode split element stripped out.  Disaggregation within LEFT3 is by the following dimensions:</w:t>
      </w:r>
    </w:p>
    <w:p w:rsidR="00E00462" w:rsidRPr="00D80E11" w:rsidRDefault="00E00462" w:rsidP="00854221">
      <w:pPr>
        <w:rPr>
          <w:lang w:eastAsia="en-GB"/>
        </w:rPr>
      </w:pPr>
    </w:p>
    <w:p w:rsidR="00854221" w:rsidRPr="00D80E11" w:rsidRDefault="00854221" w:rsidP="00854221">
      <w:pPr>
        <w:numPr>
          <w:ilvl w:val="0"/>
          <w:numId w:val="13"/>
          <w:numberingChange w:id="77" w:author="USER" w:date="2009-10-24T23:18:00Z" w:original="%1:1:0:."/>
        </w:numPr>
        <w:spacing w:before="120"/>
        <w:ind w:hanging="357"/>
        <w:rPr>
          <w:lang w:eastAsia="zh-CN"/>
        </w:rPr>
      </w:pPr>
      <w:r w:rsidRPr="00D80E11">
        <w:rPr>
          <w:lang w:eastAsia="en-GB"/>
        </w:rPr>
        <w:t xml:space="preserve">The base data is split over 7 commodity groups </w:t>
      </w:r>
      <w:r w:rsidRPr="00D80E11">
        <w:t>consistent with the categories provided in the Department for Transport’s Continuing Survey of Road Goods Transport (CSRGT) data, reported in Transport Statistics Gre</w:t>
      </w:r>
      <w:r>
        <w:t>at Britain (TSGB) (</w:t>
      </w:r>
      <w:proofErr w:type="spellStart"/>
      <w:r>
        <w:t>DfT</w:t>
      </w:r>
      <w:proofErr w:type="spellEnd"/>
      <w:r>
        <w:t>, annual):</w:t>
      </w:r>
    </w:p>
    <w:p w:rsidR="00854221" w:rsidRPr="00D80E11" w:rsidRDefault="00854221" w:rsidP="00854221">
      <w:pPr>
        <w:numPr>
          <w:ilvl w:val="1"/>
          <w:numId w:val="13"/>
          <w:numberingChange w:id="78" w:author="USER" w:date="2009-10-24T23:18:00Z" w:original="%2:1:4:."/>
        </w:numPr>
        <w:tabs>
          <w:tab w:val="left" w:pos="284"/>
        </w:tabs>
        <w:spacing w:before="120"/>
        <w:ind w:hanging="357"/>
      </w:pPr>
      <w:r w:rsidRPr="00D80E11">
        <w:t>Food, Drink and Agricultural Products</w:t>
      </w:r>
      <w:r>
        <w:t>;</w:t>
      </w:r>
    </w:p>
    <w:p w:rsidR="00854221" w:rsidRPr="00D80E11" w:rsidRDefault="00854221" w:rsidP="00854221">
      <w:pPr>
        <w:numPr>
          <w:ilvl w:val="1"/>
          <w:numId w:val="13"/>
          <w:numberingChange w:id="79" w:author="USER" w:date="2009-10-24T23:18:00Z" w:original="%2:2:4:."/>
        </w:numPr>
        <w:tabs>
          <w:tab w:val="left" w:pos="284"/>
        </w:tabs>
        <w:spacing w:before="120"/>
        <w:ind w:hanging="357"/>
      </w:pPr>
      <w:r w:rsidRPr="00D80E11">
        <w:t>Coal, Coke and related items</w:t>
      </w:r>
      <w:r>
        <w:t>;</w:t>
      </w:r>
    </w:p>
    <w:p w:rsidR="00854221" w:rsidRPr="00D80E11" w:rsidRDefault="00854221" w:rsidP="00854221">
      <w:pPr>
        <w:numPr>
          <w:ilvl w:val="1"/>
          <w:numId w:val="13"/>
          <w:numberingChange w:id="80" w:author="USER" w:date="2009-10-24T23:18:00Z" w:original="%2:3:4:."/>
        </w:numPr>
        <w:tabs>
          <w:tab w:val="left" w:pos="426"/>
        </w:tabs>
        <w:spacing w:before="120"/>
        <w:ind w:hanging="357"/>
      </w:pPr>
      <w:r w:rsidRPr="00D80E11">
        <w:t>Petroleum and Petroleum Products</w:t>
      </w:r>
      <w:r>
        <w:t>;</w:t>
      </w:r>
    </w:p>
    <w:p w:rsidR="00854221" w:rsidRPr="00D80E11" w:rsidRDefault="00854221" w:rsidP="00854221">
      <w:pPr>
        <w:numPr>
          <w:ilvl w:val="1"/>
          <w:numId w:val="13"/>
          <w:numberingChange w:id="81" w:author="USER" w:date="2009-10-24T23:18:00Z" w:original="%2:4:4:."/>
        </w:numPr>
        <w:tabs>
          <w:tab w:val="left" w:pos="426"/>
        </w:tabs>
        <w:spacing w:before="120"/>
        <w:ind w:hanging="357"/>
      </w:pPr>
      <w:r w:rsidRPr="00D80E11">
        <w:t>Metals and Ores</w:t>
      </w:r>
      <w:r>
        <w:t>;</w:t>
      </w:r>
    </w:p>
    <w:p w:rsidR="00854221" w:rsidRPr="00D80E11" w:rsidRDefault="00854221" w:rsidP="00854221">
      <w:pPr>
        <w:numPr>
          <w:ilvl w:val="1"/>
          <w:numId w:val="13"/>
          <w:numberingChange w:id="82" w:author="USER" w:date="2009-10-24T23:18:00Z" w:original="%2:5:4:."/>
        </w:numPr>
        <w:tabs>
          <w:tab w:val="left" w:pos="426"/>
        </w:tabs>
        <w:spacing w:before="120"/>
        <w:ind w:hanging="357"/>
      </w:pPr>
      <w:r w:rsidRPr="00D80E11">
        <w:t>Aggregates and Construction</w:t>
      </w:r>
      <w:r>
        <w:t>;</w:t>
      </w:r>
    </w:p>
    <w:p w:rsidR="00854221" w:rsidRPr="00D80E11" w:rsidRDefault="00854221" w:rsidP="00854221">
      <w:pPr>
        <w:numPr>
          <w:ilvl w:val="1"/>
          <w:numId w:val="13"/>
          <w:numberingChange w:id="83" w:author="USER" w:date="2009-10-24T23:18:00Z" w:original="%2:6:4:."/>
        </w:numPr>
        <w:tabs>
          <w:tab w:val="left" w:pos="284"/>
        </w:tabs>
        <w:spacing w:before="120"/>
        <w:ind w:hanging="357"/>
      </w:pPr>
      <w:r w:rsidRPr="00D80E11">
        <w:t>Chemicals and Fertilisers</w:t>
      </w:r>
      <w:r>
        <w:t>;</w:t>
      </w:r>
    </w:p>
    <w:p w:rsidR="00854221" w:rsidRPr="00D80E11" w:rsidRDefault="00854221" w:rsidP="00854221">
      <w:pPr>
        <w:numPr>
          <w:ilvl w:val="1"/>
          <w:numId w:val="13"/>
          <w:numberingChange w:id="84" w:author="USER" w:date="2009-10-24T23:18:00Z" w:original="%2:7:4:."/>
        </w:numPr>
        <w:tabs>
          <w:tab w:val="left" w:pos="284"/>
        </w:tabs>
        <w:spacing w:before="120"/>
        <w:ind w:hanging="357"/>
      </w:pPr>
      <w:r w:rsidRPr="00D80E11">
        <w:t>Other, including manufactures, miscellaneous, containerised, and international.</w:t>
      </w:r>
    </w:p>
    <w:p w:rsidR="00854221" w:rsidRPr="00D80E11" w:rsidRDefault="00854221" w:rsidP="00854221">
      <w:pPr>
        <w:numPr>
          <w:ilvl w:val="0"/>
          <w:numId w:val="13"/>
          <w:numberingChange w:id="85" w:author="USER" w:date="2009-10-24T23:18:00Z" w:original="%1:2:0:."/>
        </w:numPr>
        <w:spacing w:before="120"/>
        <w:ind w:hanging="357"/>
        <w:rPr>
          <w:lang w:eastAsia="en-GB"/>
        </w:rPr>
      </w:pPr>
      <w:r w:rsidRPr="00D80E11">
        <w:rPr>
          <w:lang w:eastAsia="en-GB"/>
        </w:rPr>
        <w:t xml:space="preserve">The base data by commodity is split over 9 distance bands, </w:t>
      </w:r>
      <w:r w:rsidRPr="00D80E11">
        <w:t xml:space="preserve">again consistent with those used by the CSRGT data. </w:t>
      </w:r>
      <w:r>
        <w:t xml:space="preserve"> </w:t>
      </w:r>
      <w:r w:rsidRPr="00D80E11">
        <w:t>These are, 1-</w:t>
      </w:r>
      <w:smartTag w:uri="urn:schemas-microsoft-com:office:smarttags" w:element="metricconverter">
        <w:smartTagPr>
          <w:attr w:name="ProductID" w:val="25 km"/>
        </w:smartTagPr>
        <w:r w:rsidRPr="00D80E11">
          <w:t>25 km</w:t>
        </w:r>
      </w:smartTag>
      <w:r w:rsidRPr="00D80E11">
        <w:t>, 25-</w:t>
      </w:r>
      <w:smartTag w:uri="urn:schemas-microsoft-com:office:smarttags" w:element="metricconverter">
        <w:smartTagPr>
          <w:attr w:name="ProductID" w:val="50 km"/>
        </w:smartTagPr>
        <w:r w:rsidRPr="00D80E11">
          <w:t>50 km</w:t>
        </w:r>
      </w:smartTag>
      <w:r w:rsidRPr="00D80E11">
        <w:t>, 50-</w:t>
      </w:r>
      <w:smartTag w:uri="urn:schemas-microsoft-com:office:smarttags" w:element="metricconverter">
        <w:smartTagPr>
          <w:attr w:name="ProductID" w:val="100 km"/>
        </w:smartTagPr>
        <w:r w:rsidRPr="00D80E11">
          <w:t>100 km</w:t>
        </w:r>
      </w:smartTag>
      <w:r w:rsidRPr="00D80E11">
        <w:t>, 100-</w:t>
      </w:r>
      <w:smartTag w:uri="urn:schemas-microsoft-com:office:smarttags" w:element="metricconverter">
        <w:smartTagPr>
          <w:attr w:name="ProductID" w:val="150 km"/>
        </w:smartTagPr>
        <w:r w:rsidRPr="00D80E11">
          <w:t>150 km</w:t>
        </w:r>
      </w:smartTag>
      <w:r w:rsidRPr="00D80E11">
        <w:t>, 150-</w:t>
      </w:r>
      <w:smartTag w:uri="urn:schemas-microsoft-com:office:smarttags" w:element="metricconverter">
        <w:smartTagPr>
          <w:attr w:name="ProductID" w:val="200 km"/>
        </w:smartTagPr>
        <w:r w:rsidRPr="00D80E11">
          <w:t>200 km</w:t>
        </w:r>
      </w:smartTag>
      <w:r w:rsidRPr="00D80E11">
        <w:t>, 200-</w:t>
      </w:r>
      <w:smartTag w:uri="urn:schemas-microsoft-com:office:smarttags" w:element="metricconverter">
        <w:smartTagPr>
          <w:attr w:name="ProductID" w:val="300 km"/>
        </w:smartTagPr>
        <w:r w:rsidRPr="00D80E11">
          <w:t>300 km</w:t>
        </w:r>
      </w:smartTag>
      <w:r w:rsidRPr="00D80E11">
        <w:t>, 300-</w:t>
      </w:r>
      <w:smartTag w:uri="urn:schemas-microsoft-com:office:smarttags" w:element="metricconverter">
        <w:smartTagPr>
          <w:attr w:name="ProductID" w:val="400 km"/>
        </w:smartTagPr>
        <w:r w:rsidRPr="00D80E11">
          <w:t>400 km</w:t>
        </w:r>
      </w:smartTag>
      <w:r w:rsidRPr="00D80E11">
        <w:t>, 400-</w:t>
      </w:r>
      <w:smartTag w:uri="urn:schemas-microsoft-com:office:smarttags" w:element="metricconverter">
        <w:smartTagPr>
          <w:attr w:name="ProductID" w:val="500 km"/>
        </w:smartTagPr>
        <w:r w:rsidRPr="00D80E11">
          <w:t>500 km</w:t>
        </w:r>
      </w:smartTag>
      <w:r w:rsidRPr="00D80E11">
        <w:t xml:space="preserve"> and Over </w:t>
      </w:r>
      <w:smartTag w:uri="urn:schemas-microsoft-com:office:smarttags" w:element="metricconverter">
        <w:smartTagPr>
          <w:attr w:name="ProductID" w:val="500 km"/>
        </w:smartTagPr>
        <w:r w:rsidRPr="00D80E11">
          <w:t>500 km</w:t>
        </w:r>
      </w:smartTag>
      <w:r w:rsidRPr="00D80E11">
        <w:t xml:space="preserve">. </w:t>
      </w:r>
      <w:r>
        <w:t xml:space="preserve"> </w:t>
      </w:r>
      <w:r w:rsidRPr="00D80E11">
        <w:rPr>
          <w:lang w:eastAsia="en-GB"/>
        </w:rPr>
        <w:t xml:space="preserve">We have taken the midpoint of the 500+ distance band to be </w:t>
      </w:r>
      <w:smartTag w:uri="urn:schemas-microsoft-com:office:smarttags" w:element="metricconverter">
        <w:smartTagPr>
          <w:attr w:name="ProductID" w:val="550 km"/>
        </w:smartTagPr>
        <w:r w:rsidRPr="00D80E11">
          <w:rPr>
            <w:lang w:eastAsia="en-GB"/>
          </w:rPr>
          <w:t>550 km</w:t>
        </w:r>
      </w:smartTag>
      <w:r w:rsidRPr="00D80E11">
        <w:rPr>
          <w:lang w:eastAsia="en-GB"/>
        </w:rPr>
        <w:t>.</w:t>
      </w:r>
      <w:r w:rsidRPr="00D80E11">
        <w:t xml:space="preserve"> </w:t>
      </w:r>
    </w:p>
    <w:p w:rsidR="00854221" w:rsidRPr="00D80E11" w:rsidRDefault="00854221" w:rsidP="00854221">
      <w:pPr>
        <w:numPr>
          <w:ilvl w:val="0"/>
          <w:numId w:val="13"/>
          <w:numberingChange w:id="86" w:author="USER" w:date="2009-10-24T23:18:00Z" w:original="%1:3:0:."/>
        </w:numPr>
        <w:spacing w:before="120"/>
        <w:ind w:hanging="357"/>
        <w:rPr>
          <w:lang w:eastAsia="en-GB"/>
        </w:rPr>
      </w:pPr>
      <w:r w:rsidRPr="00D80E11">
        <w:rPr>
          <w:lang w:eastAsia="en-GB"/>
        </w:rPr>
        <w:t xml:space="preserve">The base total market is split for each commodity and distance band according to whether </w:t>
      </w:r>
      <w:proofErr w:type="gramStart"/>
      <w:r w:rsidRPr="00D80E11">
        <w:rPr>
          <w:lang w:eastAsia="en-GB"/>
        </w:rPr>
        <w:t>traffic  is</w:t>
      </w:r>
      <w:proofErr w:type="gramEnd"/>
      <w:r w:rsidRPr="00D80E11">
        <w:rPr>
          <w:lang w:eastAsia="en-GB"/>
        </w:rPr>
        <w:t xml:space="preserve"> favourable for rail operations, referred to as train-friendly (TF), or train-unfriendly (TU). For Bulks, TF traffic is that traffic we deem suitable for trainload movement from origin to destination. For Non-bulks (Food etc, and Miscellaneous), TF traffic is that to which we have assigned the need for collection and delivery (at most) at one end. </w:t>
      </w:r>
    </w:p>
    <w:p w:rsidR="00854221" w:rsidRPr="00D80E11" w:rsidRDefault="00854221" w:rsidP="00854221">
      <w:pPr>
        <w:ind w:left="720"/>
        <w:rPr>
          <w:lang w:eastAsia="en-GB"/>
        </w:rPr>
      </w:pPr>
    </w:p>
    <w:p w:rsidR="00854221" w:rsidRPr="00D80E11" w:rsidRDefault="00854221" w:rsidP="00854221">
      <w:r w:rsidRPr="00D80E11">
        <w:rPr>
          <w:lang w:eastAsia="en-GB"/>
        </w:rPr>
        <w:t xml:space="preserve">There are therefore 2*7*9 = 126 cells in LEFT3. </w:t>
      </w:r>
      <w:r>
        <w:rPr>
          <w:lang w:eastAsia="en-GB"/>
        </w:rPr>
        <w:t xml:space="preserve"> </w:t>
      </w:r>
      <w:r w:rsidRPr="00D80E11">
        <w:rPr>
          <w:lang w:eastAsia="en-GB"/>
        </w:rPr>
        <w:t xml:space="preserve">Traffic can switch mode or distance band, disappear altogether or new traffic can be generated. </w:t>
      </w:r>
      <w:r>
        <w:rPr>
          <w:lang w:eastAsia="en-GB"/>
        </w:rPr>
        <w:t xml:space="preserve"> </w:t>
      </w:r>
      <w:r w:rsidRPr="00D80E11">
        <w:rPr>
          <w:lang w:eastAsia="en-GB"/>
        </w:rPr>
        <w:t xml:space="preserve">Just two modes were modelled - road and rail. </w:t>
      </w:r>
      <w:r>
        <w:rPr>
          <w:lang w:eastAsia="en-GB"/>
        </w:rPr>
        <w:t xml:space="preserve"> </w:t>
      </w:r>
      <w:r w:rsidRPr="00D80E11">
        <w:t xml:space="preserve">The data used was collected from a variety of sources. </w:t>
      </w:r>
      <w:r>
        <w:t xml:space="preserve"> </w:t>
      </w:r>
      <w:r w:rsidRPr="00D80E11">
        <w:t xml:space="preserve">For road, the primary source has been the Continuing Survey of Road Goods Transport, as reported in TSGB. </w:t>
      </w:r>
      <w:r>
        <w:t xml:space="preserve"> </w:t>
      </w:r>
      <w:r w:rsidRPr="00D80E11">
        <w:t xml:space="preserve">For rail we have used unpublished data from the </w:t>
      </w:r>
      <w:r w:rsidR="004B69E1">
        <w:t>Strategic Rail Authority (</w:t>
      </w:r>
      <w:r w:rsidRPr="00D80E11">
        <w:t>SRA</w:t>
      </w:r>
      <w:r w:rsidR="004B69E1">
        <w:t>)</w:t>
      </w:r>
      <w:r w:rsidRPr="00D80E11">
        <w:t xml:space="preserve"> with gaps being filled by our own best estimates. </w:t>
      </w:r>
      <w:r>
        <w:t xml:space="preserve"> </w:t>
      </w:r>
      <w:r w:rsidRPr="00D80E11">
        <w:t xml:space="preserve">Base data relates to the period 1998-2000. All monetary amounts are in 2000 prices. </w:t>
      </w:r>
      <w:r>
        <w:t xml:space="preserve"> </w:t>
      </w:r>
      <w:r w:rsidRPr="00D80E11">
        <w:t xml:space="preserve">A base for 2010 was obtained by projecting current trends forward.  </w:t>
      </w:r>
    </w:p>
    <w:p w:rsidR="00854221" w:rsidRPr="00D80E11" w:rsidRDefault="00854221" w:rsidP="00854221"/>
    <w:p w:rsidR="00854221" w:rsidRDefault="00854221" w:rsidP="00854221">
      <w:r w:rsidRPr="00D80E11">
        <w:t xml:space="preserve">We </w:t>
      </w:r>
      <w:r w:rsidR="00DE21C8">
        <w:t>we</w:t>
      </w:r>
      <w:r w:rsidRPr="00D80E11">
        <w:t xml:space="preserve">re interested in looking at the responsiveness of rail traffic to different access regimes and pricing structures. </w:t>
      </w:r>
      <w:r>
        <w:t xml:space="preserve"> </w:t>
      </w:r>
      <w:r w:rsidR="00DE21C8">
        <w:t xml:space="preserve">Our </w:t>
      </w:r>
      <w:r w:rsidRPr="00D80E11">
        <w:t xml:space="preserve">aim </w:t>
      </w:r>
      <w:r w:rsidR="00DE21C8">
        <w:t xml:space="preserve">was </w:t>
      </w:r>
      <w:r w:rsidRPr="00D80E11">
        <w:t xml:space="preserve">to see if, and to what extent, rail can replace some road traffic given the appropriate incentives. </w:t>
      </w:r>
      <w:r>
        <w:t xml:space="preserve"> </w:t>
      </w:r>
      <w:r w:rsidRPr="00D80E11">
        <w:t>We determined the following six scenarios/policy tests to examine:</w:t>
      </w:r>
    </w:p>
    <w:p w:rsidR="00E00462" w:rsidRPr="00D80E11" w:rsidRDefault="00E00462" w:rsidP="00854221"/>
    <w:p w:rsidR="00854221" w:rsidRPr="00D80E11" w:rsidRDefault="00854221" w:rsidP="00854221">
      <w:pPr>
        <w:pStyle w:val="BulletPoint"/>
        <w:numPr>
          <w:numberingChange w:id="87" w:author="USER" w:date="2009-10-24T23:18:00Z" w:original=""/>
        </w:numPr>
      </w:pPr>
      <w:r w:rsidRPr="00D80E11">
        <w:t>Removing current track access charges- the idea here is to create the best possible scenario for rail freight and see how much growth there could be in these conditions, with the aim of mode shift from road to rail on environmental grounds.</w:t>
      </w:r>
    </w:p>
    <w:p w:rsidR="00854221" w:rsidRPr="00D80E11" w:rsidRDefault="00854221" w:rsidP="00854221">
      <w:pPr>
        <w:pStyle w:val="BulletPoint"/>
        <w:numPr>
          <w:numberingChange w:id="88" w:author="USER" w:date="2009-10-24T23:18:00Z" w:original=""/>
        </w:numPr>
      </w:pPr>
      <w:r w:rsidRPr="00D80E11">
        <w:t>Halving current track access charges; again here the aim is to stimulate mode shift, whilst still recovering some track access revenues.</w:t>
      </w:r>
    </w:p>
    <w:p w:rsidR="00854221" w:rsidRPr="00D80E11" w:rsidRDefault="00854221" w:rsidP="00854221">
      <w:pPr>
        <w:pStyle w:val="BulletPoint"/>
        <w:numPr>
          <w:numberingChange w:id="89" w:author="USER" w:date="2009-10-24T23:18:00Z" w:original=""/>
        </w:numPr>
      </w:pPr>
      <w:r w:rsidRPr="00D80E11">
        <w:t>Doubling current track access charges; here we see how rail traffic responds to a doubling of access charges across the board, with the aim of raising revenue from rail access charges.</w:t>
      </w:r>
    </w:p>
    <w:p w:rsidR="00854221" w:rsidRPr="00D80E11" w:rsidRDefault="00854221" w:rsidP="00854221">
      <w:pPr>
        <w:pStyle w:val="BulletPoint"/>
        <w:numPr>
          <w:numberingChange w:id="90" w:author="USER" w:date="2009-10-24T23:18:00Z" w:original=""/>
        </w:numPr>
      </w:pPr>
      <w:r w:rsidRPr="00D80E11">
        <w:t xml:space="preserve">Quadrupling current track access charges; as </w:t>
      </w:r>
      <w:r w:rsidR="00667D40">
        <w:t>above</w:t>
      </w:r>
      <w:r w:rsidRPr="00D80E11">
        <w:t xml:space="preserve"> but a larger increase.</w:t>
      </w:r>
    </w:p>
    <w:p w:rsidR="00854221" w:rsidRPr="00D80E11" w:rsidRDefault="00854221" w:rsidP="00854221">
      <w:pPr>
        <w:pStyle w:val="BulletPoint"/>
        <w:numPr>
          <w:numberingChange w:id="91" w:author="USER" w:date="2009-10-24T23:18:00Z" w:original=""/>
        </w:numPr>
      </w:pPr>
      <w:r w:rsidRPr="00D80E11">
        <w:t xml:space="preserve">Introduce a structure of fixed and variable track access charges; punishing short distance rail traffic. </w:t>
      </w:r>
      <w:r>
        <w:t xml:space="preserve"> </w:t>
      </w:r>
      <w:r w:rsidRPr="00D80E11">
        <w:t xml:space="preserve">This is approximated using distance bands, with doubled access charges for the shortest </w:t>
      </w:r>
      <w:r w:rsidRPr="00D80E11">
        <w:lastRenderedPageBreak/>
        <w:t>distance band, tapering down to current charges at the longest distance.</w:t>
      </w:r>
      <w:r>
        <w:t xml:space="preserve"> </w:t>
      </w:r>
      <w:r w:rsidRPr="00D80E11">
        <w:t xml:space="preserve"> The justification for this scenario is to remove some short distance rail traffic, for which rail may be not as well suited and for which there are fewer environmental benefits of mode shift</w:t>
      </w:r>
    </w:p>
    <w:p w:rsidR="00854221" w:rsidRPr="00D80E11" w:rsidRDefault="00854221" w:rsidP="00854221">
      <w:pPr>
        <w:pStyle w:val="BulletPoint"/>
        <w:numPr>
          <w:numberingChange w:id="92" w:author="USER" w:date="2009-10-24T23:18:00Z" w:original=""/>
        </w:numPr>
      </w:pPr>
      <w:r w:rsidRPr="00D80E11">
        <w:t xml:space="preserve">A fixed and variable access charge stimulating long distance traffic. </w:t>
      </w:r>
      <w:r>
        <w:t xml:space="preserve"> </w:t>
      </w:r>
      <w:r w:rsidRPr="00D80E11">
        <w:t xml:space="preserve">This is approximated by using differential charges over distance bands, with double access charges for the shortest distance, tapering down to ½ current charges at the longest distance. </w:t>
      </w:r>
      <w:r>
        <w:t xml:space="preserve"> </w:t>
      </w:r>
      <w:r w:rsidRPr="00D80E11">
        <w:t>The justification here would be to stimulate a switch to rail from road only from that traffic for which rail is most suitable, namely long distance traffic, which will have a good environmental benefit and which is approximately revenue neutral.</w:t>
      </w:r>
    </w:p>
    <w:p w:rsidR="00854221" w:rsidRPr="00D80E11" w:rsidRDefault="00854221" w:rsidP="00854221">
      <w:pPr>
        <w:rPr>
          <w:rFonts w:cs="Arial"/>
        </w:rPr>
      </w:pPr>
    </w:p>
    <w:p w:rsidR="00854221" w:rsidRPr="00D80E11" w:rsidRDefault="000A1DB3" w:rsidP="00854221">
      <w:r>
        <w:t xml:space="preserve">Table 16 </w:t>
      </w:r>
      <w:r w:rsidR="00854221" w:rsidRPr="00D80E11">
        <w:t xml:space="preserve">and </w:t>
      </w:r>
      <w:r>
        <w:t>Table 17</w:t>
      </w:r>
      <w:r w:rsidR="00854221">
        <w:t xml:space="preserve"> </w:t>
      </w:r>
      <w:r w:rsidR="00854221" w:rsidRPr="00D80E11">
        <w:t xml:space="preserve">report the results for the 6 different scenarios compared to the 2010 Do Nothing.  It can be seen that, in </w:t>
      </w:r>
      <w:r w:rsidR="00854221" w:rsidRPr="00D80E11">
        <w:rPr>
          <w:b/>
        </w:rPr>
        <w:t xml:space="preserve">Scenario 1 (Zero Access Charges) </w:t>
      </w:r>
      <w:r w:rsidR="00854221" w:rsidRPr="00D80E11">
        <w:t xml:space="preserve">Rail tonnes increase by 8.17 million (5.69%) and </w:t>
      </w:r>
      <w:proofErr w:type="spellStart"/>
      <w:r w:rsidR="00854221" w:rsidRPr="00D80E11">
        <w:t>tkm</w:t>
      </w:r>
      <w:proofErr w:type="spellEnd"/>
      <w:r w:rsidR="00854221" w:rsidRPr="00D80E11">
        <w:t xml:space="preserve"> increase by 2.13 billion (9.24%).  Nearly half of the overall increased rail traffic is accounted for by an increase of 0.99 billion </w:t>
      </w:r>
      <w:proofErr w:type="spellStart"/>
      <w:r w:rsidR="00854221" w:rsidRPr="00D80E11">
        <w:t>tkm</w:t>
      </w:r>
      <w:proofErr w:type="spellEnd"/>
      <w:r w:rsidR="00854221" w:rsidRPr="00D80E11">
        <w:t xml:space="preserve"> in Ores &amp; Metals. There is also a significant increase of 0.57 billion </w:t>
      </w:r>
      <w:proofErr w:type="spellStart"/>
      <w:r w:rsidR="00854221" w:rsidRPr="00D80E11">
        <w:t>tkm</w:t>
      </w:r>
      <w:proofErr w:type="spellEnd"/>
      <w:r w:rsidR="00854221" w:rsidRPr="00D80E11">
        <w:t xml:space="preserve"> in </w:t>
      </w:r>
      <w:proofErr w:type="gramStart"/>
      <w:r w:rsidR="00854221" w:rsidRPr="00D80E11">
        <w:t>Others</w:t>
      </w:r>
      <w:proofErr w:type="gramEnd"/>
      <w:r w:rsidR="00854221" w:rsidRPr="00D80E11">
        <w:t xml:space="preserve">.  The largest increases in rail’s share of </w:t>
      </w:r>
      <w:proofErr w:type="spellStart"/>
      <w:r w:rsidR="00854221" w:rsidRPr="00D80E11">
        <w:t>tkm</w:t>
      </w:r>
      <w:proofErr w:type="spellEnd"/>
      <w:r w:rsidR="00854221" w:rsidRPr="00D80E11">
        <w:t xml:space="preserve"> are found in Chemicals (by 31.75%), Ores &amp; Metals (by 21.6%) and </w:t>
      </w:r>
      <w:proofErr w:type="gramStart"/>
      <w:r w:rsidR="00854221" w:rsidRPr="00D80E11">
        <w:t>Others</w:t>
      </w:r>
      <w:proofErr w:type="gramEnd"/>
      <w:r w:rsidR="00854221" w:rsidRPr="00D80E11">
        <w:t xml:space="preserve"> (12.08%).  The smallest absolute increases are in rail</w:t>
      </w:r>
      <w:r w:rsidR="00667D40">
        <w:t>’</w:t>
      </w:r>
      <w:r w:rsidR="00854221" w:rsidRPr="00D80E11">
        <w:t xml:space="preserve">s Food, Drink &amp; Agriculture and </w:t>
      </w:r>
      <w:proofErr w:type="gramStart"/>
      <w:r w:rsidR="00854221" w:rsidRPr="00D80E11">
        <w:t xml:space="preserve">Petroleum  </w:t>
      </w:r>
      <w:proofErr w:type="spellStart"/>
      <w:r w:rsidR="00854221" w:rsidRPr="00D80E11">
        <w:t>tkm</w:t>
      </w:r>
      <w:proofErr w:type="spellEnd"/>
      <w:proofErr w:type="gramEnd"/>
      <w:r w:rsidR="00854221" w:rsidRPr="00D80E11">
        <w:t xml:space="preserve"> traffic. </w:t>
      </w:r>
      <w:r w:rsidR="00854221">
        <w:t xml:space="preserve"> </w:t>
      </w:r>
      <w:r w:rsidR="00854221" w:rsidRPr="00D80E11">
        <w:t xml:space="preserve">The smallest increases are in rail’s share of </w:t>
      </w:r>
      <w:proofErr w:type="spellStart"/>
      <w:r w:rsidR="00854221" w:rsidRPr="00D80E11">
        <w:t>tkm</w:t>
      </w:r>
      <w:proofErr w:type="spellEnd"/>
      <w:r w:rsidR="00854221" w:rsidRPr="00D80E11">
        <w:t xml:space="preserve"> of Food, Drink &amp; Agriculture, Petroleum and Coal &amp; Coke. </w:t>
      </w:r>
    </w:p>
    <w:p w:rsidR="00854221" w:rsidRPr="00D80E11" w:rsidRDefault="00854221" w:rsidP="00854221">
      <w:pPr>
        <w:rPr>
          <w:b/>
        </w:rPr>
      </w:pPr>
    </w:p>
    <w:p w:rsidR="00854221" w:rsidRPr="00D80E11" w:rsidRDefault="00854221" w:rsidP="00854221">
      <w:r w:rsidRPr="00D80E11">
        <w:t xml:space="preserve">In </w:t>
      </w:r>
      <w:r w:rsidRPr="00D80E11">
        <w:rPr>
          <w:b/>
        </w:rPr>
        <w:t xml:space="preserve">Scenario 2 (Halved Access Charges) </w:t>
      </w:r>
      <w:r w:rsidRPr="00D80E11">
        <w:t xml:space="preserve">Rail tonnes increase by 3.95 million (2.75%) and </w:t>
      </w:r>
      <w:proofErr w:type="spellStart"/>
      <w:r w:rsidRPr="00D80E11">
        <w:t>tkm</w:t>
      </w:r>
      <w:proofErr w:type="spellEnd"/>
      <w:r w:rsidRPr="00D80E11">
        <w:t xml:space="preserve"> by 1.02billion (4.43%).</w:t>
      </w:r>
      <w:r>
        <w:t xml:space="preserve"> </w:t>
      </w:r>
      <w:r w:rsidRPr="00D80E11">
        <w:t xml:space="preserve"> The magnitude of the effect of this scenario is approximately a half that of scenario 1, which is as expected.  The increase of 0.48 billion </w:t>
      </w:r>
      <w:proofErr w:type="spellStart"/>
      <w:r w:rsidRPr="00D80E11">
        <w:t>tkm</w:t>
      </w:r>
      <w:proofErr w:type="spellEnd"/>
      <w:r w:rsidRPr="00D80E11">
        <w:t xml:space="preserve"> in Ores &amp; Metals accounts for nearly half of the overall increased rail traffic. There is also a significant increase in </w:t>
      </w:r>
      <w:proofErr w:type="gramStart"/>
      <w:r w:rsidRPr="00D80E11">
        <w:t>Others</w:t>
      </w:r>
      <w:proofErr w:type="gramEnd"/>
      <w:r w:rsidRPr="00D80E11">
        <w:t xml:space="preserve"> and Construction traffic.  The largest increases in rail’s share of </w:t>
      </w:r>
      <w:proofErr w:type="spellStart"/>
      <w:r w:rsidRPr="00D80E11">
        <w:t>tkm</w:t>
      </w:r>
      <w:proofErr w:type="spellEnd"/>
      <w:r w:rsidRPr="00D80E11">
        <w:t xml:space="preserve"> are found in Chemicals (by 15.36%), Ores &amp; Metals (by 10.60%) and </w:t>
      </w:r>
      <w:proofErr w:type="gramStart"/>
      <w:r w:rsidRPr="00D80E11">
        <w:t>Others</w:t>
      </w:r>
      <w:proofErr w:type="gramEnd"/>
      <w:r w:rsidRPr="00D80E11">
        <w:t xml:space="preserve"> (5.85%).  The smallest absolute increases are in rails’ Food, Drink &amp; </w:t>
      </w:r>
      <w:proofErr w:type="gramStart"/>
      <w:r w:rsidRPr="00D80E11">
        <w:t>Agriculture ,</w:t>
      </w:r>
      <w:proofErr w:type="gramEnd"/>
      <w:r w:rsidRPr="00D80E11">
        <w:t xml:space="preserve"> Petroleum, Coal &amp; Coke and Chemicals </w:t>
      </w:r>
      <w:proofErr w:type="spellStart"/>
      <w:r w:rsidRPr="00D80E11">
        <w:t>tkm</w:t>
      </w:r>
      <w:proofErr w:type="spellEnd"/>
      <w:r w:rsidRPr="00D80E11">
        <w:t xml:space="preserve"> traffic.  The smallest increases are in rail’s </w:t>
      </w:r>
      <w:proofErr w:type="spellStart"/>
      <w:r w:rsidRPr="00D80E11">
        <w:t>tkm</w:t>
      </w:r>
      <w:proofErr w:type="spellEnd"/>
      <w:r w:rsidRPr="00D80E11">
        <w:t xml:space="preserve"> share of Food, Drink &amp; Agriculture, Petroleum and Coal &amp; Coke. </w:t>
      </w:r>
    </w:p>
    <w:p w:rsidR="00854221" w:rsidRPr="00D80E11" w:rsidRDefault="00854221" w:rsidP="00854221">
      <w:pPr>
        <w:ind w:left="360"/>
      </w:pPr>
    </w:p>
    <w:p w:rsidR="00854221" w:rsidRPr="00D80E11" w:rsidRDefault="00854221" w:rsidP="00854221">
      <w:r w:rsidRPr="00D80E11">
        <w:t xml:space="preserve">In </w:t>
      </w:r>
      <w:r w:rsidRPr="00D80E11">
        <w:rPr>
          <w:b/>
        </w:rPr>
        <w:t xml:space="preserve">Scenario 3 (Doubled Access Charges), </w:t>
      </w:r>
      <w:r w:rsidRPr="00D80E11">
        <w:t xml:space="preserve">Rail tonnes decrease by 7.16 million (4.99%) and </w:t>
      </w:r>
      <w:proofErr w:type="spellStart"/>
      <w:r w:rsidRPr="00D80E11">
        <w:t>tkm</w:t>
      </w:r>
      <w:proofErr w:type="spellEnd"/>
      <w:r w:rsidRPr="00D80E11">
        <w:t xml:space="preserve"> by 1.75billion (7.59%) overall.  The drop of 0.83 billion </w:t>
      </w:r>
      <w:proofErr w:type="spellStart"/>
      <w:r w:rsidRPr="00D80E11">
        <w:t>tkm</w:t>
      </w:r>
      <w:proofErr w:type="spellEnd"/>
      <w:r w:rsidRPr="00D80E11">
        <w:t xml:space="preserve"> in Ores &amp; Metals accounts for nearly half of the overall lost rail traffic.  There is also a significant drop of 0.50 billion </w:t>
      </w:r>
      <w:proofErr w:type="spellStart"/>
      <w:r w:rsidRPr="00D80E11">
        <w:t>tkm</w:t>
      </w:r>
      <w:proofErr w:type="spellEnd"/>
      <w:r w:rsidRPr="00D80E11">
        <w:t xml:space="preserve"> in </w:t>
      </w:r>
      <w:proofErr w:type="gramStart"/>
      <w:r w:rsidRPr="00D80E11">
        <w:t>Others</w:t>
      </w:r>
      <w:proofErr w:type="gramEnd"/>
      <w:r w:rsidRPr="00D80E11">
        <w:t xml:space="preserve">.  The largest percentage reductions in rail shares of </w:t>
      </w:r>
      <w:proofErr w:type="spellStart"/>
      <w:r w:rsidRPr="00D80E11">
        <w:t>tkm</w:t>
      </w:r>
      <w:proofErr w:type="spellEnd"/>
      <w:r w:rsidRPr="00D80E11">
        <w:t xml:space="preserve"> are in Chemicals (by 27.54%), Ores &amp; Metals (by 18.17%) and </w:t>
      </w:r>
      <w:proofErr w:type="gramStart"/>
      <w:r w:rsidRPr="00D80E11">
        <w:t>Others</w:t>
      </w:r>
      <w:proofErr w:type="gramEnd"/>
      <w:r w:rsidRPr="00D80E11">
        <w:t xml:space="preserve"> (by 10.59%).  The smallest absolute falls are in rails’ Food, Drink &amp; Agriculture, Petroleum and Coal &amp; Coke </w:t>
      </w:r>
      <w:proofErr w:type="spellStart"/>
      <w:r w:rsidRPr="00D80E11">
        <w:t>tkm</w:t>
      </w:r>
      <w:proofErr w:type="spellEnd"/>
      <w:r w:rsidRPr="00D80E11">
        <w:t xml:space="preserve">.  The smallest effects on rail’s share of </w:t>
      </w:r>
      <w:proofErr w:type="spellStart"/>
      <w:r w:rsidRPr="00D80E11">
        <w:t>tkm</w:t>
      </w:r>
      <w:proofErr w:type="spellEnd"/>
      <w:r w:rsidRPr="00D80E11">
        <w:t xml:space="preserve"> are in Food, Drink &amp; Agriculture, Petroleum and Coal &amp; Coke. </w:t>
      </w:r>
    </w:p>
    <w:p w:rsidR="00854221" w:rsidRPr="00D80E11" w:rsidRDefault="00854221" w:rsidP="00854221">
      <w:pPr>
        <w:spacing w:line="276" w:lineRule="auto"/>
        <w:ind w:left="360"/>
      </w:pPr>
    </w:p>
    <w:p w:rsidR="00854221" w:rsidRPr="00D80E11" w:rsidRDefault="00854221" w:rsidP="00854221">
      <w:r w:rsidRPr="00D80E11">
        <w:rPr>
          <w:b/>
        </w:rPr>
        <w:t>In Scenario 4 (Quadrupled Access Charges),</w:t>
      </w:r>
      <w:r w:rsidRPr="00D80E11">
        <w:t xml:space="preserve"> Rail tonnes decrease by 17.97 million (12.51%) and </w:t>
      </w:r>
      <w:proofErr w:type="spellStart"/>
      <w:r w:rsidRPr="00D80E11">
        <w:t>tkm</w:t>
      </w:r>
      <w:proofErr w:type="spellEnd"/>
      <w:r w:rsidRPr="00D80E11">
        <w:t xml:space="preserve"> by 4.29 (18.62%) overall. The drop of 1.88 billion </w:t>
      </w:r>
      <w:proofErr w:type="spellStart"/>
      <w:r w:rsidRPr="00D80E11">
        <w:t>tkm</w:t>
      </w:r>
      <w:proofErr w:type="spellEnd"/>
      <w:r w:rsidRPr="00D80E11">
        <w:t xml:space="preserve"> in Ores &amp; Metals accounts for over one third of the overall lost rail traffic. There is also a significant drop of 1.33 billion </w:t>
      </w:r>
      <w:proofErr w:type="spellStart"/>
      <w:r w:rsidRPr="00D80E11">
        <w:t>tkm</w:t>
      </w:r>
      <w:proofErr w:type="spellEnd"/>
      <w:r w:rsidRPr="00D80E11">
        <w:t xml:space="preserve"> in </w:t>
      </w:r>
      <w:proofErr w:type="gramStart"/>
      <w:r w:rsidRPr="00D80E11">
        <w:t>Others</w:t>
      </w:r>
      <w:proofErr w:type="gramEnd"/>
      <w:r w:rsidRPr="00D80E11">
        <w:t xml:space="preserve"> and 0.38 billion </w:t>
      </w:r>
      <w:proofErr w:type="spellStart"/>
      <w:r w:rsidRPr="00D80E11">
        <w:t>tkm</w:t>
      </w:r>
      <w:proofErr w:type="spellEnd"/>
      <w:r w:rsidRPr="00D80E11">
        <w:t xml:space="preserve"> in Construction. The largest reductions in rail’s share of </w:t>
      </w:r>
      <w:proofErr w:type="spellStart"/>
      <w:r w:rsidRPr="00D80E11">
        <w:t>tkm</w:t>
      </w:r>
      <w:proofErr w:type="spellEnd"/>
      <w:r w:rsidRPr="00D80E11">
        <w:t xml:space="preserve"> are in Chemicals (67.27%), Ores &amp; Metals (41.12%) and </w:t>
      </w:r>
      <w:proofErr w:type="gramStart"/>
      <w:r w:rsidRPr="00D80E11">
        <w:t>Others</w:t>
      </w:r>
      <w:proofErr w:type="gramEnd"/>
      <w:r w:rsidRPr="00D80E11">
        <w:t xml:space="preserve"> (28.3%).  The smallest absolute falls in rails’ Food, Drink &amp; Agriculture </w:t>
      </w:r>
      <w:proofErr w:type="gramStart"/>
      <w:r w:rsidRPr="00D80E11">
        <w:t>and  Petroleum</w:t>
      </w:r>
      <w:proofErr w:type="gramEnd"/>
      <w:r w:rsidRPr="00D80E11">
        <w:t xml:space="preserve">  </w:t>
      </w:r>
      <w:proofErr w:type="spellStart"/>
      <w:r w:rsidRPr="00D80E11">
        <w:t>tkm</w:t>
      </w:r>
      <w:proofErr w:type="spellEnd"/>
      <w:r w:rsidRPr="00D80E11">
        <w:t xml:space="preserve"> traffic.  The smallest effects on rail’s share of </w:t>
      </w:r>
      <w:proofErr w:type="spellStart"/>
      <w:r w:rsidRPr="00D80E11">
        <w:t>tkm</w:t>
      </w:r>
      <w:proofErr w:type="spellEnd"/>
      <w:r w:rsidRPr="00D80E11">
        <w:t xml:space="preserve"> are in Food, Drink &amp; Agriculture, Petroleum and Coal &amp; Coke. </w:t>
      </w:r>
    </w:p>
    <w:p w:rsidR="00854221" w:rsidRPr="00D80E11" w:rsidRDefault="00854221" w:rsidP="00854221">
      <w:pPr>
        <w:spacing w:line="276" w:lineRule="auto"/>
        <w:ind w:left="360"/>
      </w:pPr>
    </w:p>
    <w:p w:rsidR="00854221" w:rsidRPr="00D80E11" w:rsidRDefault="00854221" w:rsidP="00854221">
      <w:r w:rsidRPr="00D80E11">
        <w:t xml:space="preserve">In </w:t>
      </w:r>
      <w:r w:rsidRPr="00D80E11">
        <w:rPr>
          <w:b/>
        </w:rPr>
        <w:t xml:space="preserve">Scenario 5 (Higher Short Distance Access Charges) </w:t>
      </w:r>
      <w:r w:rsidRPr="00D80E11">
        <w:t xml:space="preserve">rail tonnes decrease by 4.28 million (2.98%), and </w:t>
      </w:r>
      <w:proofErr w:type="spellStart"/>
      <w:r w:rsidRPr="00D80E11">
        <w:t>tkm</w:t>
      </w:r>
      <w:proofErr w:type="spellEnd"/>
      <w:r w:rsidRPr="00D80E11">
        <w:t xml:space="preserve"> by 0.82 billion (3.54%). </w:t>
      </w:r>
      <w:r>
        <w:t xml:space="preserve"> </w:t>
      </w:r>
      <w:r w:rsidRPr="00D80E11">
        <w:t xml:space="preserve">Compared to scenario 3, tonnes fall by proportionally more than </w:t>
      </w:r>
      <w:proofErr w:type="spellStart"/>
      <w:r w:rsidRPr="00D80E11">
        <w:t>tkm</w:t>
      </w:r>
      <w:proofErr w:type="spellEnd"/>
      <w:r w:rsidRPr="00D80E11">
        <w:t xml:space="preserve"> highlighting that the reduction in rail traffic is more concentrated in the shorter distances than in scenario 3.   In absolute terms, the drop of 0.43 billion </w:t>
      </w:r>
      <w:proofErr w:type="spellStart"/>
      <w:r w:rsidRPr="00D80E11">
        <w:t>tkm</w:t>
      </w:r>
      <w:proofErr w:type="spellEnd"/>
      <w:r w:rsidRPr="00D80E11">
        <w:t xml:space="preserve"> in Ores &amp; Metals accounts for more than half of the overall lost rail traffic.  There is also a significant drop of 0.18 billion </w:t>
      </w:r>
      <w:proofErr w:type="spellStart"/>
      <w:r w:rsidRPr="00D80E11">
        <w:t>tkm</w:t>
      </w:r>
      <w:proofErr w:type="spellEnd"/>
      <w:r w:rsidRPr="00D80E11">
        <w:t xml:space="preserve"> in </w:t>
      </w:r>
      <w:proofErr w:type="gramStart"/>
      <w:r w:rsidRPr="00D80E11">
        <w:t>Others</w:t>
      </w:r>
      <w:proofErr w:type="gramEnd"/>
      <w:r w:rsidRPr="00D80E11">
        <w:t xml:space="preserve">. </w:t>
      </w:r>
      <w:r>
        <w:t xml:space="preserve"> </w:t>
      </w:r>
      <w:r w:rsidRPr="00D80E11">
        <w:t xml:space="preserve">The largest decreases in rail shares of </w:t>
      </w:r>
      <w:proofErr w:type="spellStart"/>
      <w:r w:rsidRPr="00D80E11">
        <w:t>tkm</w:t>
      </w:r>
      <w:proofErr w:type="spellEnd"/>
      <w:r w:rsidRPr="00D80E11">
        <w:t xml:space="preserve"> are in Chemicals (by 12.85%), Ores &amp; Metals (by 9.41%) and </w:t>
      </w:r>
      <w:proofErr w:type="gramStart"/>
      <w:r w:rsidRPr="00D80E11">
        <w:t>Others</w:t>
      </w:r>
      <w:proofErr w:type="gramEnd"/>
      <w:r w:rsidRPr="00D80E11">
        <w:t xml:space="preserve"> (by 3.88%).  </w:t>
      </w:r>
      <w:proofErr w:type="gramStart"/>
      <w:r w:rsidRPr="00D80E11">
        <w:t xml:space="preserve">The smallest absolute decreases in Food, Drink &amp; Agriculture, Petroleum, Coal &amp; Coke and Chemicals </w:t>
      </w:r>
      <w:proofErr w:type="spellStart"/>
      <w:r w:rsidRPr="00D80E11">
        <w:t>tkm</w:t>
      </w:r>
      <w:proofErr w:type="spellEnd"/>
      <w:r w:rsidRPr="00D80E11">
        <w:t xml:space="preserve"> traffic.</w:t>
      </w:r>
      <w:proofErr w:type="gramEnd"/>
      <w:r w:rsidRPr="00D80E11">
        <w:t xml:space="preserve">  The smallest decreases in rail’s share of </w:t>
      </w:r>
      <w:proofErr w:type="spellStart"/>
      <w:r w:rsidRPr="00D80E11">
        <w:t>tkm</w:t>
      </w:r>
      <w:proofErr w:type="spellEnd"/>
      <w:r w:rsidRPr="00D80E11">
        <w:t xml:space="preserve"> are in Food, Drink &amp; Agriculture, Coal &amp; coke and Petroleum.</w:t>
      </w:r>
    </w:p>
    <w:p w:rsidR="00854221" w:rsidRPr="00D80E11" w:rsidRDefault="00854221" w:rsidP="00854221">
      <w:pPr>
        <w:spacing w:line="276" w:lineRule="auto"/>
        <w:ind w:left="360"/>
      </w:pPr>
    </w:p>
    <w:p w:rsidR="00854221" w:rsidRPr="00D80E11" w:rsidRDefault="00854221" w:rsidP="00854221">
      <w:r w:rsidRPr="00D80E11">
        <w:t xml:space="preserve">In </w:t>
      </w:r>
      <w:r w:rsidRPr="00D80E11">
        <w:rPr>
          <w:b/>
        </w:rPr>
        <w:t>Scenario 6 (Higher Short Distance and Lower Long Distance Access Charges)</w:t>
      </w:r>
      <w:r w:rsidRPr="00D80E11">
        <w:t xml:space="preserve">, rail tonnes decrease by 2.65 million (1.85%) and </w:t>
      </w:r>
      <w:proofErr w:type="spellStart"/>
      <w:r w:rsidRPr="00D80E11">
        <w:t>tkm</w:t>
      </w:r>
      <w:proofErr w:type="spellEnd"/>
      <w:r w:rsidRPr="00D80E11">
        <w:t xml:space="preserve"> decrease by 0.27 billion (1.16%), highlighting that much of the reduction in traffic is over the short distances. Interestingly there is little increase in Food, Drink &amp; Agriculture </w:t>
      </w:r>
      <w:proofErr w:type="spellStart"/>
      <w:r w:rsidRPr="00D80E11">
        <w:t>tkm</w:t>
      </w:r>
      <w:proofErr w:type="spellEnd"/>
      <w:r w:rsidRPr="00D80E11">
        <w:t xml:space="preserve"> (0.06%) but decreases in all other commodities – very little of rail’s traffic in this commodity is in the shorter distances.  The largest absolute falls are found in Ores &amp; </w:t>
      </w:r>
      <w:proofErr w:type="gramStart"/>
      <w:r w:rsidRPr="00D80E11">
        <w:t>Metals  and</w:t>
      </w:r>
      <w:proofErr w:type="gramEnd"/>
      <w:r w:rsidRPr="00D80E11">
        <w:t xml:space="preserve"> Construction.  The largest decreases in rail share of </w:t>
      </w:r>
      <w:proofErr w:type="spellStart"/>
      <w:r w:rsidRPr="00D80E11">
        <w:t>tkm</w:t>
      </w:r>
      <w:proofErr w:type="spellEnd"/>
      <w:r w:rsidRPr="00D80E11">
        <w:t xml:space="preserve"> are in Chemicals (by 5.15%), Ores &amp; Metals </w:t>
      </w:r>
      <w:r w:rsidRPr="00D80E11">
        <w:lastRenderedPageBreak/>
        <w:t xml:space="preserve">(by 4.02%) and Construction (by 1.04%).  The smallest reductions in rail’s market share of </w:t>
      </w:r>
      <w:proofErr w:type="spellStart"/>
      <w:r w:rsidRPr="00D80E11">
        <w:t>tkm</w:t>
      </w:r>
      <w:proofErr w:type="spellEnd"/>
      <w:r w:rsidRPr="00D80E11">
        <w:t xml:space="preserve"> are found in Coal &amp; Coke, Others and Petroleum.</w:t>
      </w:r>
    </w:p>
    <w:p w:rsidR="00854221" w:rsidRPr="00D80E11" w:rsidRDefault="00854221" w:rsidP="00854221"/>
    <w:p w:rsidR="00854221" w:rsidRPr="00D80E11" w:rsidRDefault="00854221" w:rsidP="00854221">
      <w:pPr>
        <w:sectPr w:rsidR="00854221" w:rsidRPr="00D80E11" w:rsidSect="008E40C1">
          <w:pgSz w:w="11907" w:h="16840"/>
          <w:pgMar w:top="1134" w:right="1418" w:bottom="1418" w:left="1418" w:header="567" w:footer="851" w:gutter="0"/>
          <w:cols w:space="720"/>
        </w:sectPr>
      </w:pPr>
    </w:p>
    <w:tbl>
      <w:tblPr>
        <w:tblW w:w="13419" w:type="dxa"/>
        <w:tblInd w:w="93" w:type="dxa"/>
        <w:tblLook w:val="04A0"/>
      </w:tblPr>
      <w:tblGrid>
        <w:gridCol w:w="2425"/>
        <w:gridCol w:w="2194"/>
        <w:gridCol w:w="272"/>
        <w:gridCol w:w="1060"/>
        <w:gridCol w:w="875"/>
        <w:gridCol w:w="1128"/>
        <w:gridCol w:w="980"/>
        <w:gridCol w:w="1339"/>
        <w:gridCol w:w="1150"/>
        <w:gridCol w:w="980"/>
        <w:gridCol w:w="1016"/>
      </w:tblGrid>
      <w:tr w:rsidR="00854221" w:rsidRPr="00D80E11" w:rsidTr="00854221">
        <w:trPr>
          <w:trHeight w:val="330"/>
        </w:trPr>
        <w:tc>
          <w:tcPr>
            <w:tcW w:w="13419" w:type="dxa"/>
            <w:gridSpan w:val="11"/>
            <w:tcBorders>
              <w:bottom w:val="single" w:sz="4" w:space="0" w:color="auto"/>
            </w:tcBorders>
            <w:noWrap/>
            <w:vAlign w:val="bottom"/>
          </w:tcPr>
          <w:p w:rsidR="00854221" w:rsidRPr="00D85B54" w:rsidRDefault="00854221" w:rsidP="000A1DB3">
            <w:pPr>
              <w:pStyle w:val="Caption"/>
              <w:rPr>
                <w:rFonts w:cs="Arial"/>
                <w:lang w:eastAsia="en-GB"/>
              </w:rPr>
            </w:pPr>
            <w:bookmarkStart w:id="93" w:name="_Ref204160336"/>
            <w:bookmarkStart w:id="94" w:name="_Toc207524659"/>
            <w:r w:rsidRPr="00D85B54">
              <w:rPr>
                <w:rFonts w:cs="Arial"/>
              </w:rPr>
              <w:lastRenderedPageBreak/>
              <w:t xml:space="preserve">Table </w:t>
            </w:r>
            <w:bookmarkEnd w:id="93"/>
            <w:r w:rsidR="000A1DB3">
              <w:rPr>
                <w:rFonts w:cs="Arial"/>
              </w:rPr>
              <w:t>16:</w:t>
            </w:r>
            <w:r w:rsidRPr="00D85B54">
              <w:rPr>
                <w:rFonts w:cs="Arial"/>
                <w:lang w:eastAsia="en-GB"/>
              </w:rPr>
              <w:t xml:space="preserve">  Tonnes Lifted by Commodity for Different Scenarios in 2010</w:t>
            </w:r>
            <w:bookmarkEnd w:id="94"/>
            <w:r w:rsidRPr="00D85B54">
              <w:rPr>
                <w:rFonts w:cs="Arial"/>
                <w:lang w:eastAsia="en-GB"/>
              </w:rPr>
              <w:t xml:space="preserve"> </w:t>
            </w:r>
          </w:p>
        </w:tc>
      </w:tr>
      <w:tr w:rsidR="00854221" w:rsidRPr="00326929" w:rsidTr="00854221">
        <w:trPr>
          <w:trHeight w:val="330"/>
        </w:trPr>
        <w:tc>
          <w:tcPr>
            <w:tcW w:w="2425" w:type="dxa"/>
            <w:vMerge w:val="restart"/>
            <w:tcBorders>
              <w:top w:val="single" w:sz="4" w:space="0" w:color="auto"/>
              <w:left w:val="single" w:sz="4" w:space="0" w:color="auto"/>
              <w:right w:val="single" w:sz="8" w:space="0" w:color="auto"/>
            </w:tcBorders>
            <w:shd w:val="clear" w:color="auto" w:fill="E6E6E6"/>
            <w:noWrap/>
            <w:vAlign w:val="center"/>
          </w:tcPr>
          <w:p w:rsidR="00854221" w:rsidRPr="00326929" w:rsidRDefault="00854221" w:rsidP="00854221">
            <w:pPr>
              <w:pStyle w:val="BodyTextHeader"/>
            </w:pPr>
            <w:r w:rsidRPr="00326929">
              <w:t>Scenario</w:t>
            </w:r>
          </w:p>
        </w:tc>
        <w:tc>
          <w:tcPr>
            <w:tcW w:w="2466" w:type="dxa"/>
            <w:gridSpan w:val="2"/>
            <w:vMerge w:val="restart"/>
            <w:tcBorders>
              <w:top w:val="single" w:sz="4" w:space="0" w:color="auto"/>
              <w:left w:val="single" w:sz="8" w:space="0" w:color="auto"/>
              <w:right w:val="single" w:sz="8" w:space="0" w:color="auto"/>
            </w:tcBorders>
            <w:shd w:val="clear" w:color="auto" w:fill="E6E6E6"/>
            <w:vAlign w:val="center"/>
          </w:tcPr>
          <w:p w:rsidR="00854221" w:rsidRPr="00326929" w:rsidRDefault="00854221" w:rsidP="00854221">
            <w:pPr>
              <w:pStyle w:val="BodyTextHeader"/>
            </w:pPr>
            <w:r w:rsidRPr="00326929">
              <w:t>Mode</w:t>
            </w:r>
          </w:p>
        </w:tc>
        <w:tc>
          <w:tcPr>
            <w:tcW w:w="8528" w:type="dxa"/>
            <w:gridSpan w:val="8"/>
            <w:tcBorders>
              <w:top w:val="single" w:sz="4" w:space="0" w:color="auto"/>
              <w:left w:val="single" w:sz="8" w:space="0" w:color="auto"/>
              <w:bottom w:val="single" w:sz="4" w:space="0" w:color="auto"/>
              <w:right w:val="single" w:sz="4" w:space="0" w:color="auto"/>
            </w:tcBorders>
            <w:shd w:val="clear" w:color="auto" w:fill="E6E6E6"/>
            <w:vAlign w:val="bottom"/>
          </w:tcPr>
          <w:p w:rsidR="0061207C" w:rsidRDefault="00854221" w:rsidP="00854221">
            <w:pPr>
              <w:pStyle w:val="BodyTextHeader"/>
            </w:pPr>
            <w:r w:rsidRPr="00326929">
              <w:t>Tonnes lifted [</w:t>
            </w:r>
          </w:p>
          <w:p w:rsidR="00854221" w:rsidRPr="00326929" w:rsidRDefault="00854221" w:rsidP="00854221">
            <w:pPr>
              <w:pStyle w:val="BodyTextHeader"/>
            </w:pPr>
            <w:r w:rsidRPr="00326929">
              <w:t>millions]</w:t>
            </w:r>
          </w:p>
        </w:tc>
      </w:tr>
      <w:tr w:rsidR="00854221" w:rsidRPr="00326929" w:rsidTr="00854221">
        <w:trPr>
          <w:trHeight w:val="343"/>
        </w:trPr>
        <w:tc>
          <w:tcPr>
            <w:tcW w:w="2425" w:type="dxa"/>
            <w:vMerge/>
            <w:tcBorders>
              <w:left w:val="single" w:sz="4" w:space="0" w:color="auto"/>
              <w:bottom w:val="single" w:sz="8" w:space="0" w:color="auto"/>
              <w:right w:val="single" w:sz="8" w:space="0" w:color="auto"/>
            </w:tcBorders>
            <w:shd w:val="clear" w:color="auto" w:fill="E6E6E6"/>
            <w:noWrap/>
            <w:vAlign w:val="bottom"/>
          </w:tcPr>
          <w:p w:rsidR="00854221" w:rsidRPr="00326929" w:rsidRDefault="00854221" w:rsidP="00854221">
            <w:pPr>
              <w:pStyle w:val="BodyTextHeader"/>
            </w:pPr>
          </w:p>
        </w:tc>
        <w:tc>
          <w:tcPr>
            <w:tcW w:w="2466" w:type="dxa"/>
            <w:gridSpan w:val="2"/>
            <w:vMerge/>
            <w:tcBorders>
              <w:left w:val="single" w:sz="8" w:space="0" w:color="auto"/>
              <w:bottom w:val="single" w:sz="8" w:space="0" w:color="auto"/>
              <w:right w:val="single" w:sz="8" w:space="0" w:color="auto"/>
            </w:tcBorders>
            <w:shd w:val="clear" w:color="auto" w:fill="E6E6E6"/>
            <w:noWrap/>
            <w:vAlign w:val="bottom"/>
          </w:tcPr>
          <w:p w:rsidR="00854221" w:rsidRPr="00326929" w:rsidRDefault="00854221" w:rsidP="00854221">
            <w:pPr>
              <w:pStyle w:val="BodyTextHeader"/>
            </w:pPr>
          </w:p>
        </w:tc>
        <w:tc>
          <w:tcPr>
            <w:tcW w:w="1060" w:type="dxa"/>
            <w:tcBorders>
              <w:top w:val="single" w:sz="4" w:space="0" w:color="auto"/>
              <w:left w:val="single" w:sz="8" w:space="0" w:color="auto"/>
              <w:bottom w:val="nil"/>
              <w:right w:val="single" w:sz="8" w:space="0" w:color="auto"/>
            </w:tcBorders>
            <w:shd w:val="clear" w:color="auto" w:fill="E6E6E6"/>
            <w:vAlign w:val="bottom"/>
          </w:tcPr>
          <w:p w:rsidR="00854221" w:rsidRPr="00326929" w:rsidRDefault="00854221" w:rsidP="00854221">
            <w:pPr>
              <w:pStyle w:val="BodyTextHeader"/>
              <w:spacing w:before="0" w:after="0"/>
            </w:pPr>
            <w:r w:rsidRPr="00326929">
              <w:t>Food, Drink, Ag</w:t>
            </w:r>
          </w:p>
        </w:tc>
        <w:tc>
          <w:tcPr>
            <w:tcW w:w="875" w:type="dxa"/>
            <w:tcBorders>
              <w:top w:val="single" w:sz="4" w:space="0" w:color="auto"/>
              <w:left w:val="single" w:sz="8" w:space="0" w:color="auto"/>
              <w:bottom w:val="nil"/>
              <w:right w:val="single" w:sz="8" w:space="0" w:color="auto"/>
            </w:tcBorders>
            <w:shd w:val="clear" w:color="auto" w:fill="E6E6E6"/>
            <w:vAlign w:val="bottom"/>
          </w:tcPr>
          <w:p w:rsidR="00854221" w:rsidRPr="00326929" w:rsidRDefault="00854221" w:rsidP="00854221">
            <w:pPr>
              <w:pStyle w:val="BodyTextHeader"/>
              <w:spacing w:before="0" w:after="0"/>
            </w:pPr>
            <w:r w:rsidRPr="00326929">
              <w:t>Coal &amp; Coke</w:t>
            </w:r>
          </w:p>
        </w:tc>
        <w:tc>
          <w:tcPr>
            <w:tcW w:w="1128" w:type="dxa"/>
            <w:tcBorders>
              <w:top w:val="single" w:sz="4" w:space="0" w:color="auto"/>
              <w:left w:val="single" w:sz="8" w:space="0" w:color="auto"/>
              <w:bottom w:val="nil"/>
              <w:right w:val="single" w:sz="8" w:space="0" w:color="auto"/>
            </w:tcBorders>
            <w:shd w:val="clear" w:color="auto" w:fill="E6E6E6"/>
            <w:vAlign w:val="bottom"/>
          </w:tcPr>
          <w:p w:rsidR="00854221" w:rsidRPr="00326929" w:rsidRDefault="00854221" w:rsidP="00854221">
            <w:pPr>
              <w:pStyle w:val="BodyTextHeader"/>
              <w:spacing w:before="0" w:after="0"/>
            </w:pPr>
            <w:r w:rsidRPr="00326929">
              <w:t>Petroleum</w:t>
            </w:r>
          </w:p>
        </w:tc>
        <w:tc>
          <w:tcPr>
            <w:tcW w:w="980" w:type="dxa"/>
            <w:tcBorders>
              <w:top w:val="single" w:sz="4" w:space="0" w:color="auto"/>
              <w:left w:val="single" w:sz="8" w:space="0" w:color="auto"/>
              <w:bottom w:val="nil"/>
              <w:right w:val="single" w:sz="8" w:space="0" w:color="auto"/>
            </w:tcBorders>
            <w:shd w:val="clear" w:color="auto" w:fill="E6E6E6"/>
            <w:vAlign w:val="bottom"/>
          </w:tcPr>
          <w:p w:rsidR="00854221" w:rsidRPr="00326929" w:rsidRDefault="00854221" w:rsidP="00854221">
            <w:pPr>
              <w:pStyle w:val="BodyTextHeader"/>
              <w:spacing w:before="0" w:after="0"/>
            </w:pPr>
            <w:r w:rsidRPr="00326929">
              <w:t>Ores &amp; Metals</w:t>
            </w:r>
          </w:p>
        </w:tc>
        <w:tc>
          <w:tcPr>
            <w:tcW w:w="1339" w:type="dxa"/>
            <w:tcBorders>
              <w:top w:val="single" w:sz="4" w:space="0" w:color="auto"/>
              <w:left w:val="single" w:sz="8" w:space="0" w:color="auto"/>
              <w:bottom w:val="nil"/>
              <w:right w:val="single" w:sz="8" w:space="0" w:color="auto"/>
            </w:tcBorders>
            <w:shd w:val="clear" w:color="auto" w:fill="E6E6E6"/>
            <w:vAlign w:val="bottom"/>
          </w:tcPr>
          <w:p w:rsidR="00854221" w:rsidRPr="00326929" w:rsidRDefault="00854221" w:rsidP="00854221">
            <w:pPr>
              <w:pStyle w:val="BodyTextHeader"/>
              <w:spacing w:before="0" w:after="0"/>
            </w:pPr>
            <w:r w:rsidRPr="00326929">
              <w:t>Construction</w:t>
            </w:r>
          </w:p>
        </w:tc>
        <w:tc>
          <w:tcPr>
            <w:tcW w:w="1150" w:type="dxa"/>
            <w:tcBorders>
              <w:top w:val="single" w:sz="4" w:space="0" w:color="auto"/>
              <w:left w:val="single" w:sz="8" w:space="0" w:color="auto"/>
              <w:bottom w:val="nil"/>
              <w:right w:val="single" w:sz="8" w:space="0" w:color="auto"/>
            </w:tcBorders>
            <w:shd w:val="clear" w:color="auto" w:fill="E6E6E6"/>
            <w:vAlign w:val="bottom"/>
          </w:tcPr>
          <w:p w:rsidR="00854221" w:rsidRPr="00326929" w:rsidRDefault="00854221" w:rsidP="00854221">
            <w:pPr>
              <w:pStyle w:val="BodyTextHeader"/>
              <w:spacing w:before="0" w:after="0"/>
            </w:pPr>
            <w:r w:rsidRPr="00326929">
              <w:t>Chemicals</w:t>
            </w:r>
          </w:p>
        </w:tc>
        <w:tc>
          <w:tcPr>
            <w:tcW w:w="980" w:type="dxa"/>
            <w:tcBorders>
              <w:top w:val="single" w:sz="4" w:space="0" w:color="auto"/>
              <w:left w:val="single" w:sz="8" w:space="0" w:color="auto"/>
              <w:bottom w:val="nil"/>
              <w:right w:val="single" w:sz="8" w:space="0" w:color="auto"/>
            </w:tcBorders>
            <w:shd w:val="clear" w:color="auto" w:fill="E6E6E6"/>
            <w:vAlign w:val="bottom"/>
          </w:tcPr>
          <w:p w:rsidR="00854221" w:rsidRPr="00326929" w:rsidRDefault="00854221" w:rsidP="00854221">
            <w:pPr>
              <w:pStyle w:val="BodyTextHeader"/>
              <w:spacing w:before="0" w:after="0"/>
            </w:pPr>
            <w:r w:rsidRPr="00326929">
              <w:t>Others</w:t>
            </w:r>
          </w:p>
        </w:tc>
        <w:tc>
          <w:tcPr>
            <w:tcW w:w="1016" w:type="dxa"/>
            <w:tcBorders>
              <w:top w:val="single" w:sz="4" w:space="0" w:color="auto"/>
              <w:left w:val="single" w:sz="8" w:space="0" w:color="auto"/>
              <w:bottom w:val="nil"/>
              <w:right w:val="single" w:sz="8" w:space="0" w:color="auto"/>
            </w:tcBorders>
            <w:shd w:val="clear" w:color="auto" w:fill="E6E6E6"/>
            <w:vAlign w:val="bottom"/>
          </w:tcPr>
          <w:p w:rsidR="00854221" w:rsidRPr="00326929" w:rsidRDefault="00854221" w:rsidP="00854221">
            <w:pPr>
              <w:pStyle w:val="BodyTextHeader"/>
              <w:spacing w:before="0" w:after="0"/>
            </w:pPr>
            <w:r w:rsidRPr="00326929">
              <w:t>TOTALS</w:t>
            </w:r>
          </w:p>
        </w:tc>
      </w:tr>
      <w:tr w:rsidR="00854221" w:rsidRPr="00D80E11" w:rsidTr="00854221">
        <w:trPr>
          <w:trHeight w:val="255"/>
        </w:trPr>
        <w:tc>
          <w:tcPr>
            <w:tcW w:w="2425" w:type="dxa"/>
            <w:vMerge w:val="restart"/>
            <w:tcBorders>
              <w:top w:val="nil"/>
              <w:left w:val="single" w:sz="8" w:space="0" w:color="auto"/>
              <w:right w:val="single" w:sz="8" w:space="0" w:color="auto"/>
            </w:tcBorders>
            <w:noWrap/>
            <w:vAlign w:val="center"/>
          </w:tcPr>
          <w:p w:rsidR="00854221" w:rsidRPr="00D80E11" w:rsidRDefault="00854221" w:rsidP="00854221">
            <w:pPr>
              <w:pStyle w:val="BodyText"/>
              <w:spacing w:before="0" w:after="0"/>
              <w:rPr>
                <w:lang w:eastAsia="en-GB"/>
              </w:rPr>
            </w:pPr>
            <w:r w:rsidRPr="00D80E11">
              <w:rPr>
                <w:lang w:eastAsia="en-GB"/>
              </w:rPr>
              <w:t>Do nothing</w:t>
            </w:r>
          </w:p>
        </w:tc>
        <w:tc>
          <w:tcPr>
            <w:tcW w:w="2194" w:type="dxa"/>
            <w:tcBorders>
              <w:lef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Road</w:t>
            </w:r>
          </w:p>
        </w:tc>
        <w:tc>
          <w:tcPr>
            <w:tcW w:w="272" w:type="dxa"/>
            <w:tcBorders>
              <w:top w:val="nil"/>
              <w:left w:val="nil"/>
              <w:bottom w:val="nil"/>
              <w:righ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 </w:t>
            </w:r>
          </w:p>
        </w:tc>
        <w:tc>
          <w:tcPr>
            <w:tcW w:w="1060" w:type="dxa"/>
            <w:tcBorders>
              <w:top w:val="single" w:sz="8" w:space="0" w:color="auto"/>
              <w:left w:val="nil"/>
              <w:bottom w:val="single" w:sz="4"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525.86</w:t>
            </w:r>
          </w:p>
        </w:tc>
        <w:tc>
          <w:tcPr>
            <w:tcW w:w="875" w:type="dxa"/>
            <w:tcBorders>
              <w:top w:val="single" w:sz="8" w:space="0" w:color="auto"/>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23.30</w:t>
            </w:r>
          </w:p>
        </w:tc>
        <w:tc>
          <w:tcPr>
            <w:tcW w:w="1128" w:type="dxa"/>
            <w:tcBorders>
              <w:top w:val="single" w:sz="8" w:space="0" w:color="auto"/>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85.49</w:t>
            </w:r>
          </w:p>
        </w:tc>
        <w:tc>
          <w:tcPr>
            <w:tcW w:w="980" w:type="dxa"/>
            <w:tcBorders>
              <w:top w:val="single" w:sz="8" w:space="0" w:color="auto"/>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75.89</w:t>
            </w:r>
          </w:p>
        </w:tc>
        <w:tc>
          <w:tcPr>
            <w:tcW w:w="1339" w:type="dxa"/>
            <w:tcBorders>
              <w:top w:val="single" w:sz="8" w:space="0" w:color="auto"/>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676.09</w:t>
            </w:r>
          </w:p>
        </w:tc>
        <w:tc>
          <w:tcPr>
            <w:tcW w:w="1150" w:type="dxa"/>
            <w:tcBorders>
              <w:top w:val="single" w:sz="8" w:space="0" w:color="auto"/>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69.18</w:t>
            </w:r>
          </w:p>
        </w:tc>
        <w:tc>
          <w:tcPr>
            <w:tcW w:w="980" w:type="dxa"/>
            <w:tcBorders>
              <w:top w:val="single" w:sz="8" w:space="0" w:color="auto"/>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708.69</w:t>
            </w:r>
          </w:p>
        </w:tc>
        <w:tc>
          <w:tcPr>
            <w:tcW w:w="1016"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2164.50</w:t>
            </w:r>
          </w:p>
        </w:tc>
      </w:tr>
      <w:tr w:rsidR="00854221" w:rsidRPr="00D80E11" w:rsidTr="00854221">
        <w:trPr>
          <w:trHeight w:val="270"/>
        </w:trPr>
        <w:tc>
          <w:tcPr>
            <w:tcW w:w="2425" w:type="dxa"/>
            <w:vMerge/>
            <w:tcBorders>
              <w:left w:val="single" w:sz="8" w:space="0" w:color="auto"/>
              <w:bottom w:val="single" w:sz="8" w:space="0" w:color="auto"/>
              <w:right w:val="single" w:sz="8" w:space="0" w:color="auto"/>
            </w:tcBorders>
            <w:noWrap/>
            <w:vAlign w:val="center"/>
          </w:tcPr>
          <w:p w:rsidR="00854221" w:rsidRPr="00D80E11" w:rsidRDefault="00854221" w:rsidP="00854221">
            <w:pPr>
              <w:pStyle w:val="BodyText"/>
              <w:spacing w:before="0" w:after="0"/>
            </w:pPr>
          </w:p>
        </w:tc>
        <w:tc>
          <w:tcPr>
            <w:tcW w:w="2194" w:type="dxa"/>
            <w:tcBorders>
              <w:top w:val="nil"/>
              <w:left w:val="single" w:sz="8" w:space="0" w:color="auto"/>
              <w:bottom w:val="single" w:sz="8" w:space="0" w:color="auto"/>
              <w:right w:val="nil"/>
            </w:tcBorders>
            <w:noWrap/>
            <w:vAlign w:val="bottom"/>
          </w:tcPr>
          <w:p w:rsidR="00854221" w:rsidRPr="00D80E11" w:rsidRDefault="00854221" w:rsidP="00854221">
            <w:pPr>
              <w:pStyle w:val="BodyText"/>
              <w:spacing w:before="0" w:after="0"/>
              <w:rPr>
                <w:lang w:eastAsia="en-GB"/>
              </w:rPr>
            </w:pPr>
            <w:r w:rsidRPr="00D80E11">
              <w:rPr>
                <w:lang w:eastAsia="en-GB"/>
              </w:rPr>
              <w:t>Rail</w:t>
            </w:r>
          </w:p>
        </w:tc>
        <w:tc>
          <w:tcPr>
            <w:tcW w:w="272" w:type="dxa"/>
            <w:tcBorders>
              <w:top w:val="nil"/>
              <w:left w:val="nil"/>
              <w:bottom w:val="single" w:sz="8" w:space="0" w:color="auto"/>
              <w:righ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 </w:t>
            </w:r>
          </w:p>
        </w:tc>
        <w:tc>
          <w:tcPr>
            <w:tcW w:w="1060" w:type="dxa"/>
            <w:tcBorders>
              <w:top w:val="nil"/>
              <w:left w:val="nil"/>
              <w:bottom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11.32</w:t>
            </w:r>
          </w:p>
        </w:tc>
        <w:tc>
          <w:tcPr>
            <w:tcW w:w="875"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42.12</w:t>
            </w:r>
          </w:p>
        </w:tc>
        <w:tc>
          <w:tcPr>
            <w:tcW w:w="1128"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10.84</w:t>
            </w:r>
          </w:p>
        </w:tc>
        <w:tc>
          <w:tcPr>
            <w:tcW w:w="980"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33.82</w:t>
            </w:r>
          </w:p>
        </w:tc>
        <w:tc>
          <w:tcPr>
            <w:tcW w:w="1339"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27.72</w:t>
            </w:r>
          </w:p>
        </w:tc>
        <w:tc>
          <w:tcPr>
            <w:tcW w:w="1150"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1.64</w:t>
            </w:r>
          </w:p>
        </w:tc>
        <w:tc>
          <w:tcPr>
            <w:tcW w:w="980"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16.17</w:t>
            </w:r>
          </w:p>
        </w:tc>
        <w:tc>
          <w:tcPr>
            <w:tcW w:w="1016"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143.63</w:t>
            </w:r>
          </w:p>
        </w:tc>
      </w:tr>
      <w:tr w:rsidR="00854221" w:rsidRPr="00D80E11" w:rsidTr="00854221">
        <w:trPr>
          <w:trHeight w:val="255"/>
        </w:trPr>
        <w:tc>
          <w:tcPr>
            <w:tcW w:w="2425" w:type="dxa"/>
            <w:vMerge w:val="restart"/>
            <w:tcBorders>
              <w:top w:val="nil"/>
              <w:left w:val="single" w:sz="8" w:space="0" w:color="auto"/>
              <w:bottom w:val="single" w:sz="8" w:space="0" w:color="auto"/>
              <w:right w:val="single" w:sz="8" w:space="0" w:color="auto"/>
            </w:tcBorders>
            <w:noWrap/>
            <w:vAlign w:val="center"/>
          </w:tcPr>
          <w:p w:rsidR="00854221" w:rsidRPr="00D80E11" w:rsidRDefault="00854221" w:rsidP="00854221">
            <w:pPr>
              <w:pStyle w:val="BodyText"/>
              <w:spacing w:before="0" w:after="0"/>
              <w:rPr>
                <w:lang w:eastAsia="en-GB"/>
              </w:rPr>
            </w:pPr>
            <w:r w:rsidRPr="00D80E11">
              <w:rPr>
                <w:lang w:eastAsia="en-GB"/>
              </w:rPr>
              <w:t>Scenario 1</w:t>
            </w:r>
          </w:p>
          <w:p w:rsidR="00854221" w:rsidRPr="00D80E11" w:rsidRDefault="00854221" w:rsidP="00854221">
            <w:pPr>
              <w:pStyle w:val="BodyText"/>
              <w:spacing w:before="0" w:after="0"/>
              <w:rPr>
                <w:lang w:eastAsia="en-GB"/>
              </w:rPr>
            </w:pPr>
            <w:r w:rsidRPr="00D80E11">
              <w:rPr>
                <w:lang w:eastAsia="en-GB"/>
              </w:rPr>
              <w:t>Z</w:t>
            </w:r>
            <w:r w:rsidRPr="00D80E11">
              <w:t>ero access charges</w:t>
            </w:r>
          </w:p>
        </w:tc>
        <w:tc>
          <w:tcPr>
            <w:tcW w:w="2194" w:type="dxa"/>
            <w:tcBorders>
              <w:top w:val="single" w:sz="8" w:space="0" w:color="auto"/>
              <w:left w:val="single" w:sz="8" w:space="0" w:color="auto"/>
              <w:bottom w:val="nil"/>
              <w:right w:val="nil"/>
            </w:tcBorders>
            <w:noWrap/>
            <w:vAlign w:val="bottom"/>
          </w:tcPr>
          <w:p w:rsidR="00854221" w:rsidRPr="00D80E11" w:rsidRDefault="00854221" w:rsidP="00854221">
            <w:pPr>
              <w:pStyle w:val="BodyText"/>
              <w:spacing w:before="0" w:after="0"/>
              <w:rPr>
                <w:lang w:eastAsia="en-GB"/>
              </w:rPr>
            </w:pPr>
            <w:r w:rsidRPr="00D80E11">
              <w:rPr>
                <w:lang w:eastAsia="en-GB"/>
              </w:rPr>
              <w:t>Road</w:t>
            </w:r>
          </w:p>
        </w:tc>
        <w:tc>
          <w:tcPr>
            <w:tcW w:w="272" w:type="dxa"/>
            <w:tcBorders>
              <w:top w:val="nil"/>
              <w:left w:val="nil"/>
              <w:bottom w:val="nil"/>
              <w:righ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 </w:t>
            </w:r>
          </w:p>
        </w:tc>
        <w:tc>
          <w:tcPr>
            <w:tcW w:w="1060" w:type="dxa"/>
            <w:tcBorders>
              <w:top w:val="single" w:sz="8" w:space="0" w:color="auto"/>
              <w:left w:val="nil"/>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525.83</w:t>
            </w:r>
          </w:p>
        </w:tc>
        <w:tc>
          <w:tcPr>
            <w:tcW w:w="875"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23.20</w:t>
            </w:r>
          </w:p>
        </w:tc>
        <w:tc>
          <w:tcPr>
            <w:tcW w:w="1128"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85.38</w:t>
            </w:r>
          </w:p>
        </w:tc>
        <w:tc>
          <w:tcPr>
            <w:tcW w:w="980"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73.19</w:t>
            </w:r>
          </w:p>
        </w:tc>
        <w:tc>
          <w:tcPr>
            <w:tcW w:w="1339"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675.88</w:t>
            </w:r>
          </w:p>
        </w:tc>
        <w:tc>
          <w:tcPr>
            <w:tcW w:w="1150"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68.77</w:t>
            </w:r>
          </w:p>
        </w:tc>
        <w:tc>
          <w:tcPr>
            <w:tcW w:w="980"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708.34</w:t>
            </w:r>
          </w:p>
        </w:tc>
        <w:tc>
          <w:tcPr>
            <w:tcW w:w="1016"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2160.60</w:t>
            </w:r>
          </w:p>
        </w:tc>
      </w:tr>
      <w:tr w:rsidR="00854221" w:rsidRPr="00D80E11" w:rsidTr="00854221">
        <w:trPr>
          <w:trHeight w:val="255"/>
        </w:trPr>
        <w:tc>
          <w:tcPr>
            <w:tcW w:w="2425" w:type="dxa"/>
            <w:vMerge/>
            <w:tcBorders>
              <w:top w:val="nil"/>
              <w:left w:val="single" w:sz="8" w:space="0" w:color="auto"/>
              <w:bottom w:val="single" w:sz="8" w:space="0" w:color="auto"/>
              <w:right w:val="single" w:sz="8" w:space="0" w:color="auto"/>
            </w:tcBorders>
            <w:vAlign w:val="center"/>
          </w:tcPr>
          <w:p w:rsidR="00854221" w:rsidRPr="00D80E11" w:rsidRDefault="00854221" w:rsidP="00854221">
            <w:pPr>
              <w:pStyle w:val="BodyText"/>
              <w:spacing w:before="0" w:after="0"/>
              <w:rPr>
                <w:lang w:eastAsia="en-GB"/>
              </w:rPr>
            </w:pPr>
          </w:p>
        </w:tc>
        <w:tc>
          <w:tcPr>
            <w:tcW w:w="2466" w:type="dxa"/>
            <w:gridSpan w:val="2"/>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rPr>
                <w:i/>
                <w:iCs/>
                <w:lang w:eastAsia="en-GB"/>
              </w:rPr>
            </w:pPr>
            <w:r w:rsidRPr="00D80E11">
              <w:rPr>
                <w:i/>
                <w:iCs/>
                <w:lang w:eastAsia="en-GB"/>
              </w:rPr>
              <w:t>% change from do nothing</w:t>
            </w:r>
          </w:p>
        </w:tc>
        <w:tc>
          <w:tcPr>
            <w:tcW w:w="106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-0.01</w:t>
            </w:r>
          </w:p>
        </w:tc>
        <w:tc>
          <w:tcPr>
            <w:tcW w:w="875"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-0.42</w:t>
            </w:r>
          </w:p>
        </w:tc>
        <w:tc>
          <w:tcPr>
            <w:tcW w:w="1128"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-0.12</w:t>
            </w:r>
          </w:p>
        </w:tc>
        <w:tc>
          <w:tcPr>
            <w:tcW w:w="98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-3.57</w:t>
            </w:r>
          </w:p>
        </w:tc>
        <w:tc>
          <w:tcPr>
            <w:tcW w:w="1339"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-0.03</w:t>
            </w:r>
          </w:p>
        </w:tc>
        <w:tc>
          <w:tcPr>
            <w:tcW w:w="115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-0.60</w:t>
            </w:r>
          </w:p>
        </w:tc>
        <w:tc>
          <w:tcPr>
            <w:tcW w:w="98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-0.05</w:t>
            </w:r>
          </w:p>
        </w:tc>
        <w:tc>
          <w:tcPr>
            <w:tcW w:w="1016"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-0.18</w:t>
            </w:r>
          </w:p>
        </w:tc>
      </w:tr>
      <w:tr w:rsidR="00854221" w:rsidRPr="00D80E11" w:rsidTr="00854221">
        <w:trPr>
          <w:trHeight w:val="255"/>
        </w:trPr>
        <w:tc>
          <w:tcPr>
            <w:tcW w:w="2425" w:type="dxa"/>
            <w:vMerge/>
            <w:tcBorders>
              <w:top w:val="nil"/>
              <w:left w:val="single" w:sz="8" w:space="0" w:color="auto"/>
              <w:bottom w:val="single" w:sz="8" w:space="0" w:color="auto"/>
              <w:right w:val="single" w:sz="8" w:space="0" w:color="auto"/>
            </w:tcBorders>
            <w:vAlign w:val="center"/>
          </w:tcPr>
          <w:p w:rsidR="00854221" w:rsidRPr="00D80E11" w:rsidRDefault="00854221" w:rsidP="00854221">
            <w:pPr>
              <w:pStyle w:val="BodyText"/>
              <w:spacing w:before="0" w:after="0"/>
              <w:rPr>
                <w:lang w:eastAsia="en-GB"/>
              </w:rPr>
            </w:pPr>
          </w:p>
        </w:tc>
        <w:tc>
          <w:tcPr>
            <w:tcW w:w="2194" w:type="dxa"/>
            <w:tcBorders>
              <w:lef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Rail</w:t>
            </w:r>
          </w:p>
        </w:tc>
        <w:tc>
          <w:tcPr>
            <w:tcW w:w="272" w:type="dxa"/>
            <w:tcBorders>
              <w:top w:val="nil"/>
              <w:left w:val="nil"/>
              <w:bottom w:val="nil"/>
              <w:righ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 </w:t>
            </w:r>
          </w:p>
        </w:tc>
        <w:tc>
          <w:tcPr>
            <w:tcW w:w="1060" w:type="dxa"/>
            <w:tcBorders>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11.48</w:t>
            </w:r>
          </w:p>
        </w:tc>
        <w:tc>
          <w:tcPr>
            <w:tcW w:w="875"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42.22</w:t>
            </w:r>
          </w:p>
        </w:tc>
        <w:tc>
          <w:tcPr>
            <w:tcW w:w="1128"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10.95</w:t>
            </w:r>
          </w:p>
        </w:tc>
        <w:tc>
          <w:tcPr>
            <w:tcW w:w="98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38.31</w:t>
            </w:r>
          </w:p>
        </w:tc>
        <w:tc>
          <w:tcPr>
            <w:tcW w:w="1339"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28.76</w:t>
            </w:r>
          </w:p>
        </w:tc>
        <w:tc>
          <w:tcPr>
            <w:tcW w:w="115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2.12</w:t>
            </w:r>
          </w:p>
        </w:tc>
        <w:tc>
          <w:tcPr>
            <w:tcW w:w="98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17.96</w:t>
            </w:r>
          </w:p>
        </w:tc>
        <w:tc>
          <w:tcPr>
            <w:tcW w:w="1016" w:type="dxa"/>
            <w:tcBorders>
              <w:top w:val="nil"/>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151.80</w:t>
            </w:r>
          </w:p>
        </w:tc>
      </w:tr>
      <w:tr w:rsidR="00854221" w:rsidRPr="00D80E11" w:rsidTr="00854221">
        <w:trPr>
          <w:trHeight w:val="270"/>
        </w:trPr>
        <w:tc>
          <w:tcPr>
            <w:tcW w:w="2425" w:type="dxa"/>
            <w:vMerge/>
            <w:tcBorders>
              <w:top w:val="nil"/>
              <w:left w:val="single" w:sz="8" w:space="0" w:color="auto"/>
              <w:bottom w:val="single" w:sz="8" w:space="0" w:color="auto"/>
              <w:right w:val="single" w:sz="8" w:space="0" w:color="auto"/>
            </w:tcBorders>
            <w:vAlign w:val="center"/>
          </w:tcPr>
          <w:p w:rsidR="00854221" w:rsidRPr="00D80E11" w:rsidRDefault="00854221" w:rsidP="00854221">
            <w:pPr>
              <w:pStyle w:val="BodyText"/>
              <w:spacing w:before="0" w:after="0"/>
              <w:rPr>
                <w:lang w:eastAsia="en-GB"/>
              </w:rPr>
            </w:pPr>
          </w:p>
        </w:tc>
        <w:tc>
          <w:tcPr>
            <w:tcW w:w="2466" w:type="dxa"/>
            <w:gridSpan w:val="2"/>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rPr>
                <w:i/>
                <w:iCs/>
                <w:lang w:eastAsia="en-GB"/>
              </w:rPr>
            </w:pPr>
            <w:r w:rsidRPr="00D80E11">
              <w:rPr>
                <w:i/>
                <w:iCs/>
                <w:lang w:eastAsia="en-GB"/>
              </w:rPr>
              <w:t>% change from do nothing</w:t>
            </w:r>
          </w:p>
        </w:tc>
        <w:tc>
          <w:tcPr>
            <w:tcW w:w="1060"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1.41</w:t>
            </w:r>
          </w:p>
        </w:tc>
        <w:tc>
          <w:tcPr>
            <w:tcW w:w="875"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0.24</w:t>
            </w:r>
          </w:p>
        </w:tc>
        <w:tc>
          <w:tcPr>
            <w:tcW w:w="1128"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0.99</w:t>
            </w:r>
          </w:p>
        </w:tc>
        <w:tc>
          <w:tcPr>
            <w:tcW w:w="980"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13.29</w:t>
            </w:r>
          </w:p>
        </w:tc>
        <w:tc>
          <w:tcPr>
            <w:tcW w:w="1339"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3.74</w:t>
            </w:r>
          </w:p>
        </w:tc>
        <w:tc>
          <w:tcPr>
            <w:tcW w:w="1150"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29.57</w:t>
            </w:r>
          </w:p>
        </w:tc>
        <w:tc>
          <w:tcPr>
            <w:tcW w:w="980"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11.06</w:t>
            </w:r>
          </w:p>
        </w:tc>
        <w:tc>
          <w:tcPr>
            <w:tcW w:w="1016"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5.69</w:t>
            </w:r>
          </w:p>
        </w:tc>
      </w:tr>
      <w:tr w:rsidR="00854221" w:rsidRPr="00D80E11" w:rsidTr="00854221">
        <w:trPr>
          <w:trHeight w:val="255"/>
        </w:trPr>
        <w:tc>
          <w:tcPr>
            <w:tcW w:w="2425" w:type="dxa"/>
            <w:vMerge w:val="restart"/>
            <w:tcBorders>
              <w:top w:val="nil"/>
              <w:left w:val="single" w:sz="8" w:space="0" w:color="auto"/>
              <w:bottom w:val="single" w:sz="8" w:space="0" w:color="auto"/>
              <w:right w:val="single" w:sz="8" w:space="0" w:color="auto"/>
            </w:tcBorders>
            <w:noWrap/>
            <w:vAlign w:val="center"/>
          </w:tcPr>
          <w:p w:rsidR="00854221" w:rsidRPr="00D80E11" w:rsidRDefault="00854221" w:rsidP="00854221">
            <w:pPr>
              <w:pStyle w:val="BodyText"/>
              <w:spacing w:before="0" w:after="0"/>
              <w:rPr>
                <w:lang w:eastAsia="en-GB"/>
              </w:rPr>
            </w:pPr>
            <w:r w:rsidRPr="00D80E11">
              <w:rPr>
                <w:lang w:eastAsia="en-GB"/>
              </w:rPr>
              <w:t>Scenario 2</w:t>
            </w:r>
          </w:p>
          <w:p w:rsidR="00854221" w:rsidRPr="00D80E11" w:rsidRDefault="00854221" w:rsidP="00854221">
            <w:pPr>
              <w:pStyle w:val="BodyText"/>
              <w:spacing w:before="0" w:after="0"/>
              <w:rPr>
                <w:lang w:eastAsia="en-GB"/>
              </w:rPr>
            </w:pPr>
            <w:r w:rsidRPr="00D80E11">
              <w:t>Halved Access Charges</w:t>
            </w:r>
            <w:r w:rsidRPr="00D80E11">
              <w:rPr>
                <w:lang w:eastAsia="en-GB"/>
              </w:rPr>
              <w:t> </w:t>
            </w:r>
          </w:p>
        </w:tc>
        <w:tc>
          <w:tcPr>
            <w:tcW w:w="2194" w:type="dxa"/>
            <w:tcBorders>
              <w:top w:val="single" w:sz="8" w:space="0" w:color="auto"/>
              <w:left w:val="single" w:sz="8" w:space="0" w:color="auto"/>
              <w:bottom w:val="nil"/>
              <w:right w:val="nil"/>
            </w:tcBorders>
            <w:noWrap/>
            <w:vAlign w:val="bottom"/>
          </w:tcPr>
          <w:p w:rsidR="00854221" w:rsidRPr="00D80E11" w:rsidRDefault="00854221" w:rsidP="00854221">
            <w:pPr>
              <w:pStyle w:val="BodyText"/>
              <w:spacing w:before="0" w:after="0"/>
              <w:rPr>
                <w:lang w:eastAsia="en-GB"/>
              </w:rPr>
            </w:pPr>
            <w:r w:rsidRPr="00D80E11">
              <w:rPr>
                <w:lang w:eastAsia="en-GB"/>
              </w:rPr>
              <w:t>Road</w:t>
            </w:r>
          </w:p>
        </w:tc>
        <w:tc>
          <w:tcPr>
            <w:tcW w:w="272" w:type="dxa"/>
            <w:tcBorders>
              <w:top w:val="nil"/>
              <w:left w:val="nil"/>
              <w:bottom w:val="nil"/>
              <w:righ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 </w:t>
            </w:r>
          </w:p>
        </w:tc>
        <w:tc>
          <w:tcPr>
            <w:tcW w:w="1060" w:type="dxa"/>
            <w:tcBorders>
              <w:top w:val="single" w:sz="8" w:space="0" w:color="auto"/>
              <w:left w:val="nil"/>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525.84</w:t>
            </w:r>
          </w:p>
        </w:tc>
        <w:tc>
          <w:tcPr>
            <w:tcW w:w="875"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23.25</w:t>
            </w:r>
          </w:p>
        </w:tc>
        <w:tc>
          <w:tcPr>
            <w:tcW w:w="1128"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85.44</w:t>
            </w:r>
          </w:p>
        </w:tc>
        <w:tc>
          <w:tcPr>
            <w:tcW w:w="980"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74.56</w:t>
            </w:r>
          </w:p>
        </w:tc>
        <w:tc>
          <w:tcPr>
            <w:tcW w:w="1339"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675.98</w:t>
            </w:r>
          </w:p>
        </w:tc>
        <w:tc>
          <w:tcPr>
            <w:tcW w:w="1150"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68.99</w:t>
            </w:r>
          </w:p>
        </w:tc>
        <w:tc>
          <w:tcPr>
            <w:tcW w:w="980"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708.52</w:t>
            </w:r>
          </w:p>
        </w:tc>
        <w:tc>
          <w:tcPr>
            <w:tcW w:w="1016"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2162.58</w:t>
            </w:r>
          </w:p>
        </w:tc>
      </w:tr>
      <w:tr w:rsidR="00854221" w:rsidRPr="00D80E11" w:rsidTr="00854221">
        <w:trPr>
          <w:trHeight w:val="255"/>
        </w:trPr>
        <w:tc>
          <w:tcPr>
            <w:tcW w:w="2425" w:type="dxa"/>
            <w:vMerge/>
            <w:tcBorders>
              <w:top w:val="nil"/>
              <w:left w:val="single" w:sz="8" w:space="0" w:color="auto"/>
              <w:bottom w:val="single" w:sz="8" w:space="0" w:color="auto"/>
              <w:right w:val="single" w:sz="8" w:space="0" w:color="auto"/>
            </w:tcBorders>
            <w:vAlign w:val="center"/>
          </w:tcPr>
          <w:p w:rsidR="00854221" w:rsidRPr="00D80E11" w:rsidRDefault="00854221" w:rsidP="00854221">
            <w:pPr>
              <w:pStyle w:val="BodyText"/>
              <w:spacing w:before="0" w:after="0"/>
              <w:rPr>
                <w:lang w:eastAsia="en-GB"/>
              </w:rPr>
            </w:pPr>
          </w:p>
        </w:tc>
        <w:tc>
          <w:tcPr>
            <w:tcW w:w="2466" w:type="dxa"/>
            <w:gridSpan w:val="2"/>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rPr>
                <w:i/>
                <w:iCs/>
                <w:lang w:eastAsia="en-GB"/>
              </w:rPr>
            </w:pPr>
            <w:r w:rsidRPr="00D80E11">
              <w:rPr>
                <w:i/>
                <w:iCs/>
                <w:lang w:eastAsia="en-GB"/>
              </w:rPr>
              <w:t>% change from do nothing</w:t>
            </w:r>
          </w:p>
        </w:tc>
        <w:tc>
          <w:tcPr>
            <w:tcW w:w="106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0.00</w:t>
            </w:r>
          </w:p>
        </w:tc>
        <w:tc>
          <w:tcPr>
            <w:tcW w:w="875"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-0.22</w:t>
            </w:r>
          </w:p>
        </w:tc>
        <w:tc>
          <w:tcPr>
            <w:tcW w:w="1128"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-0.06</w:t>
            </w:r>
          </w:p>
        </w:tc>
        <w:tc>
          <w:tcPr>
            <w:tcW w:w="98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-1.76</w:t>
            </w:r>
          </w:p>
        </w:tc>
        <w:tc>
          <w:tcPr>
            <w:tcW w:w="1339"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-0.02</w:t>
            </w:r>
          </w:p>
        </w:tc>
        <w:tc>
          <w:tcPr>
            <w:tcW w:w="115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-0.29</w:t>
            </w:r>
          </w:p>
        </w:tc>
        <w:tc>
          <w:tcPr>
            <w:tcW w:w="98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-0.02</w:t>
            </w:r>
          </w:p>
        </w:tc>
        <w:tc>
          <w:tcPr>
            <w:tcW w:w="1016"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-0.09</w:t>
            </w:r>
          </w:p>
        </w:tc>
      </w:tr>
      <w:tr w:rsidR="00854221" w:rsidRPr="00D80E11" w:rsidTr="00854221">
        <w:trPr>
          <w:trHeight w:val="255"/>
        </w:trPr>
        <w:tc>
          <w:tcPr>
            <w:tcW w:w="2425" w:type="dxa"/>
            <w:vMerge/>
            <w:tcBorders>
              <w:top w:val="nil"/>
              <w:left w:val="single" w:sz="8" w:space="0" w:color="auto"/>
              <w:bottom w:val="single" w:sz="8" w:space="0" w:color="auto"/>
              <w:right w:val="single" w:sz="8" w:space="0" w:color="auto"/>
            </w:tcBorders>
            <w:vAlign w:val="center"/>
          </w:tcPr>
          <w:p w:rsidR="00854221" w:rsidRPr="00D80E11" w:rsidRDefault="00854221" w:rsidP="00854221">
            <w:pPr>
              <w:pStyle w:val="BodyText"/>
              <w:spacing w:before="0" w:after="0"/>
              <w:rPr>
                <w:lang w:eastAsia="en-GB"/>
              </w:rPr>
            </w:pPr>
          </w:p>
        </w:tc>
        <w:tc>
          <w:tcPr>
            <w:tcW w:w="2194" w:type="dxa"/>
            <w:tcBorders>
              <w:lef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Rail</w:t>
            </w:r>
          </w:p>
        </w:tc>
        <w:tc>
          <w:tcPr>
            <w:tcW w:w="272" w:type="dxa"/>
            <w:tcBorders>
              <w:top w:val="nil"/>
              <w:left w:val="nil"/>
              <w:bottom w:val="nil"/>
              <w:righ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 </w:t>
            </w:r>
          </w:p>
        </w:tc>
        <w:tc>
          <w:tcPr>
            <w:tcW w:w="1060" w:type="dxa"/>
            <w:tcBorders>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11.39</w:t>
            </w:r>
          </w:p>
        </w:tc>
        <w:tc>
          <w:tcPr>
            <w:tcW w:w="875"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42.17</w:t>
            </w:r>
          </w:p>
        </w:tc>
        <w:tc>
          <w:tcPr>
            <w:tcW w:w="1128"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10.89</w:t>
            </w:r>
          </w:p>
        </w:tc>
        <w:tc>
          <w:tcPr>
            <w:tcW w:w="98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36.04</w:t>
            </w:r>
          </w:p>
        </w:tc>
        <w:tc>
          <w:tcPr>
            <w:tcW w:w="1339"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28.17</w:t>
            </w:r>
          </w:p>
        </w:tc>
        <w:tc>
          <w:tcPr>
            <w:tcW w:w="115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1.87</w:t>
            </w:r>
          </w:p>
        </w:tc>
        <w:tc>
          <w:tcPr>
            <w:tcW w:w="98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17.05</w:t>
            </w:r>
          </w:p>
        </w:tc>
        <w:tc>
          <w:tcPr>
            <w:tcW w:w="1016" w:type="dxa"/>
            <w:tcBorders>
              <w:top w:val="nil"/>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147.58</w:t>
            </w:r>
          </w:p>
        </w:tc>
      </w:tr>
      <w:tr w:rsidR="00854221" w:rsidRPr="00D80E11" w:rsidTr="00854221">
        <w:trPr>
          <w:trHeight w:val="270"/>
        </w:trPr>
        <w:tc>
          <w:tcPr>
            <w:tcW w:w="2425" w:type="dxa"/>
            <w:vMerge/>
            <w:tcBorders>
              <w:top w:val="nil"/>
              <w:left w:val="single" w:sz="8" w:space="0" w:color="auto"/>
              <w:bottom w:val="single" w:sz="8" w:space="0" w:color="auto"/>
              <w:right w:val="single" w:sz="8" w:space="0" w:color="auto"/>
            </w:tcBorders>
            <w:vAlign w:val="center"/>
          </w:tcPr>
          <w:p w:rsidR="00854221" w:rsidRPr="00D80E11" w:rsidRDefault="00854221" w:rsidP="00854221">
            <w:pPr>
              <w:pStyle w:val="BodyText"/>
              <w:spacing w:before="0" w:after="0"/>
              <w:rPr>
                <w:lang w:eastAsia="en-GB"/>
              </w:rPr>
            </w:pPr>
          </w:p>
        </w:tc>
        <w:tc>
          <w:tcPr>
            <w:tcW w:w="2466" w:type="dxa"/>
            <w:gridSpan w:val="2"/>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rPr>
                <w:i/>
                <w:iCs/>
                <w:lang w:eastAsia="en-GB"/>
              </w:rPr>
            </w:pPr>
            <w:r w:rsidRPr="00D80E11">
              <w:rPr>
                <w:i/>
                <w:iCs/>
                <w:lang w:eastAsia="en-GB"/>
              </w:rPr>
              <w:t>% change from do nothing</w:t>
            </w:r>
          </w:p>
        </w:tc>
        <w:tc>
          <w:tcPr>
            <w:tcW w:w="1060"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0.65</w:t>
            </w:r>
          </w:p>
        </w:tc>
        <w:tc>
          <w:tcPr>
            <w:tcW w:w="875"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0.12</w:t>
            </w:r>
          </w:p>
        </w:tc>
        <w:tc>
          <w:tcPr>
            <w:tcW w:w="1128"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0.44</w:t>
            </w:r>
          </w:p>
        </w:tc>
        <w:tc>
          <w:tcPr>
            <w:tcW w:w="980"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6.56</w:t>
            </w:r>
          </w:p>
        </w:tc>
        <w:tc>
          <w:tcPr>
            <w:tcW w:w="1339"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1.63</w:t>
            </w:r>
          </w:p>
        </w:tc>
        <w:tc>
          <w:tcPr>
            <w:tcW w:w="1150"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14.21</w:t>
            </w:r>
          </w:p>
        </w:tc>
        <w:tc>
          <w:tcPr>
            <w:tcW w:w="980"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5.39</w:t>
            </w:r>
          </w:p>
        </w:tc>
        <w:tc>
          <w:tcPr>
            <w:tcW w:w="1016"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2.75</w:t>
            </w:r>
          </w:p>
        </w:tc>
      </w:tr>
      <w:tr w:rsidR="00854221" w:rsidRPr="00D80E11" w:rsidTr="00854221">
        <w:trPr>
          <w:trHeight w:val="255"/>
        </w:trPr>
        <w:tc>
          <w:tcPr>
            <w:tcW w:w="2425" w:type="dxa"/>
            <w:vMerge w:val="restart"/>
            <w:tcBorders>
              <w:top w:val="nil"/>
              <w:left w:val="single" w:sz="8" w:space="0" w:color="auto"/>
              <w:bottom w:val="single" w:sz="8" w:space="0" w:color="auto"/>
              <w:right w:val="single" w:sz="8" w:space="0" w:color="auto"/>
            </w:tcBorders>
            <w:noWrap/>
            <w:vAlign w:val="center"/>
          </w:tcPr>
          <w:p w:rsidR="00854221" w:rsidRPr="00D80E11" w:rsidRDefault="00854221" w:rsidP="00854221">
            <w:pPr>
              <w:pStyle w:val="BodyText"/>
              <w:spacing w:before="0" w:after="0"/>
              <w:rPr>
                <w:lang w:eastAsia="en-GB"/>
              </w:rPr>
            </w:pPr>
            <w:r w:rsidRPr="00D80E11">
              <w:rPr>
                <w:lang w:eastAsia="en-GB"/>
              </w:rPr>
              <w:t>Scenario 3</w:t>
            </w:r>
          </w:p>
          <w:p w:rsidR="00854221" w:rsidRPr="00D80E11" w:rsidRDefault="00854221" w:rsidP="00854221">
            <w:pPr>
              <w:pStyle w:val="BodyText"/>
              <w:spacing w:before="0" w:after="0"/>
              <w:rPr>
                <w:lang w:eastAsia="en-GB"/>
              </w:rPr>
            </w:pPr>
            <w:r w:rsidRPr="00D80E11">
              <w:t>Doubled Access Charges</w:t>
            </w:r>
          </w:p>
        </w:tc>
        <w:tc>
          <w:tcPr>
            <w:tcW w:w="2194" w:type="dxa"/>
            <w:tcBorders>
              <w:lef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Road</w:t>
            </w:r>
          </w:p>
        </w:tc>
        <w:tc>
          <w:tcPr>
            <w:tcW w:w="272" w:type="dxa"/>
            <w:tcBorders>
              <w:top w:val="nil"/>
              <w:left w:val="nil"/>
              <w:bottom w:val="nil"/>
              <w:righ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 </w:t>
            </w:r>
          </w:p>
        </w:tc>
        <w:tc>
          <w:tcPr>
            <w:tcW w:w="1060" w:type="dxa"/>
            <w:tcBorders>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525.89</w:t>
            </w:r>
          </w:p>
        </w:tc>
        <w:tc>
          <w:tcPr>
            <w:tcW w:w="875"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23.43</w:t>
            </w:r>
          </w:p>
        </w:tc>
        <w:tc>
          <w:tcPr>
            <w:tcW w:w="1128"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85.56</w:t>
            </w:r>
          </w:p>
        </w:tc>
        <w:tc>
          <w:tcPr>
            <w:tcW w:w="98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78.32</w:t>
            </w:r>
          </w:p>
        </w:tc>
        <w:tc>
          <w:tcPr>
            <w:tcW w:w="1339"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676.33</w:t>
            </w:r>
          </w:p>
        </w:tc>
        <w:tc>
          <w:tcPr>
            <w:tcW w:w="115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69.53</w:t>
            </w:r>
          </w:p>
        </w:tc>
        <w:tc>
          <w:tcPr>
            <w:tcW w:w="98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709.00</w:t>
            </w:r>
          </w:p>
        </w:tc>
        <w:tc>
          <w:tcPr>
            <w:tcW w:w="1016" w:type="dxa"/>
            <w:tcBorders>
              <w:top w:val="nil"/>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2168.05</w:t>
            </w:r>
          </w:p>
        </w:tc>
      </w:tr>
      <w:tr w:rsidR="00854221" w:rsidRPr="00D80E11" w:rsidTr="00854221">
        <w:trPr>
          <w:trHeight w:val="255"/>
        </w:trPr>
        <w:tc>
          <w:tcPr>
            <w:tcW w:w="2425" w:type="dxa"/>
            <w:vMerge/>
            <w:tcBorders>
              <w:top w:val="nil"/>
              <w:left w:val="single" w:sz="8" w:space="0" w:color="auto"/>
              <w:bottom w:val="single" w:sz="8" w:space="0" w:color="auto"/>
              <w:right w:val="single" w:sz="8" w:space="0" w:color="auto"/>
            </w:tcBorders>
            <w:vAlign w:val="center"/>
          </w:tcPr>
          <w:p w:rsidR="00854221" w:rsidRPr="00D80E11" w:rsidRDefault="00854221" w:rsidP="00854221">
            <w:pPr>
              <w:pStyle w:val="BodyText"/>
              <w:spacing w:before="0" w:after="0"/>
              <w:rPr>
                <w:lang w:eastAsia="en-GB"/>
              </w:rPr>
            </w:pPr>
          </w:p>
        </w:tc>
        <w:tc>
          <w:tcPr>
            <w:tcW w:w="2466" w:type="dxa"/>
            <w:gridSpan w:val="2"/>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rPr>
                <w:i/>
                <w:iCs/>
                <w:lang w:eastAsia="en-GB"/>
              </w:rPr>
            </w:pPr>
            <w:r w:rsidRPr="00D80E11">
              <w:rPr>
                <w:i/>
                <w:iCs/>
                <w:lang w:eastAsia="en-GB"/>
              </w:rPr>
              <w:t>% change from do nothing</w:t>
            </w:r>
          </w:p>
        </w:tc>
        <w:tc>
          <w:tcPr>
            <w:tcW w:w="106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0.01</w:t>
            </w:r>
          </w:p>
        </w:tc>
        <w:tc>
          <w:tcPr>
            <w:tcW w:w="875"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0.55</w:t>
            </w:r>
          </w:p>
        </w:tc>
        <w:tc>
          <w:tcPr>
            <w:tcW w:w="1128"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0.08</w:t>
            </w:r>
          </w:p>
        </w:tc>
        <w:tc>
          <w:tcPr>
            <w:tcW w:w="98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3.19</w:t>
            </w:r>
          </w:p>
        </w:tc>
        <w:tc>
          <w:tcPr>
            <w:tcW w:w="1339"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0.04</w:t>
            </w:r>
          </w:p>
        </w:tc>
        <w:tc>
          <w:tcPr>
            <w:tcW w:w="115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0.50</w:t>
            </w:r>
          </w:p>
        </w:tc>
        <w:tc>
          <w:tcPr>
            <w:tcW w:w="98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0.04</w:t>
            </w:r>
          </w:p>
        </w:tc>
        <w:tc>
          <w:tcPr>
            <w:tcW w:w="1016"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0.16</w:t>
            </w:r>
          </w:p>
        </w:tc>
      </w:tr>
      <w:tr w:rsidR="00854221" w:rsidRPr="00D80E11" w:rsidTr="00854221">
        <w:trPr>
          <w:trHeight w:val="255"/>
        </w:trPr>
        <w:tc>
          <w:tcPr>
            <w:tcW w:w="2425" w:type="dxa"/>
            <w:vMerge/>
            <w:tcBorders>
              <w:top w:val="nil"/>
              <w:left w:val="single" w:sz="8" w:space="0" w:color="auto"/>
              <w:bottom w:val="single" w:sz="8" w:space="0" w:color="auto"/>
              <w:right w:val="single" w:sz="8" w:space="0" w:color="auto"/>
            </w:tcBorders>
            <w:vAlign w:val="center"/>
          </w:tcPr>
          <w:p w:rsidR="00854221" w:rsidRPr="00D80E11" w:rsidRDefault="00854221" w:rsidP="00854221">
            <w:pPr>
              <w:pStyle w:val="BodyText"/>
              <w:spacing w:before="0" w:after="0"/>
              <w:rPr>
                <w:lang w:eastAsia="en-GB"/>
              </w:rPr>
            </w:pPr>
          </w:p>
        </w:tc>
        <w:tc>
          <w:tcPr>
            <w:tcW w:w="2194" w:type="dxa"/>
            <w:tcBorders>
              <w:lef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Rail</w:t>
            </w:r>
          </w:p>
        </w:tc>
        <w:tc>
          <w:tcPr>
            <w:tcW w:w="272" w:type="dxa"/>
            <w:tcBorders>
              <w:top w:val="nil"/>
              <w:left w:val="nil"/>
              <w:bottom w:val="nil"/>
              <w:righ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 </w:t>
            </w:r>
          </w:p>
        </w:tc>
        <w:tc>
          <w:tcPr>
            <w:tcW w:w="1060" w:type="dxa"/>
            <w:tcBorders>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11.18</w:t>
            </w:r>
          </w:p>
        </w:tc>
        <w:tc>
          <w:tcPr>
            <w:tcW w:w="875"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41.99</w:t>
            </w:r>
          </w:p>
        </w:tc>
        <w:tc>
          <w:tcPr>
            <w:tcW w:w="1128"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10.77</w:t>
            </w:r>
          </w:p>
        </w:tc>
        <w:tc>
          <w:tcPr>
            <w:tcW w:w="98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29.70</w:t>
            </w:r>
          </w:p>
        </w:tc>
        <w:tc>
          <w:tcPr>
            <w:tcW w:w="1339"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27.02</w:t>
            </w:r>
          </w:p>
        </w:tc>
        <w:tc>
          <w:tcPr>
            <w:tcW w:w="115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1.23</w:t>
            </w:r>
          </w:p>
        </w:tc>
        <w:tc>
          <w:tcPr>
            <w:tcW w:w="98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14.57</w:t>
            </w:r>
          </w:p>
        </w:tc>
        <w:tc>
          <w:tcPr>
            <w:tcW w:w="1016" w:type="dxa"/>
            <w:tcBorders>
              <w:top w:val="nil"/>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136.46</w:t>
            </w:r>
          </w:p>
        </w:tc>
      </w:tr>
      <w:tr w:rsidR="00854221" w:rsidRPr="00D80E11" w:rsidTr="00854221">
        <w:trPr>
          <w:trHeight w:val="270"/>
        </w:trPr>
        <w:tc>
          <w:tcPr>
            <w:tcW w:w="2425" w:type="dxa"/>
            <w:vMerge/>
            <w:tcBorders>
              <w:top w:val="nil"/>
              <w:left w:val="single" w:sz="8" w:space="0" w:color="auto"/>
              <w:bottom w:val="single" w:sz="8" w:space="0" w:color="auto"/>
              <w:right w:val="single" w:sz="8" w:space="0" w:color="auto"/>
            </w:tcBorders>
            <w:vAlign w:val="center"/>
          </w:tcPr>
          <w:p w:rsidR="00854221" w:rsidRPr="00D80E11" w:rsidRDefault="00854221" w:rsidP="00854221">
            <w:pPr>
              <w:pStyle w:val="BodyText"/>
              <w:spacing w:before="0" w:after="0"/>
              <w:rPr>
                <w:lang w:eastAsia="en-GB"/>
              </w:rPr>
            </w:pPr>
          </w:p>
        </w:tc>
        <w:tc>
          <w:tcPr>
            <w:tcW w:w="2466" w:type="dxa"/>
            <w:gridSpan w:val="2"/>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rPr>
                <w:i/>
                <w:iCs/>
                <w:lang w:eastAsia="en-GB"/>
              </w:rPr>
            </w:pPr>
            <w:r w:rsidRPr="00D80E11">
              <w:rPr>
                <w:i/>
                <w:iCs/>
                <w:lang w:eastAsia="en-GB"/>
              </w:rPr>
              <w:t>% change from do nothing</w:t>
            </w:r>
          </w:p>
        </w:tc>
        <w:tc>
          <w:tcPr>
            <w:tcW w:w="1060"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-1.19</w:t>
            </w:r>
          </w:p>
        </w:tc>
        <w:tc>
          <w:tcPr>
            <w:tcW w:w="875"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-0.30</w:t>
            </w:r>
          </w:p>
        </w:tc>
        <w:tc>
          <w:tcPr>
            <w:tcW w:w="1128"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-0.61</w:t>
            </w:r>
          </w:p>
        </w:tc>
        <w:tc>
          <w:tcPr>
            <w:tcW w:w="980"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-12.19</w:t>
            </w:r>
          </w:p>
        </w:tc>
        <w:tc>
          <w:tcPr>
            <w:tcW w:w="1339"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-2.52</w:t>
            </w:r>
          </w:p>
        </w:tc>
        <w:tc>
          <w:tcPr>
            <w:tcW w:w="1150"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-24.93</w:t>
            </w:r>
          </w:p>
        </w:tc>
        <w:tc>
          <w:tcPr>
            <w:tcW w:w="980"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-9.94</w:t>
            </w:r>
          </w:p>
        </w:tc>
        <w:tc>
          <w:tcPr>
            <w:tcW w:w="1016"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-4.99</w:t>
            </w:r>
          </w:p>
        </w:tc>
      </w:tr>
      <w:tr w:rsidR="00854221" w:rsidRPr="00D80E11" w:rsidTr="00854221">
        <w:trPr>
          <w:trHeight w:val="255"/>
        </w:trPr>
        <w:tc>
          <w:tcPr>
            <w:tcW w:w="2425" w:type="dxa"/>
            <w:vMerge w:val="restart"/>
            <w:tcBorders>
              <w:top w:val="nil"/>
              <w:left w:val="single" w:sz="8" w:space="0" w:color="auto"/>
              <w:bottom w:val="single" w:sz="8" w:space="0" w:color="auto"/>
              <w:right w:val="single" w:sz="8" w:space="0" w:color="auto"/>
            </w:tcBorders>
            <w:noWrap/>
            <w:vAlign w:val="center"/>
          </w:tcPr>
          <w:p w:rsidR="00854221" w:rsidRPr="00D80E11" w:rsidRDefault="00854221" w:rsidP="00854221">
            <w:pPr>
              <w:pStyle w:val="BodyText"/>
              <w:spacing w:before="0" w:after="0"/>
              <w:rPr>
                <w:lang w:eastAsia="en-GB"/>
              </w:rPr>
            </w:pPr>
            <w:r w:rsidRPr="00D80E11">
              <w:rPr>
                <w:lang w:eastAsia="en-GB"/>
              </w:rPr>
              <w:t>Scenario 4</w:t>
            </w:r>
          </w:p>
          <w:p w:rsidR="00854221" w:rsidRPr="00D80E11" w:rsidRDefault="00854221" w:rsidP="00854221">
            <w:pPr>
              <w:pStyle w:val="BodyText"/>
              <w:spacing w:before="0" w:after="0"/>
              <w:rPr>
                <w:lang w:eastAsia="en-GB"/>
              </w:rPr>
            </w:pPr>
            <w:r w:rsidRPr="00D80E11">
              <w:t>Quadrupled Access Charges</w:t>
            </w:r>
          </w:p>
        </w:tc>
        <w:tc>
          <w:tcPr>
            <w:tcW w:w="2194" w:type="dxa"/>
            <w:tcBorders>
              <w:lef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Road</w:t>
            </w:r>
          </w:p>
        </w:tc>
        <w:tc>
          <w:tcPr>
            <w:tcW w:w="272" w:type="dxa"/>
            <w:tcBorders>
              <w:top w:val="nil"/>
              <w:left w:val="nil"/>
              <w:bottom w:val="nil"/>
              <w:righ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 </w:t>
            </w:r>
          </w:p>
        </w:tc>
        <w:tc>
          <w:tcPr>
            <w:tcW w:w="1060" w:type="dxa"/>
            <w:tcBorders>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525.97</w:t>
            </w:r>
          </w:p>
        </w:tc>
        <w:tc>
          <w:tcPr>
            <w:tcW w:w="875"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23.69</w:t>
            </w:r>
          </w:p>
        </w:tc>
        <w:tc>
          <w:tcPr>
            <w:tcW w:w="1128"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85.65</w:t>
            </w:r>
          </w:p>
        </w:tc>
        <w:tc>
          <w:tcPr>
            <w:tcW w:w="98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81.75</w:t>
            </w:r>
          </w:p>
        </w:tc>
        <w:tc>
          <w:tcPr>
            <w:tcW w:w="1339"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676.96</w:t>
            </w:r>
          </w:p>
        </w:tc>
        <w:tc>
          <w:tcPr>
            <w:tcW w:w="115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70.01</w:t>
            </w:r>
          </w:p>
        </w:tc>
        <w:tc>
          <w:tcPr>
            <w:tcW w:w="98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709.53</w:t>
            </w:r>
          </w:p>
        </w:tc>
        <w:tc>
          <w:tcPr>
            <w:tcW w:w="1016" w:type="dxa"/>
            <w:tcBorders>
              <w:top w:val="nil"/>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2173.57</w:t>
            </w:r>
          </w:p>
        </w:tc>
      </w:tr>
      <w:tr w:rsidR="00854221" w:rsidRPr="00D80E11" w:rsidTr="00854221">
        <w:trPr>
          <w:trHeight w:val="255"/>
        </w:trPr>
        <w:tc>
          <w:tcPr>
            <w:tcW w:w="2425" w:type="dxa"/>
            <w:vMerge/>
            <w:tcBorders>
              <w:top w:val="nil"/>
              <w:left w:val="single" w:sz="8" w:space="0" w:color="auto"/>
              <w:bottom w:val="single" w:sz="8" w:space="0" w:color="auto"/>
              <w:right w:val="single" w:sz="8" w:space="0" w:color="auto"/>
            </w:tcBorders>
            <w:vAlign w:val="center"/>
          </w:tcPr>
          <w:p w:rsidR="00854221" w:rsidRPr="00D80E11" w:rsidRDefault="00854221" w:rsidP="00854221">
            <w:pPr>
              <w:pStyle w:val="BodyText"/>
              <w:spacing w:before="0" w:after="0"/>
              <w:rPr>
                <w:lang w:eastAsia="en-GB"/>
              </w:rPr>
            </w:pPr>
          </w:p>
        </w:tc>
        <w:tc>
          <w:tcPr>
            <w:tcW w:w="2466" w:type="dxa"/>
            <w:gridSpan w:val="2"/>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rPr>
                <w:i/>
                <w:iCs/>
                <w:lang w:eastAsia="en-GB"/>
              </w:rPr>
            </w:pPr>
            <w:r w:rsidRPr="00D80E11">
              <w:rPr>
                <w:i/>
                <w:iCs/>
                <w:lang w:eastAsia="en-GB"/>
              </w:rPr>
              <w:t>% change from do nothing</w:t>
            </w:r>
          </w:p>
        </w:tc>
        <w:tc>
          <w:tcPr>
            <w:tcW w:w="106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0.02</w:t>
            </w:r>
          </w:p>
        </w:tc>
        <w:tc>
          <w:tcPr>
            <w:tcW w:w="875"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1.69</w:t>
            </w:r>
          </w:p>
        </w:tc>
        <w:tc>
          <w:tcPr>
            <w:tcW w:w="1128"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0.19</w:t>
            </w:r>
          </w:p>
        </w:tc>
        <w:tc>
          <w:tcPr>
            <w:tcW w:w="98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7.72</w:t>
            </w:r>
          </w:p>
        </w:tc>
        <w:tc>
          <w:tcPr>
            <w:tcW w:w="1339"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0.13</w:t>
            </w:r>
          </w:p>
        </w:tc>
        <w:tc>
          <w:tcPr>
            <w:tcW w:w="115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1.20</w:t>
            </w:r>
          </w:p>
        </w:tc>
        <w:tc>
          <w:tcPr>
            <w:tcW w:w="98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0.12</w:t>
            </w:r>
          </w:p>
        </w:tc>
        <w:tc>
          <w:tcPr>
            <w:tcW w:w="1016"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0.42</w:t>
            </w:r>
          </w:p>
        </w:tc>
      </w:tr>
      <w:tr w:rsidR="00854221" w:rsidRPr="00D80E11" w:rsidTr="00854221">
        <w:trPr>
          <w:trHeight w:val="255"/>
        </w:trPr>
        <w:tc>
          <w:tcPr>
            <w:tcW w:w="2425" w:type="dxa"/>
            <w:vMerge/>
            <w:tcBorders>
              <w:top w:val="nil"/>
              <w:left w:val="single" w:sz="8" w:space="0" w:color="auto"/>
              <w:bottom w:val="single" w:sz="8" w:space="0" w:color="auto"/>
              <w:right w:val="single" w:sz="8" w:space="0" w:color="auto"/>
            </w:tcBorders>
            <w:vAlign w:val="center"/>
          </w:tcPr>
          <w:p w:rsidR="00854221" w:rsidRPr="00D80E11" w:rsidRDefault="00854221" w:rsidP="00854221">
            <w:pPr>
              <w:pStyle w:val="BodyText"/>
              <w:spacing w:before="0" w:after="0"/>
              <w:rPr>
                <w:lang w:eastAsia="en-GB"/>
              </w:rPr>
            </w:pPr>
          </w:p>
        </w:tc>
        <w:tc>
          <w:tcPr>
            <w:tcW w:w="2194" w:type="dxa"/>
            <w:tcBorders>
              <w:lef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Rail</w:t>
            </w:r>
          </w:p>
        </w:tc>
        <w:tc>
          <w:tcPr>
            <w:tcW w:w="272" w:type="dxa"/>
            <w:tcBorders>
              <w:top w:val="nil"/>
              <w:left w:val="nil"/>
              <w:bottom w:val="nil"/>
              <w:righ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 </w:t>
            </w:r>
          </w:p>
        </w:tc>
        <w:tc>
          <w:tcPr>
            <w:tcW w:w="1060" w:type="dxa"/>
            <w:tcBorders>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10.89</w:t>
            </w:r>
          </w:p>
        </w:tc>
        <w:tc>
          <w:tcPr>
            <w:tcW w:w="875"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41.73</w:t>
            </w:r>
          </w:p>
        </w:tc>
        <w:tc>
          <w:tcPr>
            <w:tcW w:w="1128"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10.70</w:t>
            </w:r>
          </w:p>
        </w:tc>
        <w:tc>
          <w:tcPr>
            <w:tcW w:w="98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23.88</w:t>
            </w:r>
          </w:p>
        </w:tc>
        <w:tc>
          <w:tcPr>
            <w:tcW w:w="1339"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25.99</w:t>
            </w:r>
          </w:p>
        </w:tc>
        <w:tc>
          <w:tcPr>
            <w:tcW w:w="115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0.66</w:t>
            </w:r>
          </w:p>
        </w:tc>
        <w:tc>
          <w:tcPr>
            <w:tcW w:w="98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11.82</w:t>
            </w:r>
          </w:p>
        </w:tc>
        <w:tc>
          <w:tcPr>
            <w:tcW w:w="1016" w:type="dxa"/>
            <w:tcBorders>
              <w:top w:val="nil"/>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125.66</w:t>
            </w:r>
          </w:p>
        </w:tc>
      </w:tr>
      <w:tr w:rsidR="00854221" w:rsidRPr="00D80E11" w:rsidTr="00854221">
        <w:trPr>
          <w:trHeight w:val="96"/>
        </w:trPr>
        <w:tc>
          <w:tcPr>
            <w:tcW w:w="2425" w:type="dxa"/>
            <w:vMerge/>
            <w:tcBorders>
              <w:top w:val="nil"/>
              <w:left w:val="single" w:sz="8" w:space="0" w:color="auto"/>
              <w:bottom w:val="single" w:sz="8" w:space="0" w:color="auto"/>
              <w:right w:val="single" w:sz="8" w:space="0" w:color="auto"/>
            </w:tcBorders>
            <w:vAlign w:val="center"/>
          </w:tcPr>
          <w:p w:rsidR="00854221" w:rsidRPr="00D80E11" w:rsidRDefault="00854221" w:rsidP="00854221">
            <w:pPr>
              <w:pStyle w:val="BodyText"/>
              <w:spacing w:before="0" w:after="0"/>
              <w:rPr>
                <w:lang w:eastAsia="en-GB"/>
              </w:rPr>
            </w:pPr>
          </w:p>
        </w:tc>
        <w:tc>
          <w:tcPr>
            <w:tcW w:w="2466" w:type="dxa"/>
            <w:gridSpan w:val="2"/>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rPr>
                <w:i/>
                <w:iCs/>
                <w:lang w:eastAsia="en-GB"/>
              </w:rPr>
            </w:pPr>
            <w:r w:rsidRPr="00D80E11">
              <w:rPr>
                <w:i/>
                <w:iCs/>
                <w:lang w:eastAsia="en-GB"/>
              </w:rPr>
              <w:t>% change from do nothing </w:t>
            </w:r>
          </w:p>
        </w:tc>
        <w:tc>
          <w:tcPr>
            <w:tcW w:w="1060" w:type="dxa"/>
            <w:tcBorders>
              <w:top w:val="nil"/>
              <w:left w:val="nil"/>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-3.82</w:t>
            </w:r>
          </w:p>
        </w:tc>
        <w:tc>
          <w:tcPr>
            <w:tcW w:w="875"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-0.93</w:t>
            </w:r>
          </w:p>
        </w:tc>
        <w:tc>
          <w:tcPr>
            <w:tcW w:w="1128"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-1.32</w:t>
            </w:r>
          </w:p>
        </w:tc>
        <w:tc>
          <w:tcPr>
            <w:tcW w:w="98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-29.39</w:t>
            </w:r>
          </w:p>
        </w:tc>
        <w:tc>
          <w:tcPr>
            <w:tcW w:w="1339"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-6.22</w:t>
            </w:r>
          </w:p>
        </w:tc>
        <w:tc>
          <w:tcPr>
            <w:tcW w:w="115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-59.94</w:t>
            </w:r>
          </w:p>
        </w:tc>
        <w:tc>
          <w:tcPr>
            <w:tcW w:w="98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-26.91</w:t>
            </w:r>
          </w:p>
        </w:tc>
        <w:tc>
          <w:tcPr>
            <w:tcW w:w="1016"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-12.51</w:t>
            </w:r>
          </w:p>
        </w:tc>
      </w:tr>
      <w:tr w:rsidR="00854221" w:rsidRPr="00D80E11" w:rsidTr="00854221">
        <w:trPr>
          <w:trHeight w:val="255"/>
        </w:trPr>
        <w:tc>
          <w:tcPr>
            <w:tcW w:w="2425" w:type="dxa"/>
            <w:vMerge w:val="restart"/>
            <w:tcBorders>
              <w:top w:val="nil"/>
              <w:left w:val="single" w:sz="8" w:space="0" w:color="auto"/>
              <w:bottom w:val="single" w:sz="8" w:space="0" w:color="auto"/>
              <w:right w:val="single" w:sz="8" w:space="0" w:color="auto"/>
            </w:tcBorders>
            <w:noWrap/>
            <w:vAlign w:val="center"/>
          </w:tcPr>
          <w:p w:rsidR="00854221" w:rsidRPr="00D80E11" w:rsidRDefault="00854221" w:rsidP="00854221">
            <w:pPr>
              <w:pStyle w:val="BodyText"/>
              <w:spacing w:before="0" w:after="0"/>
              <w:rPr>
                <w:lang w:eastAsia="en-GB"/>
              </w:rPr>
            </w:pPr>
            <w:r w:rsidRPr="00D80E11">
              <w:rPr>
                <w:lang w:eastAsia="en-GB"/>
              </w:rPr>
              <w:t>Scenario 5</w:t>
            </w:r>
          </w:p>
          <w:p w:rsidR="00854221" w:rsidRPr="00D80E11" w:rsidRDefault="00854221" w:rsidP="00854221">
            <w:pPr>
              <w:pStyle w:val="BodyText"/>
              <w:spacing w:before="0" w:after="0"/>
              <w:rPr>
                <w:lang w:eastAsia="en-GB"/>
              </w:rPr>
            </w:pPr>
            <w:r w:rsidRPr="00D80E11">
              <w:t>Higher Short Distance Access Charges</w:t>
            </w:r>
          </w:p>
        </w:tc>
        <w:tc>
          <w:tcPr>
            <w:tcW w:w="2194" w:type="dxa"/>
            <w:tcBorders>
              <w:lef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Road</w:t>
            </w:r>
          </w:p>
        </w:tc>
        <w:tc>
          <w:tcPr>
            <w:tcW w:w="272" w:type="dxa"/>
            <w:tcBorders>
              <w:top w:val="nil"/>
              <w:left w:val="nil"/>
              <w:bottom w:val="nil"/>
              <w:righ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 </w:t>
            </w:r>
          </w:p>
        </w:tc>
        <w:tc>
          <w:tcPr>
            <w:tcW w:w="1060" w:type="dxa"/>
            <w:tcBorders>
              <w:top w:val="single" w:sz="4" w:space="0" w:color="auto"/>
              <w:left w:val="nil"/>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525.88</w:t>
            </w:r>
          </w:p>
        </w:tc>
        <w:tc>
          <w:tcPr>
            <w:tcW w:w="875" w:type="dxa"/>
            <w:tcBorders>
              <w:top w:val="single" w:sz="4"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23.37</w:t>
            </w:r>
          </w:p>
        </w:tc>
        <w:tc>
          <w:tcPr>
            <w:tcW w:w="1128" w:type="dxa"/>
            <w:tcBorders>
              <w:top w:val="single" w:sz="4"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85.54</w:t>
            </w:r>
          </w:p>
        </w:tc>
        <w:tc>
          <w:tcPr>
            <w:tcW w:w="980" w:type="dxa"/>
            <w:tcBorders>
              <w:top w:val="single" w:sz="4"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77.46</w:t>
            </w:r>
          </w:p>
        </w:tc>
        <w:tc>
          <w:tcPr>
            <w:tcW w:w="1339" w:type="dxa"/>
            <w:tcBorders>
              <w:top w:val="single" w:sz="4"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676.24</w:t>
            </w:r>
          </w:p>
        </w:tc>
        <w:tc>
          <w:tcPr>
            <w:tcW w:w="1150" w:type="dxa"/>
            <w:tcBorders>
              <w:top w:val="single" w:sz="4"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69.37</w:t>
            </w:r>
          </w:p>
        </w:tc>
        <w:tc>
          <w:tcPr>
            <w:tcW w:w="980" w:type="dxa"/>
            <w:tcBorders>
              <w:top w:val="single" w:sz="4"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708.84</w:t>
            </w:r>
          </w:p>
        </w:tc>
        <w:tc>
          <w:tcPr>
            <w:tcW w:w="1016" w:type="dxa"/>
            <w:tcBorders>
              <w:top w:val="single" w:sz="4"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2166.70</w:t>
            </w:r>
          </w:p>
        </w:tc>
      </w:tr>
      <w:tr w:rsidR="00854221" w:rsidRPr="00D80E11" w:rsidTr="00854221">
        <w:trPr>
          <w:trHeight w:val="255"/>
        </w:trPr>
        <w:tc>
          <w:tcPr>
            <w:tcW w:w="2425" w:type="dxa"/>
            <w:vMerge/>
            <w:tcBorders>
              <w:top w:val="nil"/>
              <w:left w:val="single" w:sz="8" w:space="0" w:color="auto"/>
              <w:bottom w:val="single" w:sz="8" w:space="0" w:color="auto"/>
              <w:right w:val="single" w:sz="8" w:space="0" w:color="auto"/>
            </w:tcBorders>
            <w:vAlign w:val="center"/>
          </w:tcPr>
          <w:p w:rsidR="00854221" w:rsidRPr="00D80E11" w:rsidRDefault="00854221" w:rsidP="00854221">
            <w:pPr>
              <w:pStyle w:val="BodyText"/>
              <w:spacing w:before="0" w:after="0"/>
              <w:rPr>
                <w:lang w:eastAsia="en-GB"/>
              </w:rPr>
            </w:pPr>
          </w:p>
        </w:tc>
        <w:tc>
          <w:tcPr>
            <w:tcW w:w="2466" w:type="dxa"/>
            <w:gridSpan w:val="2"/>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rPr>
                <w:i/>
                <w:iCs/>
                <w:lang w:eastAsia="en-GB"/>
              </w:rPr>
            </w:pPr>
            <w:r w:rsidRPr="00D80E11">
              <w:rPr>
                <w:i/>
                <w:iCs/>
                <w:lang w:eastAsia="en-GB"/>
              </w:rPr>
              <w:t>% change from do nothing</w:t>
            </w:r>
          </w:p>
        </w:tc>
        <w:tc>
          <w:tcPr>
            <w:tcW w:w="106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0.00</w:t>
            </w:r>
          </w:p>
        </w:tc>
        <w:tc>
          <w:tcPr>
            <w:tcW w:w="875"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0.32</w:t>
            </w:r>
          </w:p>
        </w:tc>
        <w:tc>
          <w:tcPr>
            <w:tcW w:w="1128"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0.06</w:t>
            </w:r>
          </w:p>
        </w:tc>
        <w:tc>
          <w:tcPr>
            <w:tcW w:w="98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2.07</w:t>
            </w:r>
          </w:p>
        </w:tc>
        <w:tc>
          <w:tcPr>
            <w:tcW w:w="1339"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0.02</w:t>
            </w:r>
          </w:p>
        </w:tc>
        <w:tc>
          <w:tcPr>
            <w:tcW w:w="115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0.27</w:t>
            </w:r>
          </w:p>
        </w:tc>
        <w:tc>
          <w:tcPr>
            <w:tcW w:w="98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0.02</w:t>
            </w:r>
          </w:p>
        </w:tc>
        <w:tc>
          <w:tcPr>
            <w:tcW w:w="1016"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0.10</w:t>
            </w:r>
          </w:p>
        </w:tc>
      </w:tr>
      <w:tr w:rsidR="00854221" w:rsidRPr="00D80E11" w:rsidTr="00854221">
        <w:trPr>
          <w:trHeight w:val="255"/>
        </w:trPr>
        <w:tc>
          <w:tcPr>
            <w:tcW w:w="2425" w:type="dxa"/>
            <w:vMerge/>
            <w:tcBorders>
              <w:top w:val="nil"/>
              <w:left w:val="single" w:sz="8" w:space="0" w:color="auto"/>
              <w:bottom w:val="single" w:sz="8" w:space="0" w:color="auto"/>
              <w:right w:val="single" w:sz="8" w:space="0" w:color="auto"/>
            </w:tcBorders>
            <w:vAlign w:val="center"/>
          </w:tcPr>
          <w:p w:rsidR="00854221" w:rsidRPr="00D80E11" w:rsidRDefault="00854221" w:rsidP="00854221">
            <w:pPr>
              <w:pStyle w:val="BodyText"/>
              <w:spacing w:before="0" w:after="0"/>
              <w:rPr>
                <w:lang w:eastAsia="en-GB"/>
              </w:rPr>
            </w:pPr>
          </w:p>
        </w:tc>
        <w:tc>
          <w:tcPr>
            <w:tcW w:w="2194" w:type="dxa"/>
            <w:tcBorders>
              <w:lef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Rail</w:t>
            </w:r>
          </w:p>
        </w:tc>
        <w:tc>
          <w:tcPr>
            <w:tcW w:w="272" w:type="dxa"/>
            <w:tcBorders>
              <w:top w:val="nil"/>
              <w:left w:val="nil"/>
              <w:bottom w:val="nil"/>
              <w:righ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 </w:t>
            </w:r>
          </w:p>
        </w:tc>
        <w:tc>
          <w:tcPr>
            <w:tcW w:w="1060" w:type="dxa"/>
            <w:tcBorders>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11.23</w:t>
            </w:r>
          </w:p>
        </w:tc>
        <w:tc>
          <w:tcPr>
            <w:tcW w:w="875"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42.05</w:t>
            </w:r>
          </w:p>
        </w:tc>
        <w:tc>
          <w:tcPr>
            <w:tcW w:w="1128"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10.79</w:t>
            </w:r>
          </w:p>
        </w:tc>
        <w:tc>
          <w:tcPr>
            <w:tcW w:w="98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31.16</w:t>
            </w:r>
          </w:p>
        </w:tc>
        <w:tc>
          <w:tcPr>
            <w:tcW w:w="1339"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27.26</w:t>
            </w:r>
          </w:p>
        </w:tc>
        <w:tc>
          <w:tcPr>
            <w:tcW w:w="115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1.42</w:t>
            </w:r>
          </w:p>
        </w:tc>
        <w:tc>
          <w:tcPr>
            <w:tcW w:w="98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15.44</w:t>
            </w:r>
          </w:p>
        </w:tc>
        <w:tc>
          <w:tcPr>
            <w:tcW w:w="1016" w:type="dxa"/>
            <w:tcBorders>
              <w:top w:val="nil"/>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139.35</w:t>
            </w:r>
          </w:p>
        </w:tc>
      </w:tr>
      <w:tr w:rsidR="00854221" w:rsidRPr="00D80E11" w:rsidTr="00854221">
        <w:trPr>
          <w:trHeight w:val="270"/>
        </w:trPr>
        <w:tc>
          <w:tcPr>
            <w:tcW w:w="2425" w:type="dxa"/>
            <w:vMerge/>
            <w:tcBorders>
              <w:top w:val="nil"/>
              <w:left w:val="single" w:sz="8" w:space="0" w:color="auto"/>
              <w:bottom w:val="single" w:sz="8" w:space="0" w:color="auto"/>
              <w:right w:val="single" w:sz="8" w:space="0" w:color="auto"/>
            </w:tcBorders>
            <w:vAlign w:val="center"/>
          </w:tcPr>
          <w:p w:rsidR="00854221" w:rsidRPr="00D80E11" w:rsidRDefault="00854221" w:rsidP="00854221">
            <w:pPr>
              <w:pStyle w:val="BodyText"/>
              <w:spacing w:before="0" w:after="0"/>
              <w:rPr>
                <w:lang w:eastAsia="en-GB"/>
              </w:rPr>
            </w:pPr>
          </w:p>
        </w:tc>
        <w:tc>
          <w:tcPr>
            <w:tcW w:w="2466" w:type="dxa"/>
            <w:gridSpan w:val="2"/>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rPr>
                <w:i/>
                <w:iCs/>
                <w:lang w:eastAsia="en-GB"/>
              </w:rPr>
            </w:pPr>
            <w:r w:rsidRPr="00D80E11">
              <w:rPr>
                <w:i/>
                <w:iCs/>
                <w:lang w:eastAsia="en-GB"/>
              </w:rPr>
              <w:t>% change from do nothing </w:t>
            </w:r>
          </w:p>
        </w:tc>
        <w:tc>
          <w:tcPr>
            <w:tcW w:w="1060" w:type="dxa"/>
            <w:tcBorders>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-0.79</w:t>
            </w:r>
          </w:p>
        </w:tc>
        <w:tc>
          <w:tcPr>
            <w:tcW w:w="875"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-0.18</w:t>
            </w:r>
          </w:p>
        </w:tc>
        <w:tc>
          <w:tcPr>
            <w:tcW w:w="1128"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-0.41</w:t>
            </w:r>
          </w:p>
        </w:tc>
        <w:tc>
          <w:tcPr>
            <w:tcW w:w="98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-7.85</w:t>
            </w:r>
          </w:p>
        </w:tc>
        <w:tc>
          <w:tcPr>
            <w:tcW w:w="1339"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-1.66</w:t>
            </w:r>
          </w:p>
        </w:tc>
        <w:tc>
          <w:tcPr>
            <w:tcW w:w="115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-13.46</w:t>
            </w:r>
          </w:p>
        </w:tc>
        <w:tc>
          <w:tcPr>
            <w:tcW w:w="98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-4.54</w:t>
            </w:r>
          </w:p>
        </w:tc>
        <w:tc>
          <w:tcPr>
            <w:tcW w:w="1016" w:type="dxa"/>
            <w:tcBorders>
              <w:top w:val="nil"/>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-2.98</w:t>
            </w:r>
          </w:p>
        </w:tc>
      </w:tr>
      <w:tr w:rsidR="00854221" w:rsidRPr="00D80E11" w:rsidTr="00854221">
        <w:trPr>
          <w:trHeight w:val="255"/>
        </w:trPr>
        <w:tc>
          <w:tcPr>
            <w:tcW w:w="2425" w:type="dxa"/>
            <w:vMerge w:val="restart"/>
            <w:tcBorders>
              <w:top w:val="nil"/>
              <w:left w:val="single" w:sz="8" w:space="0" w:color="auto"/>
              <w:bottom w:val="single" w:sz="8" w:space="0" w:color="auto"/>
              <w:right w:val="single" w:sz="8" w:space="0" w:color="auto"/>
            </w:tcBorders>
            <w:noWrap/>
            <w:vAlign w:val="center"/>
          </w:tcPr>
          <w:p w:rsidR="00854221" w:rsidRPr="00D80E11" w:rsidRDefault="00854221" w:rsidP="00854221">
            <w:pPr>
              <w:pStyle w:val="BodyText"/>
              <w:spacing w:before="0" w:after="0"/>
              <w:rPr>
                <w:lang w:eastAsia="en-GB"/>
              </w:rPr>
            </w:pPr>
            <w:r w:rsidRPr="00D80E11">
              <w:rPr>
                <w:lang w:eastAsia="en-GB"/>
              </w:rPr>
              <w:t>Scenario 6</w:t>
            </w:r>
          </w:p>
          <w:p w:rsidR="00854221" w:rsidRPr="00D80E11" w:rsidRDefault="00854221" w:rsidP="00854221">
            <w:pPr>
              <w:pStyle w:val="BodyText"/>
              <w:spacing w:before="0" w:after="0"/>
              <w:rPr>
                <w:lang w:eastAsia="en-GB"/>
              </w:rPr>
            </w:pPr>
            <w:r w:rsidRPr="00D80E11">
              <w:t>Higher Short/ Lower Long Distance Charges</w:t>
            </w:r>
            <w:r w:rsidRPr="00D80E11">
              <w:rPr>
                <w:lang w:eastAsia="en-GB"/>
              </w:rPr>
              <w:t> </w:t>
            </w:r>
          </w:p>
        </w:tc>
        <w:tc>
          <w:tcPr>
            <w:tcW w:w="2194" w:type="dxa"/>
            <w:tcBorders>
              <w:top w:val="single" w:sz="8" w:space="0" w:color="auto"/>
              <w:left w:val="single" w:sz="8" w:space="0" w:color="auto"/>
              <w:bottom w:val="nil"/>
              <w:right w:val="nil"/>
            </w:tcBorders>
            <w:noWrap/>
            <w:vAlign w:val="bottom"/>
          </w:tcPr>
          <w:p w:rsidR="00854221" w:rsidRPr="00D80E11" w:rsidRDefault="00854221" w:rsidP="00854221">
            <w:pPr>
              <w:pStyle w:val="BodyText"/>
              <w:spacing w:before="0" w:after="0"/>
              <w:rPr>
                <w:lang w:eastAsia="en-GB"/>
              </w:rPr>
            </w:pPr>
            <w:r w:rsidRPr="00D80E11">
              <w:rPr>
                <w:lang w:eastAsia="en-GB"/>
              </w:rPr>
              <w:t>Road</w:t>
            </w:r>
          </w:p>
        </w:tc>
        <w:tc>
          <w:tcPr>
            <w:tcW w:w="272" w:type="dxa"/>
            <w:tcBorders>
              <w:top w:val="nil"/>
              <w:left w:val="nil"/>
              <w:bottom w:val="nil"/>
              <w:righ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 </w:t>
            </w:r>
          </w:p>
        </w:tc>
        <w:tc>
          <w:tcPr>
            <w:tcW w:w="1060" w:type="dxa"/>
            <w:tcBorders>
              <w:top w:val="single" w:sz="8" w:space="0" w:color="auto"/>
              <w:left w:val="nil"/>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525.88</w:t>
            </w:r>
          </w:p>
        </w:tc>
        <w:tc>
          <w:tcPr>
            <w:tcW w:w="875"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23.35</w:t>
            </w:r>
          </w:p>
        </w:tc>
        <w:tc>
          <w:tcPr>
            <w:tcW w:w="1128"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85.52</w:t>
            </w:r>
          </w:p>
        </w:tc>
        <w:tc>
          <w:tcPr>
            <w:tcW w:w="980"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76.98</w:t>
            </w:r>
          </w:p>
        </w:tc>
        <w:tc>
          <w:tcPr>
            <w:tcW w:w="1339"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676.20</w:t>
            </w:r>
          </w:p>
        </w:tc>
        <w:tc>
          <w:tcPr>
            <w:tcW w:w="1150"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69.29</w:t>
            </w:r>
          </w:p>
        </w:tc>
        <w:tc>
          <w:tcPr>
            <w:tcW w:w="980"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708.75</w:t>
            </w:r>
          </w:p>
        </w:tc>
        <w:tc>
          <w:tcPr>
            <w:tcW w:w="1016" w:type="dxa"/>
            <w:tcBorders>
              <w:top w:val="single" w:sz="8" w:space="0" w:color="auto"/>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2165.96</w:t>
            </w:r>
          </w:p>
        </w:tc>
      </w:tr>
      <w:tr w:rsidR="00854221" w:rsidRPr="00D80E11" w:rsidTr="00854221">
        <w:trPr>
          <w:trHeight w:val="255"/>
        </w:trPr>
        <w:tc>
          <w:tcPr>
            <w:tcW w:w="2425" w:type="dxa"/>
            <w:vMerge/>
            <w:tcBorders>
              <w:top w:val="nil"/>
              <w:left w:val="single" w:sz="8" w:space="0" w:color="auto"/>
              <w:bottom w:val="single" w:sz="8" w:space="0" w:color="auto"/>
              <w:right w:val="single" w:sz="8" w:space="0" w:color="auto"/>
            </w:tcBorders>
            <w:vAlign w:val="center"/>
          </w:tcPr>
          <w:p w:rsidR="00854221" w:rsidRPr="00D80E11" w:rsidRDefault="00854221" w:rsidP="00854221">
            <w:pPr>
              <w:pStyle w:val="BodyText"/>
              <w:spacing w:before="0" w:after="0"/>
              <w:rPr>
                <w:lang w:eastAsia="en-GB"/>
              </w:rPr>
            </w:pPr>
          </w:p>
        </w:tc>
        <w:tc>
          <w:tcPr>
            <w:tcW w:w="2466" w:type="dxa"/>
            <w:gridSpan w:val="2"/>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rPr>
                <w:i/>
                <w:iCs/>
                <w:lang w:eastAsia="en-GB"/>
              </w:rPr>
            </w:pPr>
            <w:r w:rsidRPr="00D80E11">
              <w:rPr>
                <w:i/>
                <w:iCs/>
                <w:lang w:eastAsia="en-GB"/>
              </w:rPr>
              <w:t>% change from do nothing</w:t>
            </w:r>
          </w:p>
        </w:tc>
        <w:tc>
          <w:tcPr>
            <w:tcW w:w="106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0.00</w:t>
            </w:r>
          </w:p>
        </w:tc>
        <w:tc>
          <w:tcPr>
            <w:tcW w:w="875"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0.20</w:t>
            </w:r>
          </w:p>
        </w:tc>
        <w:tc>
          <w:tcPr>
            <w:tcW w:w="1128"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0.04</w:t>
            </w:r>
          </w:p>
        </w:tc>
        <w:tc>
          <w:tcPr>
            <w:tcW w:w="98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1.43</w:t>
            </w:r>
          </w:p>
        </w:tc>
        <w:tc>
          <w:tcPr>
            <w:tcW w:w="1339"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0.02</w:t>
            </w:r>
          </w:p>
        </w:tc>
        <w:tc>
          <w:tcPr>
            <w:tcW w:w="115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0.15</w:t>
            </w:r>
          </w:p>
        </w:tc>
        <w:tc>
          <w:tcPr>
            <w:tcW w:w="980"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0.01</w:t>
            </w:r>
          </w:p>
        </w:tc>
        <w:tc>
          <w:tcPr>
            <w:tcW w:w="1016" w:type="dxa"/>
            <w:tcBorders>
              <w:top w:val="nil"/>
              <w:left w:val="single" w:sz="8" w:space="0" w:color="auto"/>
              <w:bottom w:val="single" w:sz="4"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0.07</w:t>
            </w:r>
          </w:p>
        </w:tc>
      </w:tr>
      <w:tr w:rsidR="00854221" w:rsidRPr="00D80E11" w:rsidTr="00854221">
        <w:trPr>
          <w:trHeight w:val="255"/>
        </w:trPr>
        <w:tc>
          <w:tcPr>
            <w:tcW w:w="2425" w:type="dxa"/>
            <w:vMerge/>
            <w:tcBorders>
              <w:top w:val="nil"/>
              <w:left w:val="single" w:sz="8" w:space="0" w:color="auto"/>
              <w:bottom w:val="single" w:sz="8" w:space="0" w:color="auto"/>
              <w:right w:val="single" w:sz="8" w:space="0" w:color="auto"/>
            </w:tcBorders>
            <w:vAlign w:val="center"/>
          </w:tcPr>
          <w:p w:rsidR="00854221" w:rsidRPr="00D80E11" w:rsidRDefault="00854221" w:rsidP="00854221">
            <w:pPr>
              <w:pStyle w:val="BodyText"/>
              <w:spacing w:before="0" w:after="0"/>
              <w:rPr>
                <w:lang w:eastAsia="en-GB"/>
              </w:rPr>
            </w:pPr>
          </w:p>
        </w:tc>
        <w:tc>
          <w:tcPr>
            <w:tcW w:w="2194" w:type="dxa"/>
            <w:tcBorders>
              <w:lef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Rail</w:t>
            </w:r>
          </w:p>
        </w:tc>
        <w:tc>
          <w:tcPr>
            <w:tcW w:w="272" w:type="dxa"/>
            <w:tcBorders>
              <w:top w:val="nil"/>
              <w:left w:val="nil"/>
              <w:bottom w:val="nil"/>
              <w:right w:val="single" w:sz="8" w:space="0" w:color="auto"/>
            </w:tcBorders>
            <w:noWrap/>
            <w:vAlign w:val="bottom"/>
          </w:tcPr>
          <w:p w:rsidR="00854221" w:rsidRPr="00D80E11" w:rsidRDefault="00854221" w:rsidP="00854221">
            <w:pPr>
              <w:pStyle w:val="BodyText"/>
              <w:spacing w:before="0" w:after="0"/>
              <w:rPr>
                <w:lang w:eastAsia="en-GB"/>
              </w:rPr>
            </w:pPr>
            <w:r w:rsidRPr="00D80E11">
              <w:rPr>
                <w:lang w:eastAsia="en-GB"/>
              </w:rPr>
              <w:t> </w:t>
            </w:r>
          </w:p>
        </w:tc>
        <w:tc>
          <w:tcPr>
            <w:tcW w:w="1060" w:type="dxa"/>
            <w:tcBorders>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11.26</w:t>
            </w:r>
          </w:p>
        </w:tc>
        <w:tc>
          <w:tcPr>
            <w:tcW w:w="875"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42.07</w:t>
            </w:r>
          </w:p>
        </w:tc>
        <w:tc>
          <w:tcPr>
            <w:tcW w:w="1128"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10.81</w:t>
            </w:r>
          </w:p>
        </w:tc>
        <w:tc>
          <w:tcPr>
            <w:tcW w:w="98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32.00</w:t>
            </w:r>
          </w:p>
        </w:tc>
        <w:tc>
          <w:tcPr>
            <w:tcW w:w="1339"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27.40</w:t>
            </w:r>
          </w:p>
        </w:tc>
        <w:tc>
          <w:tcPr>
            <w:tcW w:w="115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1.52</w:t>
            </w:r>
          </w:p>
        </w:tc>
        <w:tc>
          <w:tcPr>
            <w:tcW w:w="980" w:type="dxa"/>
            <w:tcBorders>
              <w:left w:val="single" w:sz="8" w:space="0" w:color="auto"/>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15.91</w:t>
            </w:r>
          </w:p>
        </w:tc>
        <w:tc>
          <w:tcPr>
            <w:tcW w:w="1016" w:type="dxa"/>
            <w:tcBorders>
              <w:top w:val="nil"/>
              <w:left w:val="single" w:sz="8" w:space="0" w:color="auto"/>
              <w:bottom w:val="nil"/>
              <w:right w:val="single" w:sz="8" w:space="0" w:color="auto"/>
            </w:tcBorders>
            <w:noWrap/>
            <w:vAlign w:val="bottom"/>
          </w:tcPr>
          <w:p w:rsidR="00854221" w:rsidRPr="00D80E11" w:rsidRDefault="00854221" w:rsidP="00854221">
            <w:pPr>
              <w:pStyle w:val="BodyText"/>
              <w:spacing w:before="0" w:after="0"/>
              <w:jc w:val="right"/>
              <w:rPr>
                <w:lang w:eastAsia="en-GB"/>
              </w:rPr>
            </w:pPr>
            <w:r w:rsidRPr="00D80E11">
              <w:rPr>
                <w:lang w:eastAsia="en-GB"/>
              </w:rPr>
              <w:t>140.97</w:t>
            </w:r>
          </w:p>
        </w:tc>
      </w:tr>
      <w:tr w:rsidR="00854221" w:rsidRPr="00D80E11" w:rsidTr="00854221">
        <w:trPr>
          <w:trHeight w:val="270"/>
        </w:trPr>
        <w:tc>
          <w:tcPr>
            <w:tcW w:w="2425" w:type="dxa"/>
            <w:vMerge/>
            <w:tcBorders>
              <w:top w:val="nil"/>
              <w:left w:val="single" w:sz="8" w:space="0" w:color="auto"/>
              <w:bottom w:val="single" w:sz="8" w:space="0" w:color="auto"/>
              <w:right w:val="single" w:sz="8" w:space="0" w:color="auto"/>
            </w:tcBorders>
            <w:vAlign w:val="center"/>
          </w:tcPr>
          <w:p w:rsidR="00854221" w:rsidRPr="00D80E11" w:rsidRDefault="00854221" w:rsidP="00854221">
            <w:pPr>
              <w:pStyle w:val="BodyText"/>
              <w:spacing w:before="0" w:after="0"/>
              <w:rPr>
                <w:lang w:eastAsia="en-GB"/>
              </w:rPr>
            </w:pPr>
          </w:p>
        </w:tc>
        <w:tc>
          <w:tcPr>
            <w:tcW w:w="2466" w:type="dxa"/>
            <w:gridSpan w:val="2"/>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rPr>
                <w:i/>
                <w:iCs/>
                <w:lang w:eastAsia="en-GB"/>
              </w:rPr>
            </w:pPr>
            <w:r w:rsidRPr="00D80E11">
              <w:rPr>
                <w:i/>
                <w:iCs/>
                <w:lang w:eastAsia="en-GB"/>
              </w:rPr>
              <w:t>% change from do nothing</w:t>
            </w:r>
          </w:p>
        </w:tc>
        <w:tc>
          <w:tcPr>
            <w:tcW w:w="1060"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-0.51</w:t>
            </w:r>
          </w:p>
        </w:tc>
        <w:tc>
          <w:tcPr>
            <w:tcW w:w="875"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-0.11</w:t>
            </w:r>
          </w:p>
        </w:tc>
        <w:tc>
          <w:tcPr>
            <w:tcW w:w="1128"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-0.30</w:t>
            </w:r>
          </w:p>
        </w:tc>
        <w:tc>
          <w:tcPr>
            <w:tcW w:w="980"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-5.38</w:t>
            </w:r>
          </w:p>
        </w:tc>
        <w:tc>
          <w:tcPr>
            <w:tcW w:w="1339"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-1.14</w:t>
            </w:r>
          </w:p>
        </w:tc>
        <w:tc>
          <w:tcPr>
            <w:tcW w:w="1150"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-7.41</w:t>
            </w:r>
          </w:p>
        </w:tc>
        <w:tc>
          <w:tcPr>
            <w:tcW w:w="980"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-1.61</w:t>
            </w:r>
          </w:p>
        </w:tc>
        <w:tc>
          <w:tcPr>
            <w:tcW w:w="1016" w:type="dxa"/>
            <w:tcBorders>
              <w:top w:val="nil"/>
              <w:left w:val="single" w:sz="8" w:space="0" w:color="auto"/>
              <w:bottom w:val="single" w:sz="8" w:space="0" w:color="auto"/>
              <w:right w:val="single" w:sz="8" w:space="0" w:color="auto"/>
            </w:tcBorders>
            <w:noWrap/>
            <w:vAlign w:val="bottom"/>
          </w:tcPr>
          <w:p w:rsidR="00854221" w:rsidRPr="00D80E11" w:rsidRDefault="00854221" w:rsidP="00854221">
            <w:pPr>
              <w:pStyle w:val="BodyText"/>
              <w:spacing w:before="0" w:after="0"/>
              <w:jc w:val="right"/>
              <w:rPr>
                <w:i/>
                <w:iCs/>
                <w:lang w:eastAsia="en-GB"/>
              </w:rPr>
            </w:pPr>
            <w:r w:rsidRPr="00D80E11">
              <w:rPr>
                <w:i/>
                <w:iCs/>
                <w:lang w:eastAsia="en-GB"/>
              </w:rPr>
              <w:t>-1.85</w:t>
            </w:r>
          </w:p>
        </w:tc>
      </w:tr>
    </w:tbl>
    <w:p w:rsidR="00854221" w:rsidRPr="00D80E11" w:rsidRDefault="00854221" w:rsidP="00854221">
      <w:pPr>
        <w:rPr>
          <w:rFonts w:cs="Arial"/>
        </w:rPr>
        <w:sectPr w:rsidR="00854221" w:rsidRPr="00D80E11" w:rsidSect="00067008">
          <w:headerReference w:type="default" r:id="rId13"/>
          <w:footerReference w:type="default" r:id="rId14"/>
          <w:pgSz w:w="16840" w:h="11907" w:orient="landscape"/>
          <w:pgMar w:top="426" w:right="1418" w:bottom="567" w:left="1418" w:header="567" w:footer="851" w:gutter="0"/>
          <w:cols w:space="720"/>
        </w:sectPr>
      </w:pPr>
    </w:p>
    <w:tbl>
      <w:tblPr>
        <w:tblW w:w="13083" w:type="dxa"/>
        <w:tblInd w:w="93" w:type="dxa"/>
        <w:tblLook w:val="04A0"/>
      </w:tblPr>
      <w:tblGrid>
        <w:gridCol w:w="2060"/>
        <w:gridCol w:w="978"/>
        <w:gridCol w:w="1477"/>
        <w:gridCol w:w="1134"/>
        <w:gridCol w:w="924"/>
        <w:gridCol w:w="1128"/>
        <w:gridCol w:w="938"/>
        <w:gridCol w:w="1339"/>
        <w:gridCol w:w="1150"/>
        <w:gridCol w:w="939"/>
        <w:gridCol w:w="1016"/>
      </w:tblGrid>
      <w:tr w:rsidR="00854221" w:rsidRPr="00D80E11" w:rsidTr="004F2316">
        <w:trPr>
          <w:trHeight w:val="330"/>
        </w:trPr>
        <w:tc>
          <w:tcPr>
            <w:tcW w:w="13083" w:type="dxa"/>
            <w:gridSpan w:val="11"/>
            <w:tcBorders>
              <w:bottom w:val="single" w:sz="4" w:space="0" w:color="auto"/>
            </w:tcBorders>
            <w:noWrap/>
            <w:vAlign w:val="bottom"/>
          </w:tcPr>
          <w:p w:rsidR="004F2316" w:rsidRPr="004F2316" w:rsidRDefault="00854221" w:rsidP="004F2316">
            <w:pPr>
              <w:pStyle w:val="Caption"/>
              <w:rPr>
                <w:rFonts w:cs="Arial"/>
                <w:lang w:eastAsia="en-GB"/>
              </w:rPr>
            </w:pPr>
            <w:bookmarkStart w:id="95" w:name="_Ref204160351"/>
            <w:bookmarkStart w:id="96" w:name="_Toc207524660"/>
            <w:r w:rsidRPr="00CF0622">
              <w:rPr>
                <w:rFonts w:cs="Arial"/>
              </w:rPr>
              <w:lastRenderedPageBreak/>
              <w:t xml:space="preserve">Table </w:t>
            </w:r>
            <w:bookmarkEnd w:id="95"/>
            <w:r w:rsidR="000A1DB3">
              <w:rPr>
                <w:rFonts w:cs="Arial"/>
              </w:rPr>
              <w:t>17:</w:t>
            </w:r>
            <w:r w:rsidRPr="00CF0622">
              <w:rPr>
                <w:rFonts w:cs="Arial"/>
                <w:lang w:eastAsia="en-GB"/>
              </w:rPr>
              <w:t xml:space="preserve">  Tonne-Kilometres by Commodity for Different Scenarios in 2010</w:t>
            </w:r>
            <w:bookmarkEnd w:id="96"/>
          </w:p>
        </w:tc>
      </w:tr>
      <w:tr w:rsidR="00854221" w:rsidRPr="00D80E11" w:rsidTr="00854221">
        <w:trPr>
          <w:trHeight w:val="330"/>
        </w:trPr>
        <w:tc>
          <w:tcPr>
            <w:tcW w:w="2060" w:type="dxa"/>
            <w:vMerge w:val="restart"/>
            <w:tcBorders>
              <w:top w:val="single" w:sz="4" w:space="0" w:color="auto"/>
              <w:left w:val="single" w:sz="8" w:space="0" w:color="auto"/>
              <w:bottom w:val="single" w:sz="8" w:space="0" w:color="auto"/>
              <w:right w:val="single" w:sz="8" w:space="0" w:color="auto"/>
            </w:tcBorders>
            <w:shd w:val="clear" w:color="auto" w:fill="E6E6E6"/>
            <w:noWrap/>
            <w:vAlign w:val="center"/>
          </w:tcPr>
          <w:p w:rsidR="00854221" w:rsidRPr="00D80E11" w:rsidRDefault="00854221" w:rsidP="00854221">
            <w:pPr>
              <w:pStyle w:val="BodyTextHeader"/>
              <w:jc w:val="left"/>
            </w:pPr>
            <w:r w:rsidRPr="00D80E11">
              <w:rPr>
                <w:lang w:eastAsia="en-GB"/>
              </w:rPr>
              <w:t>Scenario</w:t>
            </w:r>
          </w:p>
        </w:tc>
        <w:tc>
          <w:tcPr>
            <w:tcW w:w="2455" w:type="dxa"/>
            <w:gridSpan w:val="2"/>
            <w:vMerge w:val="restart"/>
            <w:tcBorders>
              <w:top w:val="single" w:sz="4" w:space="0" w:color="auto"/>
              <w:left w:val="single" w:sz="8" w:space="0" w:color="auto"/>
              <w:right w:val="single" w:sz="8" w:space="0" w:color="auto"/>
            </w:tcBorders>
            <w:shd w:val="clear" w:color="auto" w:fill="E6E6E6"/>
            <w:vAlign w:val="center"/>
          </w:tcPr>
          <w:p w:rsidR="00854221" w:rsidRPr="00D80E11" w:rsidRDefault="00854221" w:rsidP="00854221">
            <w:pPr>
              <w:pStyle w:val="BodyTextHeader"/>
              <w:jc w:val="left"/>
              <w:rPr>
                <w:lang w:eastAsia="en-GB"/>
              </w:rPr>
            </w:pPr>
            <w:r w:rsidRPr="00D80E11">
              <w:rPr>
                <w:lang w:eastAsia="en-GB"/>
              </w:rPr>
              <w:t>Mode</w:t>
            </w:r>
          </w:p>
        </w:tc>
        <w:tc>
          <w:tcPr>
            <w:tcW w:w="8568" w:type="dxa"/>
            <w:gridSpan w:val="8"/>
            <w:tcBorders>
              <w:top w:val="single" w:sz="4" w:space="0" w:color="auto"/>
              <w:left w:val="single" w:sz="8" w:space="0" w:color="auto"/>
              <w:right w:val="single" w:sz="8" w:space="0" w:color="auto"/>
            </w:tcBorders>
            <w:shd w:val="clear" w:color="auto" w:fill="E6E6E6"/>
            <w:vAlign w:val="bottom"/>
          </w:tcPr>
          <w:p w:rsidR="00854221" w:rsidRPr="00D80E11" w:rsidRDefault="00854221" w:rsidP="00854221">
            <w:pPr>
              <w:pStyle w:val="BodyTextHeader"/>
            </w:pPr>
            <w:r w:rsidRPr="00D80E11">
              <w:rPr>
                <w:lang w:eastAsia="en-GB"/>
              </w:rPr>
              <w:t xml:space="preserve">Tonne </w:t>
            </w:r>
            <w:proofErr w:type="spellStart"/>
            <w:r w:rsidRPr="00D80E11">
              <w:rPr>
                <w:lang w:eastAsia="en-GB"/>
              </w:rPr>
              <w:t>kms</w:t>
            </w:r>
            <w:proofErr w:type="spellEnd"/>
            <w:r w:rsidRPr="00D80E11">
              <w:rPr>
                <w:lang w:eastAsia="en-GB"/>
              </w:rPr>
              <w:t xml:space="preserve"> [Billions]</w:t>
            </w:r>
          </w:p>
        </w:tc>
      </w:tr>
      <w:tr w:rsidR="00854221" w:rsidRPr="00D80E11" w:rsidTr="00854221">
        <w:trPr>
          <w:trHeight w:val="583"/>
        </w:trPr>
        <w:tc>
          <w:tcPr>
            <w:tcW w:w="2060" w:type="dxa"/>
            <w:vMerge/>
            <w:tcBorders>
              <w:top w:val="single" w:sz="8" w:space="0" w:color="auto"/>
              <w:left w:val="single" w:sz="8" w:space="0" w:color="auto"/>
              <w:bottom w:val="single" w:sz="8" w:space="0" w:color="auto"/>
              <w:right w:val="single" w:sz="8" w:space="0" w:color="auto"/>
            </w:tcBorders>
            <w:shd w:val="clear" w:color="auto" w:fill="E6E6E6"/>
            <w:noWrap/>
            <w:vAlign w:val="bottom"/>
          </w:tcPr>
          <w:p w:rsidR="00854221" w:rsidRPr="00D80E11" w:rsidRDefault="00854221" w:rsidP="00854221">
            <w:pPr>
              <w:pStyle w:val="BodyTextHeader"/>
              <w:rPr>
                <w:lang w:eastAsia="en-GB"/>
              </w:rPr>
            </w:pPr>
          </w:p>
        </w:tc>
        <w:tc>
          <w:tcPr>
            <w:tcW w:w="2455" w:type="dxa"/>
            <w:gridSpan w:val="2"/>
            <w:vMerge/>
            <w:tcBorders>
              <w:left w:val="single" w:sz="8" w:space="0" w:color="auto"/>
              <w:bottom w:val="single" w:sz="8" w:space="0" w:color="auto"/>
              <w:right w:val="single" w:sz="8" w:space="0" w:color="auto"/>
            </w:tcBorders>
            <w:shd w:val="clear" w:color="auto" w:fill="E6E6E6"/>
            <w:noWrap/>
            <w:vAlign w:val="bottom"/>
          </w:tcPr>
          <w:p w:rsidR="00854221" w:rsidRPr="00D80E11" w:rsidRDefault="00854221" w:rsidP="00854221">
            <w:pPr>
              <w:pStyle w:val="BodyTextHeader"/>
              <w:rPr>
                <w:lang w:eastAsia="en-GB"/>
              </w:rPr>
            </w:pPr>
          </w:p>
        </w:tc>
        <w:tc>
          <w:tcPr>
            <w:tcW w:w="1134" w:type="dxa"/>
            <w:tcBorders>
              <w:top w:val="single" w:sz="8" w:space="0" w:color="auto"/>
              <w:left w:val="single" w:sz="8" w:space="0" w:color="auto"/>
              <w:bottom w:val="nil"/>
              <w:right w:val="single" w:sz="8" w:space="0" w:color="auto"/>
            </w:tcBorders>
            <w:shd w:val="clear" w:color="auto" w:fill="E6E6E6"/>
            <w:vAlign w:val="bottom"/>
          </w:tcPr>
          <w:p w:rsidR="00854221" w:rsidRPr="00D80E11" w:rsidRDefault="00854221" w:rsidP="00854221">
            <w:pPr>
              <w:pStyle w:val="BodyTextHeader"/>
              <w:rPr>
                <w:lang w:eastAsia="en-GB"/>
              </w:rPr>
            </w:pPr>
            <w:r w:rsidRPr="00D80E11">
              <w:rPr>
                <w:lang w:eastAsia="en-GB"/>
              </w:rPr>
              <w:t>Food, Drink, Ag</w:t>
            </w:r>
          </w:p>
        </w:tc>
        <w:tc>
          <w:tcPr>
            <w:tcW w:w="924" w:type="dxa"/>
            <w:tcBorders>
              <w:top w:val="single" w:sz="8" w:space="0" w:color="auto"/>
              <w:left w:val="single" w:sz="8" w:space="0" w:color="auto"/>
              <w:bottom w:val="nil"/>
              <w:right w:val="single" w:sz="8" w:space="0" w:color="auto"/>
            </w:tcBorders>
            <w:shd w:val="clear" w:color="auto" w:fill="E6E6E6"/>
            <w:vAlign w:val="bottom"/>
          </w:tcPr>
          <w:p w:rsidR="00854221" w:rsidRPr="00D80E11" w:rsidRDefault="00854221" w:rsidP="00854221">
            <w:pPr>
              <w:pStyle w:val="BodyTextHeader"/>
              <w:rPr>
                <w:lang w:eastAsia="en-GB"/>
              </w:rPr>
            </w:pPr>
            <w:r w:rsidRPr="00D80E11">
              <w:rPr>
                <w:lang w:eastAsia="en-GB"/>
              </w:rPr>
              <w:t>Coal &amp; Coke</w:t>
            </w:r>
          </w:p>
        </w:tc>
        <w:tc>
          <w:tcPr>
            <w:tcW w:w="1128" w:type="dxa"/>
            <w:tcBorders>
              <w:top w:val="single" w:sz="8" w:space="0" w:color="auto"/>
              <w:left w:val="single" w:sz="8" w:space="0" w:color="auto"/>
              <w:bottom w:val="nil"/>
              <w:right w:val="single" w:sz="8" w:space="0" w:color="auto"/>
            </w:tcBorders>
            <w:shd w:val="clear" w:color="auto" w:fill="E6E6E6"/>
            <w:vAlign w:val="bottom"/>
          </w:tcPr>
          <w:p w:rsidR="00854221" w:rsidRPr="00D80E11" w:rsidRDefault="00854221" w:rsidP="00854221">
            <w:pPr>
              <w:pStyle w:val="BodyTextHeader"/>
              <w:rPr>
                <w:lang w:eastAsia="en-GB"/>
              </w:rPr>
            </w:pPr>
            <w:r w:rsidRPr="00D80E11">
              <w:rPr>
                <w:lang w:eastAsia="en-GB"/>
              </w:rPr>
              <w:t>Petroleum</w:t>
            </w:r>
          </w:p>
        </w:tc>
        <w:tc>
          <w:tcPr>
            <w:tcW w:w="938" w:type="dxa"/>
            <w:tcBorders>
              <w:top w:val="single" w:sz="8" w:space="0" w:color="auto"/>
              <w:left w:val="single" w:sz="8" w:space="0" w:color="auto"/>
              <w:bottom w:val="nil"/>
              <w:right w:val="single" w:sz="8" w:space="0" w:color="auto"/>
            </w:tcBorders>
            <w:shd w:val="clear" w:color="auto" w:fill="E6E6E6"/>
            <w:vAlign w:val="bottom"/>
          </w:tcPr>
          <w:p w:rsidR="00854221" w:rsidRPr="00D80E11" w:rsidRDefault="00854221" w:rsidP="00854221">
            <w:pPr>
              <w:pStyle w:val="BodyTextHeader"/>
              <w:rPr>
                <w:lang w:eastAsia="en-GB"/>
              </w:rPr>
            </w:pPr>
            <w:r w:rsidRPr="00D80E11">
              <w:rPr>
                <w:lang w:eastAsia="en-GB"/>
              </w:rPr>
              <w:t>Ores &amp; Metals</w:t>
            </w:r>
          </w:p>
        </w:tc>
        <w:tc>
          <w:tcPr>
            <w:tcW w:w="1339" w:type="dxa"/>
            <w:tcBorders>
              <w:top w:val="single" w:sz="8" w:space="0" w:color="auto"/>
              <w:left w:val="single" w:sz="8" w:space="0" w:color="auto"/>
              <w:bottom w:val="nil"/>
              <w:right w:val="single" w:sz="8" w:space="0" w:color="auto"/>
            </w:tcBorders>
            <w:shd w:val="clear" w:color="auto" w:fill="E6E6E6"/>
            <w:vAlign w:val="bottom"/>
          </w:tcPr>
          <w:p w:rsidR="00854221" w:rsidRPr="00D80E11" w:rsidRDefault="00854221" w:rsidP="00854221">
            <w:pPr>
              <w:pStyle w:val="BodyTextHeader"/>
              <w:rPr>
                <w:lang w:eastAsia="en-GB"/>
              </w:rPr>
            </w:pPr>
            <w:r w:rsidRPr="00D80E11">
              <w:rPr>
                <w:lang w:eastAsia="en-GB"/>
              </w:rPr>
              <w:t>Construction</w:t>
            </w:r>
          </w:p>
        </w:tc>
        <w:tc>
          <w:tcPr>
            <w:tcW w:w="1150" w:type="dxa"/>
            <w:tcBorders>
              <w:top w:val="single" w:sz="8" w:space="0" w:color="auto"/>
              <w:left w:val="single" w:sz="8" w:space="0" w:color="auto"/>
              <w:bottom w:val="nil"/>
              <w:right w:val="single" w:sz="8" w:space="0" w:color="auto"/>
            </w:tcBorders>
            <w:shd w:val="clear" w:color="auto" w:fill="E6E6E6"/>
            <w:vAlign w:val="bottom"/>
          </w:tcPr>
          <w:p w:rsidR="00854221" w:rsidRPr="00D80E11" w:rsidRDefault="00854221" w:rsidP="00854221">
            <w:pPr>
              <w:pStyle w:val="BodyTextHeader"/>
              <w:rPr>
                <w:lang w:eastAsia="en-GB"/>
              </w:rPr>
            </w:pPr>
            <w:r w:rsidRPr="00D80E11">
              <w:rPr>
                <w:lang w:eastAsia="en-GB"/>
              </w:rPr>
              <w:t>Chemicals</w:t>
            </w:r>
          </w:p>
        </w:tc>
        <w:tc>
          <w:tcPr>
            <w:tcW w:w="939" w:type="dxa"/>
            <w:tcBorders>
              <w:top w:val="single" w:sz="8" w:space="0" w:color="auto"/>
              <w:left w:val="single" w:sz="8" w:space="0" w:color="auto"/>
              <w:bottom w:val="nil"/>
              <w:right w:val="nil"/>
            </w:tcBorders>
            <w:shd w:val="clear" w:color="auto" w:fill="E6E6E6"/>
            <w:vAlign w:val="bottom"/>
          </w:tcPr>
          <w:p w:rsidR="00854221" w:rsidRPr="00D80E11" w:rsidRDefault="00854221" w:rsidP="00854221">
            <w:pPr>
              <w:pStyle w:val="BodyTextHeader"/>
              <w:rPr>
                <w:lang w:eastAsia="en-GB"/>
              </w:rPr>
            </w:pPr>
            <w:r w:rsidRPr="00D80E11">
              <w:rPr>
                <w:lang w:eastAsia="en-GB"/>
              </w:rPr>
              <w:t>Others</w:t>
            </w:r>
          </w:p>
        </w:tc>
        <w:tc>
          <w:tcPr>
            <w:tcW w:w="1016" w:type="dxa"/>
            <w:tcBorders>
              <w:top w:val="single" w:sz="8" w:space="0" w:color="auto"/>
              <w:left w:val="single" w:sz="8" w:space="0" w:color="auto"/>
              <w:bottom w:val="nil"/>
              <w:right w:val="single" w:sz="8" w:space="0" w:color="auto"/>
            </w:tcBorders>
            <w:shd w:val="clear" w:color="auto" w:fill="E6E6E6"/>
            <w:vAlign w:val="bottom"/>
          </w:tcPr>
          <w:p w:rsidR="00854221" w:rsidRPr="00D80E11" w:rsidRDefault="00854221" w:rsidP="00854221">
            <w:pPr>
              <w:pStyle w:val="BodyTextHeader"/>
              <w:rPr>
                <w:lang w:eastAsia="en-GB"/>
              </w:rPr>
            </w:pPr>
            <w:r w:rsidRPr="00D80E11">
              <w:rPr>
                <w:lang w:eastAsia="en-GB"/>
              </w:rPr>
              <w:t>TOTALS</w:t>
            </w:r>
          </w:p>
        </w:tc>
      </w:tr>
      <w:tr w:rsidR="00854221" w:rsidRPr="00D80E11" w:rsidTr="00854221">
        <w:trPr>
          <w:trHeight w:val="255"/>
        </w:trPr>
        <w:tc>
          <w:tcPr>
            <w:tcW w:w="2060" w:type="dxa"/>
            <w:vMerge w:val="restart"/>
            <w:tcBorders>
              <w:top w:val="single" w:sz="8" w:space="0" w:color="auto"/>
              <w:left w:val="single" w:sz="8" w:space="0" w:color="auto"/>
              <w:bottom w:val="single" w:sz="8" w:space="0" w:color="auto"/>
              <w:right w:val="single" w:sz="8" w:space="0" w:color="auto"/>
            </w:tcBorders>
            <w:noWrap/>
            <w:vAlign w:val="center"/>
          </w:tcPr>
          <w:p w:rsidR="00854221" w:rsidRPr="00326929" w:rsidRDefault="00854221" w:rsidP="00854221">
            <w:pPr>
              <w:pStyle w:val="BodyText"/>
              <w:spacing w:before="0" w:after="0"/>
            </w:pPr>
            <w:r w:rsidRPr="00326929">
              <w:t>Do nothing</w:t>
            </w:r>
          </w:p>
        </w:tc>
        <w:tc>
          <w:tcPr>
            <w:tcW w:w="978" w:type="dxa"/>
            <w:tcBorders>
              <w:left w:val="single" w:sz="8" w:space="0" w:color="auto"/>
            </w:tcBorders>
            <w:noWrap/>
            <w:vAlign w:val="bottom"/>
          </w:tcPr>
          <w:p w:rsidR="00854221" w:rsidRPr="00326929" w:rsidRDefault="00854221" w:rsidP="00854221">
            <w:pPr>
              <w:pStyle w:val="BodyText"/>
              <w:spacing w:before="0" w:after="0"/>
            </w:pPr>
            <w:r w:rsidRPr="00326929">
              <w:t>Road</w:t>
            </w:r>
          </w:p>
        </w:tc>
        <w:tc>
          <w:tcPr>
            <w:tcW w:w="1477" w:type="dxa"/>
            <w:tcBorders>
              <w:top w:val="nil"/>
              <w:left w:val="nil"/>
              <w:bottom w:val="nil"/>
              <w:right w:val="single" w:sz="8" w:space="0" w:color="auto"/>
            </w:tcBorders>
            <w:noWrap/>
            <w:vAlign w:val="bottom"/>
          </w:tcPr>
          <w:p w:rsidR="00854221" w:rsidRPr="00326929" w:rsidRDefault="00854221" w:rsidP="00854221">
            <w:pPr>
              <w:pStyle w:val="BodyText"/>
              <w:spacing w:before="0" w:after="0"/>
            </w:pPr>
            <w:r w:rsidRPr="00326929">
              <w:t> </w:t>
            </w:r>
          </w:p>
        </w:tc>
        <w:tc>
          <w:tcPr>
            <w:tcW w:w="1134" w:type="dxa"/>
            <w:tcBorders>
              <w:top w:val="single" w:sz="8" w:space="0" w:color="auto"/>
              <w:left w:val="nil"/>
              <w:right w:val="single" w:sz="8" w:space="0" w:color="auto"/>
            </w:tcBorders>
            <w:noWrap/>
            <w:vAlign w:val="bottom"/>
          </w:tcPr>
          <w:p w:rsidR="00854221" w:rsidRPr="00326929" w:rsidRDefault="00854221" w:rsidP="00854221">
            <w:pPr>
              <w:pStyle w:val="BodyText"/>
              <w:spacing w:before="0" w:after="0"/>
              <w:jc w:val="right"/>
            </w:pPr>
            <w:r w:rsidRPr="00326929">
              <w:t>63.33</w:t>
            </w:r>
          </w:p>
        </w:tc>
        <w:tc>
          <w:tcPr>
            <w:tcW w:w="924" w:type="dxa"/>
            <w:tcBorders>
              <w:top w:val="single" w:sz="8" w:space="0" w:color="auto"/>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2.31</w:t>
            </w:r>
          </w:p>
        </w:tc>
        <w:tc>
          <w:tcPr>
            <w:tcW w:w="1128" w:type="dxa"/>
            <w:tcBorders>
              <w:top w:val="single" w:sz="8" w:space="0" w:color="auto"/>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8.29</w:t>
            </w:r>
          </w:p>
        </w:tc>
        <w:tc>
          <w:tcPr>
            <w:tcW w:w="938" w:type="dxa"/>
            <w:tcBorders>
              <w:top w:val="single" w:sz="8" w:space="0" w:color="auto"/>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8.53</w:t>
            </w:r>
          </w:p>
        </w:tc>
        <w:tc>
          <w:tcPr>
            <w:tcW w:w="1339" w:type="dxa"/>
            <w:tcBorders>
              <w:top w:val="single" w:sz="8" w:space="0" w:color="auto"/>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35.91</w:t>
            </w:r>
          </w:p>
        </w:tc>
        <w:tc>
          <w:tcPr>
            <w:tcW w:w="1150" w:type="dxa"/>
            <w:tcBorders>
              <w:top w:val="single" w:sz="8" w:space="0" w:color="auto"/>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8.84</w:t>
            </w:r>
          </w:p>
        </w:tc>
        <w:tc>
          <w:tcPr>
            <w:tcW w:w="939" w:type="dxa"/>
            <w:tcBorders>
              <w:top w:val="single" w:sz="8" w:space="0" w:color="auto"/>
              <w:left w:val="single" w:sz="8" w:space="0" w:color="auto"/>
              <w:right w:val="nil"/>
            </w:tcBorders>
            <w:noWrap/>
            <w:vAlign w:val="bottom"/>
          </w:tcPr>
          <w:p w:rsidR="00854221" w:rsidRPr="00326929" w:rsidRDefault="00854221" w:rsidP="00854221">
            <w:pPr>
              <w:pStyle w:val="BodyText"/>
              <w:spacing w:before="0" w:after="0"/>
              <w:jc w:val="right"/>
            </w:pPr>
            <w:r w:rsidRPr="00326929">
              <w:t>73.09</w:t>
            </w:r>
          </w:p>
        </w:tc>
        <w:tc>
          <w:tcPr>
            <w:tcW w:w="1016" w:type="dxa"/>
            <w:tcBorders>
              <w:top w:val="single" w:sz="8" w:space="0" w:color="auto"/>
              <w:left w:val="single" w:sz="8" w:space="0" w:color="auto"/>
              <w:bottom w:val="nil"/>
              <w:right w:val="single" w:sz="8" w:space="0" w:color="auto"/>
            </w:tcBorders>
            <w:noWrap/>
            <w:vAlign w:val="bottom"/>
          </w:tcPr>
          <w:p w:rsidR="00854221" w:rsidRPr="00326929" w:rsidRDefault="00854221" w:rsidP="00854221">
            <w:pPr>
              <w:pStyle w:val="BodyText"/>
              <w:spacing w:before="0" w:after="0"/>
              <w:jc w:val="right"/>
            </w:pPr>
            <w:r w:rsidRPr="00326929">
              <w:t>200.30</w:t>
            </w:r>
          </w:p>
        </w:tc>
      </w:tr>
      <w:tr w:rsidR="00854221" w:rsidRPr="00D80E11" w:rsidTr="00854221">
        <w:trPr>
          <w:trHeight w:val="270"/>
        </w:trPr>
        <w:tc>
          <w:tcPr>
            <w:tcW w:w="2060" w:type="dxa"/>
            <w:vMerge/>
            <w:tcBorders>
              <w:top w:val="single" w:sz="8" w:space="0" w:color="auto"/>
              <w:left w:val="single" w:sz="8" w:space="0" w:color="auto"/>
              <w:bottom w:val="single" w:sz="8" w:space="0" w:color="auto"/>
              <w:right w:val="single" w:sz="8" w:space="0" w:color="auto"/>
            </w:tcBorders>
            <w:noWrap/>
            <w:vAlign w:val="center"/>
          </w:tcPr>
          <w:p w:rsidR="00854221" w:rsidRPr="00326929" w:rsidRDefault="00854221" w:rsidP="00854221">
            <w:pPr>
              <w:pStyle w:val="BodyText"/>
              <w:spacing w:before="0" w:after="0"/>
            </w:pPr>
          </w:p>
        </w:tc>
        <w:tc>
          <w:tcPr>
            <w:tcW w:w="978" w:type="dxa"/>
            <w:tcBorders>
              <w:top w:val="nil"/>
              <w:left w:val="single" w:sz="8" w:space="0" w:color="auto"/>
              <w:bottom w:val="single" w:sz="8" w:space="0" w:color="auto"/>
              <w:right w:val="nil"/>
            </w:tcBorders>
            <w:noWrap/>
            <w:vAlign w:val="bottom"/>
          </w:tcPr>
          <w:p w:rsidR="00854221" w:rsidRPr="00326929" w:rsidRDefault="00854221" w:rsidP="00854221">
            <w:pPr>
              <w:pStyle w:val="BodyText"/>
              <w:spacing w:before="0" w:after="0"/>
            </w:pPr>
            <w:r w:rsidRPr="00326929">
              <w:t>Rail</w:t>
            </w:r>
          </w:p>
        </w:tc>
        <w:tc>
          <w:tcPr>
            <w:tcW w:w="1477" w:type="dxa"/>
            <w:tcBorders>
              <w:top w:val="nil"/>
              <w:left w:val="nil"/>
              <w:bottom w:val="single" w:sz="8" w:space="0" w:color="auto"/>
              <w:right w:val="single" w:sz="8" w:space="0" w:color="auto"/>
            </w:tcBorders>
            <w:noWrap/>
            <w:vAlign w:val="bottom"/>
          </w:tcPr>
          <w:p w:rsidR="00854221" w:rsidRPr="00326929" w:rsidRDefault="00854221" w:rsidP="00854221">
            <w:pPr>
              <w:pStyle w:val="BodyText"/>
              <w:spacing w:before="0" w:after="0"/>
            </w:pPr>
            <w:r w:rsidRPr="00326929">
              <w:t> </w:t>
            </w:r>
          </w:p>
        </w:tc>
        <w:tc>
          <w:tcPr>
            <w:tcW w:w="1134" w:type="dxa"/>
            <w:tcBorders>
              <w:top w:val="nil"/>
              <w:left w:val="nil"/>
              <w:bottom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2.17</w:t>
            </w:r>
          </w:p>
        </w:tc>
        <w:tc>
          <w:tcPr>
            <w:tcW w:w="924" w:type="dxa"/>
            <w:tcBorders>
              <w:top w:val="nil"/>
              <w:left w:val="single" w:sz="8" w:space="0" w:color="auto"/>
              <w:bottom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5.13</w:t>
            </w:r>
          </w:p>
        </w:tc>
        <w:tc>
          <w:tcPr>
            <w:tcW w:w="1128" w:type="dxa"/>
            <w:tcBorders>
              <w:top w:val="nil"/>
              <w:left w:val="single" w:sz="8" w:space="0" w:color="auto"/>
              <w:bottom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2.13</w:t>
            </w:r>
          </w:p>
        </w:tc>
        <w:tc>
          <w:tcPr>
            <w:tcW w:w="938" w:type="dxa"/>
            <w:tcBorders>
              <w:top w:val="nil"/>
              <w:left w:val="single" w:sz="8" w:space="0" w:color="auto"/>
              <w:bottom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4.57</w:t>
            </w:r>
          </w:p>
        </w:tc>
        <w:tc>
          <w:tcPr>
            <w:tcW w:w="1339" w:type="dxa"/>
            <w:tcBorders>
              <w:top w:val="nil"/>
              <w:left w:val="single" w:sz="8" w:space="0" w:color="auto"/>
              <w:bottom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3.94</w:t>
            </w:r>
          </w:p>
        </w:tc>
        <w:tc>
          <w:tcPr>
            <w:tcW w:w="1150" w:type="dxa"/>
            <w:tcBorders>
              <w:top w:val="nil"/>
              <w:left w:val="single" w:sz="8" w:space="0" w:color="auto"/>
              <w:bottom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0.40</w:t>
            </w:r>
          </w:p>
        </w:tc>
        <w:tc>
          <w:tcPr>
            <w:tcW w:w="939" w:type="dxa"/>
            <w:tcBorders>
              <w:top w:val="nil"/>
              <w:left w:val="single" w:sz="8" w:space="0" w:color="auto"/>
              <w:bottom w:val="single" w:sz="8" w:space="0" w:color="auto"/>
              <w:right w:val="nil"/>
            </w:tcBorders>
            <w:noWrap/>
            <w:vAlign w:val="bottom"/>
          </w:tcPr>
          <w:p w:rsidR="00854221" w:rsidRPr="00326929" w:rsidRDefault="00854221" w:rsidP="00854221">
            <w:pPr>
              <w:pStyle w:val="BodyText"/>
              <w:spacing w:before="0" w:after="0"/>
              <w:jc w:val="right"/>
            </w:pPr>
            <w:r w:rsidRPr="00326929">
              <w:t>4.69</w:t>
            </w:r>
          </w:p>
        </w:tc>
        <w:tc>
          <w:tcPr>
            <w:tcW w:w="1016" w:type="dxa"/>
            <w:tcBorders>
              <w:top w:val="nil"/>
              <w:left w:val="single" w:sz="8" w:space="0" w:color="auto"/>
              <w:bottom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23.04</w:t>
            </w:r>
          </w:p>
        </w:tc>
      </w:tr>
      <w:tr w:rsidR="00854221" w:rsidRPr="00D80E11" w:rsidTr="00854221">
        <w:trPr>
          <w:trHeight w:val="255"/>
        </w:trPr>
        <w:tc>
          <w:tcPr>
            <w:tcW w:w="2060" w:type="dxa"/>
            <w:vMerge w:val="restart"/>
            <w:tcBorders>
              <w:top w:val="single" w:sz="8" w:space="0" w:color="auto"/>
              <w:left w:val="single" w:sz="8" w:space="0" w:color="auto"/>
              <w:bottom w:val="single" w:sz="8" w:space="0" w:color="auto"/>
              <w:right w:val="single" w:sz="8" w:space="0" w:color="auto"/>
            </w:tcBorders>
            <w:noWrap/>
            <w:vAlign w:val="center"/>
          </w:tcPr>
          <w:p w:rsidR="00854221" w:rsidRPr="00326929" w:rsidRDefault="00854221" w:rsidP="00854221">
            <w:pPr>
              <w:pStyle w:val="BodyText"/>
              <w:spacing w:before="0" w:after="0"/>
            </w:pPr>
            <w:r w:rsidRPr="00326929">
              <w:t>Scenario 1</w:t>
            </w:r>
          </w:p>
          <w:p w:rsidR="00854221" w:rsidRPr="00326929" w:rsidRDefault="00854221" w:rsidP="00854221">
            <w:pPr>
              <w:pStyle w:val="BodyText"/>
              <w:spacing w:before="0" w:after="0"/>
            </w:pPr>
            <w:r w:rsidRPr="00326929">
              <w:t>Zero access charges</w:t>
            </w:r>
          </w:p>
        </w:tc>
        <w:tc>
          <w:tcPr>
            <w:tcW w:w="978" w:type="dxa"/>
            <w:tcBorders>
              <w:left w:val="single" w:sz="8" w:space="0" w:color="auto"/>
            </w:tcBorders>
            <w:noWrap/>
            <w:vAlign w:val="bottom"/>
          </w:tcPr>
          <w:p w:rsidR="00854221" w:rsidRPr="00326929" w:rsidRDefault="00854221" w:rsidP="00854221">
            <w:pPr>
              <w:pStyle w:val="BodyText"/>
              <w:spacing w:before="0" w:after="0"/>
            </w:pPr>
            <w:r w:rsidRPr="00326929">
              <w:t>Road</w:t>
            </w:r>
          </w:p>
        </w:tc>
        <w:tc>
          <w:tcPr>
            <w:tcW w:w="1477" w:type="dxa"/>
            <w:tcBorders>
              <w:top w:val="nil"/>
              <w:left w:val="nil"/>
              <w:bottom w:val="nil"/>
              <w:right w:val="single" w:sz="8" w:space="0" w:color="auto"/>
            </w:tcBorders>
            <w:noWrap/>
            <w:vAlign w:val="bottom"/>
          </w:tcPr>
          <w:p w:rsidR="00854221" w:rsidRPr="00326929" w:rsidRDefault="00854221" w:rsidP="00854221">
            <w:pPr>
              <w:pStyle w:val="BodyText"/>
              <w:spacing w:before="0" w:after="0"/>
            </w:pPr>
            <w:r w:rsidRPr="00326929">
              <w:t> </w:t>
            </w:r>
          </w:p>
        </w:tc>
        <w:tc>
          <w:tcPr>
            <w:tcW w:w="1134" w:type="dxa"/>
            <w:tcBorders>
              <w:right w:val="single" w:sz="8" w:space="0" w:color="auto"/>
            </w:tcBorders>
            <w:noWrap/>
            <w:vAlign w:val="bottom"/>
          </w:tcPr>
          <w:p w:rsidR="00854221" w:rsidRPr="00326929" w:rsidRDefault="00854221" w:rsidP="00854221">
            <w:pPr>
              <w:pStyle w:val="BodyText"/>
              <w:spacing w:before="0" w:after="0"/>
              <w:jc w:val="right"/>
            </w:pPr>
            <w:r w:rsidRPr="00326929">
              <w:t>63.29</w:t>
            </w:r>
          </w:p>
        </w:tc>
        <w:tc>
          <w:tcPr>
            <w:tcW w:w="924"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2.30</w:t>
            </w:r>
          </w:p>
        </w:tc>
        <w:tc>
          <w:tcPr>
            <w:tcW w:w="112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8.26</w:t>
            </w:r>
          </w:p>
        </w:tc>
        <w:tc>
          <w:tcPr>
            <w:tcW w:w="93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7.59</w:t>
            </w:r>
          </w:p>
        </w:tc>
        <w:tc>
          <w:tcPr>
            <w:tcW w:w="1339"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35.68</w:t>
            </w:r>
          </w:p>
        </w:tc>
        <w:tc>
          <w:tcPr>
            <w:tcW w:w="1150"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8.71</w:t>
            </w:r>
          </w:p>
        </w:tc>
        <w:tc>
          <w:tcPr>
            <w:tcW w:w="939" w:type="dxa"/>
            <w:tcBorders>
              <w:left w:val="single" w:sz="8" w:space="0" w:color="auto"/>
            </w:tcBorders>
            <w:noWrap/>
            <w:vAlign w:val="bottom"/>
          </w:tcPr>
          <w:p w:rsidR="00854221" w:rsidRPr="00326929" w:rsidRDefault="00854221" w:rsidP="00854221">
            <w:pPr>
              <w:pStyle w:val="BodyText"/>
              <w:spacing w:before="0" w:after="0"/>
              <w:jc w:val="right"/>
            </w:pPr>
            <w:r w:rsidRPr="00326929">
              <w:t>72.55</w:t>
            </w:r>
          </w:p>
        </w:tc>
        <w:tc>
          <w:tcPr>
            <w:tcW w:w="1016" w:type="dxa"/>
            <w:tcBorders>
              <w:top w:val="nil"/>
              <w:left w:val="single" w:sz="8" w:space="0" w:color="auto"/>
              <w:bottom w:val="nil"/>
              <w:right w:val="single" w:sz="8" w:space="0" w:color="auto"/>
            </w:tcBorders>
            <w:noWrap/>
            <w:vAlign w:val="bottom"/>
          </w:tcPr>
          <w:p w:rsidR="00854221" w:rsidRPr="00326929" w:rsidRDefault="00854221" w:rsidP="00854221">
            <w:pPr>
              <w:pStyle w:val="BodyText"/>
              <w:spacing w:before="0" w:after="0"/>
              <w:jc w:val="right"/>
            </w:pPr>
            <w:r w:rsidRPr="00326929">
              <w:t>198.39</w:t>
            </w:r>
          </w:p>
        </w:tc>
      </w:tr>
      <w:tr w:rsidR="00854221" w:rsidRPr="00D80E11" w:rsidTr="00854221">
        <w:trPr>
          <w:trHeight w:val="255"/>
        </w:trPr>
        <w:tc>
          <w:tcPr>
            <w:tcW w:w="0" w:type="auto"/>
            <w:vMerge/>
            <w:tcBorders>
              <w:top w:val="single" w:sz="8" w:space="0" w:color="auto"/>
              <w:left w:val="single" w:sz="8" w:space="0" w:color="auto"/>
              <w:bottom w:val="single" w:sz="8" w:space="0" w:color="auto"/>
              <w:right w:val="single" w:sz="8" w:space="0" w:color="auto"/>
            </w:tcBorders>
            <w:vAlign w:val="center"/>
          </w:tcPr>
          <w:p w:rsidR="00854221" w:rsidRPr="00326929" w:rsidRDefault="00854221" w:rsidP="00854221">
            <w:pPr>
              <w:pStyle w:val="BodyText"/>
              <w:spacing w:before="0" w:after="0"/>
            </w:pPr>
          </w:p>
        </w:tc>
        <w:tc>
          <w:tcPr>
            <w:tcW w:w="2455" w:type="dxa"/>
            <w:gridSpan w:val="2"/>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rPr>
                <w:i/>
              </w:rPr>
            </w:pPr>
            <w:r w:rsidRPr="00CF0622">
              <w:rPr>
                <w:i/>
              </w:rPr>
              <w:t>% change from do nothing</w:t>
            </w:r>
          </w:p>
        </w:tc>
        <w:tc>
          <w:tcPr>
            <w:tcW w:w="1134"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-0.06</w:t>
            </w:r>
          </w:p>
        </w:tc>
        <w:tc>
          <w:tcPr>
            <w:tcW w:w="924"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-0.62</w:t>
            </w:r>
          </w:p>
        </w:tc>
        <w:tc>
          <w:tcPr>
            <w:tcW w:w="1128"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-0.27</w:t>
            </w:r>
          </w:p>
        </w:tc>
        <w:tc>
          <w:tcPr>
            <w:tcW w:w="938"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-11.05</w:t>
            </w:r>
          </w:p>
        </w:tc>
        <w:tc>
          <w:tcPr>
            <w:tcW w:w="1339"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-0.62</w:t>
            </w:r>
          </w:p>
        </w:tc>
        <w:tc>
          <w:tcPr>
            <w:tcW w:w="1150"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-1.43</w:t>
            </w:r>
          </w:p>
        </w:tc>
        <w:tc>
          <w:tcPr>
            <w:tcW w:w="939" w:type="dxa"/>
            <w:tcBorders>
              <w:top w:val="nil"/>
              <w:left w:val="single" w:sz="8" w:space="0" w:color="auto"/>
              <w:bottom w:val="single" w:sz="4" w:space="0" w:color="auto"/>
              <w:right w:val="nil"/>
            </w:tcBorders>
            <w:noWrap/>
            <w:vAlign w:val="bottom"/>
          </w:tcPr>
          <w:p w:rsidR="00854221" w:rsidRPr="00CF0622" w:rsidRDefault="00854221" w:rsidP="00854221">
            <w:pPr>
              <w:pStyle w:val="BodyText"/>
              <w:spacing w:before="0" w:after="0"/>
              <w:jc w:val="right"/>
              <w:rPr>
                <w:i/>
              </w:rPr>
            </w:pPr>
            <w:r w:rsidRPr="00CF0622">
              <w:rPr>
                <w:i/>
              </w:rPr>
              <w:t>-0.74</w:t>
            </w:r>
          </w:p>
        </w:tc>
        <w:tc>
          <w:tcPr>
            <w:tcW w:w="1016"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-0.95</w:t>
            </w:r>
          </w:p>
        </w:tc>
      </w:tr>
      <w:tr w:rsidR="00854221" w:rsidRPr="00D80E11" w:rsidTr="00854221">
        <w:trPr>
          <w:trHeight w:val="255"/>
        </w:trPr>
        <w:tc>
          <w:tcPr>
            <w:tcW w:w="0" w:type="auto"/>
            <w:vMerge/>
            <w:tcBorders>
              <w:top w:val="single" w:sz="8" w:space="0" w:color="auto"/>
              <w:left w:val="single" w:sz="8" w:space="0" w:color="auto"/>
              <w:bottom w:val="single" w:sz="8" w:space="0" w:color="auto"/>
              <w:right w:val="single" w:sz="8" w:space="0" w:color="auto"/>
            </w:tcBorders>
            <w:vAlign w:val="center"/>
          </w:tcPr>
          <w:p w:rsidR="00854221" w:rsidRPr="00326929" w:rsidRDefault="00854221" w:rsidP="00854221">
            <w:pPr>
              <w:pStyle w:val="BodyText"/>
              <w:spacing w:before="0" w:after="0"/>
            </w:pPr>
          </w:p>
        </w:tc>
        <w:tc>
          <w:tcPr>
            <w:tcW w:w="978" w:type="dxa"/>
            <w:tcBorders>
              <w:left w:val="single" w:sz="8" w:space="0" w:color="auto"/>
            </w:tcBorders>
            <w:noWrap/>
            <w:vAlign w:val="bottom"/>
          </w:tcPr>
          <w:p w:rsidR="00854221" w:rsidRPr="00326929" w:rsidRDefault="00854221" w:rsidP="00854221">
            <w:pPr>
              <w:pStyle w:val="BodyText"/>
              <w:spacing w:before="0" w:after="0"/>
            </w:pPr>
            <w:r w:rsidRPr="00326929">
              <w:t>Rail</w:t>
            </w:r>
          </w:p>
        </w:tc>
        <w:tc>
          <w:tcPr>
            <w:tcW w:w="1477" w:type="dxa"/>
            <w:tcBorders>
              <w:top w:val="nil"/>
              <w:left w:val="nil"/>
              <w:bottom w:val="nil"/>
              <w:right w:val="single" w:sz="8" w:space="0" w:color="auto"/>
            </w:tcBorders>
            <w:noWrap/>
            <w:vAlign w:val="bottom"/>
          </w:tcPr>
          <w:p w:rsidR="00854221" w:rsidRPr="00326929" w:rsidRDefault="00854221" w:rsidP="00854221">
            <w:pPr>
              <w:pStyle w:val="BodyText"/>
              <w:spacing w:before="0" w:after="0"/>
            </w:pPr>
            <w:r w:rsidRPr="00326929">
              <w:t> </w:t>
            </w:r>
          </w:p>
        </w:tc>
        <w:tc>
          <w:tcPr>
            <w:tcW w:w="1134" w:type="dxa"/>
            <w:tcBorders>
              <w:right w:val="single" w:sz="8" w:space="0" w:color="auto"/>
            </w:tcBorders>
            <w:noWrap/>
            <w:vAlign w:val="bottom"/>
          </w:tcPr>
          <w:p w:rsidR="00854221" w:rsidRPr="00326929" w:rsidRDefault="00854221" w:rsidP="00854221">
            <w:pPr>
              <w:pStyle w:val="BodyText"/>
              <w:spacing w:before="0" w:after="0"/>
              <w:jc w:val="right"/>
            </w:pPr>
            <w:r w:rsidRPr="00326929">
              <w:t>2.21</w:t>
            </w:r>
          </w:p>
        </w:tc>
        <w:tc>
          <w:tcPr>
            <w:tcW w:w="924"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5.24</w:t>
            </w:r>
          </w:p>
        </w:tc>
        <w:tc>
          <w:tcPr>
            <w:tcW w:w="112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2.17</w:t>
            </w:r>
          </w:p>
        </w:tc>
        <w:tc>
          <w:tcPr>
            <w:tcW w:w="93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5.56</w:t>
            </w:r>
          </w:p>
        </w:tc>
        <w:tc>
          <w:tcPr>
            <w:tcW w:w="1339"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4.19</w:t>
            </w:r>
          </w:p>
        </w:tc>
        <w:tc>
          <w:tcPr>
            <w:tcW w:w="1150"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0.53</w:t>
            </w:r>
          </w:p>
        </w:tc>
        <w:tc>
          <w:tcPr>
            <w:tcW w:w="939" w:type="dxa"/>
            <w:tcBorders>
              <w:left w:val="single" w:sz="8" w:space="0" w:color="auto"/>
            </w:tcBorders>
            <w:noWrap/>
            <w:vAlign w:val="bottom"/>
          </w:tcPr>
          <w:p w:rsidR="00854221" w:rsidRPr="00326929" w:rsidRDefault="00854221" w:rsidP="00854221">
            <w:pPr>
              <w:pStyle w:val="BodyText"/>
              <w:spacing w:before="0" w:after="0"/>
              <w:jc w:val="right"/>
            </w:pPr>
            <w:r w:rsidRPr="00326929">
              <w:t>5.26</w:t>
            </w:r>
          </w:p>
        </w:tc>
        <w:tc>
          <w:tcPr>
            <w:tcW w:w="1016" w:type="dxa"/>
            <w:tcBorders>
              <w:top w:val="nil"/>
              <w:left w:val="single" w:sz="8" w:space="0" w:color="auto"/>
              <w:bottom w:val="nil"/>
              <w:right w:val="single" w:sz="8" w:space="0" w:color="auto"/>
            </w:tcBorders>
            <w:noWrap/>
            <w:vAlign w:val="bottom"/>
          </w:tcPr>
          <w:p w:rsidR="00854221" w:rsidRPr="00326929" w:rsidRDefault="00854221" w:rsidP="00854221">
            <w:pPr>
              <w:pStyle w:val="BodyText"/>
              <w:spacing w:before="0" w:after="0"/>
              <w:jc w:val="right"/>
            </w:pPr>
            <w:r w:rsidRPr="00326929">
              <w:t>25.17</w:t>
            </w:r>
          </w:p>
        </w:tc>
      </w:tr>
      <w:tr w:rsidR="00854221" w:rsidRPr="00D80E11" w:rsidTr="00854221">
        <w:trPr>
          <w:trHeight w:val="270"/>
        </w:trPr>
        <w:tc>
          <w:tcPr>
            <w:tcW w:w="0" w:type="auto"/>
            <w:vMerge/>
            <w:tcBorders>
              <w:top w:val="single" w:sz="8" w:space="0" w:color="auto"/>
              <w:left w:val="single" w:sz="8" w:space="0" w:color="auto"/>
              <w:bottom w:val="single" w:sz="8" w:space="0" w:color="auto"/>
              <w:right w:val="single" w:sz="8" w:space="0" w:color="auto"/>
            </w:tcBorders>
            <w:vAlign w:val="center"/>
          </w:tcPr>
          <w:p w:rsidR="00854221" w:rsidRPr="00326929" w:rsidRDefault="00854221" w:rsidP="00854221">
            <w:pPr>
              <w:pStyle w:val="BodyText"/>
              <w:spacing w:before="0" w:after="0"/>
            </w:pPr>
          </w:p>
        </w:tc>
        <w:tc>
          <w:tcPr>
            <w:tcW w:w="2455" w:type="dxa"/>
            <w:gridSpan w:val="2"/>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rPr>
                <w:i/>
              </w:rPr>
            </w:pPr>
            <w:r w:rsidRPr="00CF0622">
              <w:rPr>
                <w:i/>
              </w:rPr>
              <w:t>% change from do nothing</w:t>
            </w:r>
          </w:p>
        </w:tc>
        <w:tc>
          <w:tcPr>
            <w:tcW w:w="1134"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1.96</w:t>
            </w:r>
          </w:p>
        </w:tc>
        <w:tc>
          <w:tcPr>
            <w:tcW w:w="924"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2.10</w:t>
            </w:r>
          </w:p>
        </w:tc>
        <w:tc>
          <w:tcPr>
            <w:tcW w:w="1128"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2.03</w:t>
            </w:r>
          </w:p>
        </w:tc>
        <w:tc>
          <w:tcPr>
            <w:tcW w:w="938"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21.60</w:t>
            </w:r>
          </w:p>
        </w:tc>
        <w:tc>
          <w:tcPr>
            <w:tcW w:w="1339"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6.46</w:t>
            </w:r>
          </w:p>
        </w:tc>
        <w:tc>
          <w:tcPr>
            <w:tcW w:w="1150"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31.75</w:t>
            </w:r>
          </w:p>
        </w:tc>
        <w:tc>
          <w:tcPr>
            <w:tcW w:w="939" w:type="dxa"/>
            <w:tcBorders>
              <w:top w:val="nil"/>
              <w:left w:val="single" w:sz="8" w:space="0" w:color="auto"/>
              <w:bottom w:val="single" w:sz="8" w:space="0" w:color="auto"/>
              <w:right w:val="nil"/>
            </w:tcBorders>
            <w:noWrap/>
            <w:vAlign w:val="bottom"/>
          </w:tcPr>
          <w:p w:rsidR="00854221" w:rsidRPr="00CF0622" w:rsidRDefault="00854221" w:rsidP="00854221">
            <w:pPr>
              <w:pStyle w:val="BodyText"/>
              <w:spacing w:before="0" w:after="0"/>
              <w:jc w:val="right"/>
              <w:rPr>
                <w:i/>
              </w:rPr>
            </w:pPr>
            <w:r w:rsidRPr="00CF0622">
              <w:rPr>
                <w:i/>
              </w:rPr>
              <w:t>12.08</w:t>
            </w:r>
          </w:p>
        </w:tc>
        <w:tc>
          <w:tcPr>
            <w:tcW w:w="1016"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9.24</w:t>
            </w:r>
          </w:p>
        </w:tc>
      </w:tr>
      <w:tr w:rsidR="00854221" w:rsidRPr="00D80E11" w:rsidTr="00854221">
        <w:trPr>
          <w:trHeight w:val="255"/>
        </w:trPr>
        <w:tc>
          <w:tcPr>
            <w:tcW w:w="2060" w:type="dxa"/>
            <w:vMerge w:val="restart"/>
            <w:tcBorders>
              <w:top w:val="single" w:sz="8" w:space="0" w:color="auto"/>
              <w:left w:val="single" w:sz="8" w:space="0" w:color="auto"/>
              <w:bottom w:val="single" w:sz="8" w:space="0" w:color="auto"/>
              <w:right w:val="single" w:sz="8" w:space="0" w:color="auto"/>
            </w:tcBorders>
            <w:noWrap/>
            <w:vAlign w:val="center"/>
          </w:tcPr>
          <w:p w:rsidR="00854221" w:rsidRPr="00326929" w:rsidRDefault="00854221" w:rsidP="00854221">
            <w:pPr>
              <w:pStyle w:val="BodyText"/>
              <w:spacing w:before="0" w:after="0"/>
            </w:pPr>
            <w:r w:rsidRPr="00326929">
              <w:t>Scenario 2</w:t>
            </w:r>
          </w:p>
          <w:p w:rsidR="00854221" w:rsidRPr="00326929" w:rsidRDefault="00854221" w:rsidP="00854221">
            <w:pPr>
              <w:pStyle w:val="BodyText"/>
              <w:spacing w:before="0" w:after="0"/>
            </w:pPr>
            <w:r w:rsidRPr="00326929">
              <w:t>Halved Access Charges </w:t>
            </w:r>
          </w:p>
        </w:tc>
        <w:tc>
          <w:tcPr>
            <w:tcW w:w="978" w:type="dxa"/>
            <w:tcBorders>
              <w:left w:val="single" w:sz="8" w:space="0" w:color="auto"/>
            </w:tcBorders>
            <w:noWrap/>
            <w:vAlign w:val="bottom"/>
          </w:tcPr>
          <w:p w:rsidR="00854221" w:rsidRPr="00326929" w:rsidRDefault="00854221" w:rsidP="00854221">
            <w:pPr>
              <w:pStyle w:val="BodyText"/>
              <w:spacing w:before="0" w:after="0"/>
            </w:pPr>
            <w:r w:rsidRPr="00326929">
              <w:t>Road</w:t>
            </w:r>
          </w:p>
        </w:tc>
        <w:tc>
          <w:tcPr>
            <w:tcW w:w="1477" w:type="dxa"/>
            <w:tcBorders>
              <w:top w:val="nil"/>
              <w:left w:val="nil"/>
              <w:bottom w:val="nil"/>
              <w:right w:val="single" w:sz="8" w:space="0" w:color="auto"/>
            </w:tcBorders>
            <w:noWrap/>
            <w:vAlign w:val="bottom"/>
          </w:tcPr>
          <w:p w:rsidR="00854221" w:rsidRPr="00326929" w:rsidRDefault="00854221" w:rsidP="00854221">
            <w:pPr>
              <w:pStyle w:val="BodyText"/>
              <w:spacing w:before="0" w:after="0"/>
            </w:pPr>
            <w:r w:rsidRPr="00326929">
              <w:t> </w:t>
            </w:r>
          </w:p>
        </w:tc>
        <w:tc>
          <w:tcPr>
            <w:tcW w:w="1134" w:type="dxa"/>
            <w:tcBorders>
              <w:right w:val="single" w:sz="8" w:space="0" w:color="auto"/>
            </w:tcBorders>
            <w:noWrap/>
            <w:vAlign w:val="bottom"/>
          </w:tcPr>
          <w:p w:rsidR="00854221" w:rsidRPr="00326929" w:rsidRDefault="00854221" w:rsidP="00854221">
            <w:pPr>
              <w:pStyle w:val="BodyText"/>
              <w:spacing w:before="0" w:after="0"/>
              <w:jc w:val="right"/>
            </w:pPr>
            <w:r w:rsidRPr="00326929">
              <w:t>63.32</w:t>
            </w:r>
          </w:p>
        </w:tc>
        <w:tc>
          <w:tcPr>
            <w:tcW w:w="924"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2.31</w:t>
            </w:r>
          </w:p>
        </w:tc>
        <w:tc>
          <w:tcPr>
            <w:tcW w:w="112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8.28</w:t>
            </w:r>
          </w:p>
        </w:tc>
        <w:tc>
          <w:tcPr>
            <w:tcW w:w="93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8.07</w:t>
            </w:r>
          </w:p>
        </w:tc>
        <w:tc>
          <w:tcPr>
            <w:tcW w:w="1339"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35.81</w:t>
            </w:r>
          </w:p>
        </w:tc>
        <w:tc>
          <w:tcPr>
            <w:tcW w:w="1150"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8.78</w:t>
            </w:r>
          </w:p>
        </w:tc>
        <w:tc>
          <w:tcPr>
            <w:tcW w:w="939" w:type="dxa"/>
            <w:tcBorders>
              <w:left w:val="single" w:sz="8" w:space="0" w:color="auto"/>
            </w:tcBorders>
            <w:noWrap/>
            <w:vAlign w:val="bottom"/>
          </w:tcPr>
          <w:p w:rsidR="00854221" w:rsidRPr="00326929" w:rsidRDefault="00854221" w:rsidP="00854221">
            <w:pPr>
              <w:pStyle w:val="BodyText"/>
              <w:spacing w:before="0" w:after="0"/>
              <w:jc w:val="right"/>
            </w:pPr>
            <w:r w:rsidRPr="00326929">
              <w:t>72.83</w:t>
            </w:r>
          </w:p>
        </w:tc>
        <w:tc>
          <w:tcPr>
            <w:tcW w:w="1016" w:type="dxa"/>
            <w:tcBorders>
              <w:top w:val="nil"/>
              <w:left w:val="single" w:sz="8" w:space="0" w:color="auto"/>
              <w:bottom w:val="nil"/>
              <w:right w:val="single" w:sz="8" w:space="0" w:color="auto"/>
            </w:tcBorders>
            <w:noWrap/>
            <w:vAlign w:val="bottom"/>
          </w:tcPr>
          <w:p w:rsidR="00854221" w:rsidRPr="00326929" w:rsidRDefault="00854221" w:rsidP="00854221">
            <w:pPr>
              <w:pStyle w:val="BodyText"/>
              <w:spacing w:before="0" w:after="0"/>
              <w:jc w:val="right"/>
            </w:pPr>
            <w:r w:rsidRPr="00326929">
              <w:t>199.38</w:t>
            </w:r>
          </w:p>
        </w:tc>
      </w:tr>
      <w:tr w:rsidR="00854221" w:rsidRPr="00D80E11" w:rsidTr="00854221">
        <w:trPr>
          <w:trHeight w:val="255"/>
        </w:trPr>
        <w:tc>
          <w:tcPr>
            <w:tcW w:w="0" w:type="auto"/>
            <w:vMerge/>
            <w:tcBorders>
              <w:top w:val="single" w:sz="8" w:space="0" w:color="auto"/>
              <w:left w:val="single" w:sz="8" w:space="0" w:color="auto"/>
              <w:bottom w:val="single" w:sz="8" w:space="0" w:color="auto"/>
              <w:right w:val="single" w:sz="8" w:space="0" w:color="auto"/>
            </w:tcBorders>
            <w:vAlign w:val="center"/>
          </w:tcPr>
          <w:p w:rsidR="00854221" w:rsidRPr="00326929" w:rsidRDefault="00854221" w:rsidP="00854221">
            <w:pPr>
              <w:pStyle w:val="BodyText"/>
              <w:spacing w:before="0" w:after="0"/>
            </w:pPr>
          </w:p>
        </w:tc>
        <w:tc>
          <w:tcPr>
            <w:tcW w:w="2455" w:type="dxa"/>
            <w:gridSpan w:val="2"/>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rPr>
                <w:i/>
              </w:rPr>
            </w:pPr>
            <w:r w:rsidRPr="00CF0622">
              <w:rPr>
                <w:i/>
              </w:rPr>
              <w:t>% change from do nothing</w:t>
            </w:r>
          </w:p>
        </w:tc>
        <w:tc>
          <w:tcPr>
            <w:tcW w:w="1134"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-0.03</w:t>
            </w:r>
          </w:p>
        </w:tc>
        <w:tc>
          <w:tcPr>
            <w:tcW w:w="924"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-0.32</w:t>
            </w:r>
          </w:p>
        </w:tc>
        <w:tc>
          <w:tcPr>
            <w:tcW w:w="1128"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-0.12</w:t>
            </w:r>
          </w:p>
        </w:tc>
        <w:tc>
          <w:tcPr>
            <w:tcW w:w="938"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-5.43</w:t>
            </w:r>
          </w:p>
        </w:tc>
        <w:tc>
          <w:tcPr>
            <w:tcW w:w="1339"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-0.26</w:t>
            </w:r>
          </w:p>
        </w:tc>
        <w:tc>
          <w:tcPr>
            <w:tcW w:w="1150"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-0.69</w:t>
            </w:r>
          </w:p>
        </w:tc>
        <w:tc>
          <w:tcPr>
            <w:tcW w:w="939" w:type="dxa"/>
            <w:tcBorders>
              <w:top w:val="nil"/>
              <w:left w:val="single" w:sz="8" w:space="0" w:color="auto"/>
              <w:bottom w:val="single" w:sz="4" w:space="0" w:color="auto"/>
              <w:right w:val="nil"/>
            </w:tcBorders>
            <w:noWrap/>
            <w:vAlign w:val="bottom"/>
          </w:tcPr>
          <w:p w:rsidR="00854221" w:rsidRPr="00CF0622" w:rsidRDefault="00854221" w:rsidP="00854221">
            <w:pPr>
              <w:pStyle w:val="BodyText"/>
              <w:spacing w:before="0" w:after="0"/>
              <w:jc w:val="right"/>
              <w:rPr>
                <w:i/>
              </w:rPr>
            </w:pPr>
            <w:r w:rsidRPr="00CF0622">
              <w:rPr>
                <w:i/>
              </w:rPr>
              <w:t>-0.36</w:t>
            </w:r>
          </w:p>
        </w:tc>
        <w:tc>
          <w:tcPr>
            <w:tcW w:w="1016"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-0.46</w:t>
            </w:r>
          </w:p>
        </w:tc>
      </w:tr>
      <w:tr w:rsidR="00854221" w:rsidRPr="00D80E11" w:rsidTr="00854221">
        <w:trPr>
          <w:trHeight w:val="255"/>
        </w:trPr>
        <w:tc>
          <w:tcPr>
            <w:tcW w:w="0" w:type="auto"/>
            <w:vMerge/>
            <w:tcBorders>
              <w:top w:val="single" w:sz="8" w:space="0" w:color="auto"/>
              <w:left w:val="single" w:sz="8" w:space="0" w:color="auto"/>
              <w:bottom w:val="single" w:sz="8" w:space="0" w:color="auto"/>
              <w:right w:val="single" w:sz="8" w:space="0" w:color="auto"/>
            </w:tcBorders>
            <w:vAlign w:val="center"/>
          </w:tcPr>
          <w:p w:rsidR="00854221" w:rsidRPr="00326929" w:rsidRDefault="00854221" w:rsidP="00854221">
            <w:pPr>
              <w:pStyle w:val="BodyText"/>
              <w:spacing w:before="0" w:after="0"/>
            </w:pPr>
          </w:p>
        </w:tc>
        <w:tc>
          <w:tcPr>
            <w:tcW w:w="978" w:type="dxa"/>
            <w:tcBorders>
              <w:left w:val="single" w:sz="8" w:space="0" w:color="auto"/>
            </w:tcBorders>
            <w:noWrap/>
            <w:vAlign w:val="bottom"/>
          </w:tcPr>
          <w:p w:rsidR="00854221" w:rsidRPr="00326929" w:rsidRDefault="00854221" w:rsidP="00854221">
            <w:pPr>
              <w:pStyle w:val="BodyText"/>
              <w:spacing w:before="0" w:after="0"/>
            </w:pPr>
            <w:r w:rsidRPr="00326929">
              <w:t>Rail</w:t>
            </w:r>
          </w:p>
        </w:tc>
        <w:tc>
          <w:tcPr>
            <w:tcW w:w="1477" w:type="dxa"/>
            <w:tcBorders>
              <w:top w:val="nil"/>
              <w:left w:val="nil"/>
              <w:bottom w:val="nil"/>
              <w:right w:val="single" w:sz="8" w:space="0" w:color="auto"/>
            </w:tcBorders>
            <w:noWrap/>
            <w:vAlign w:val="bottom"/>
          </w:tcPr>
          <w:p w:rsidR="00854221" w:rsidRPr="00326929" w:rsidRDefault="00854221" w:rsidP="00854221">
            <w:pPr>
              <w:pStyle w:val="BodyText"/>
              <w:spacing w:before="0" w:after="0"/>
            </w:pPr>
            <w:r w:rsidRPr="00326929">
              <w:t> </w:t>
            </w:r>
          </w:p>
        </w:tc>
        <w:tc>
          <w:tcPr>
            <w:tcW w:w="1134" w:type="dxa"/>
            <w:tcBorders>
              <w:right w:val="single" w:sz="8" w:space="0" w:color="auto"/>
            </w:tcBorders>
            <w:noWrap/>
            <w:vAlign w:val="bottom"/>
          </w:tcPr>
          <w:p w:rsidR="00854221" w:rsidRPr="00326929" w:rsidRDefault="00854221" w:rsidP="00854221">
            <w:pPr>
              <w:pStyle w:val="BodyText"/>
              <w:spacing w:before="0" w:after="0"/>
              <w:jc w:val="right"/>
            </w:pPr>
            <w:r w:rsidRPr="00326929">
              <w:t>2.19</w:t>
            </w:r>
          </w:p>
        </w:tc>
        <w:tc>
          <w:tcPr>
            <w:tcW w:w="924"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5.18</w:t>
            </w:r>
          </w:p>
        </w:tc>
        <w:tc>
          <w:tcPr>
            <w:tcW w:w="112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2.15</w:t>
            </w:r>
          </w:p>
        </w:tc>
        <w:tc>
          <w:tcPr>
            <w:tcW w:w="93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5.06</w:t>
            </w:r>
          </w:p>
        </w:tc>
        <w:tc>
          <w:tcPr>
            <w:tcW w:w="1339"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4.05</w:t>
            </w:r>
          </w:p>
        </w:tc>
        <w:tc>
          <w:tcPr>
            <w:tcW w:w="1150"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0.46</w:t>
            </w:r>
          </w:p>
        </w:tc>
        <w:tc>
          <w:tcPr>
            <w:tcW w:w="939" w:type="dxa"/>
            <w:tcBorders>
              <w:left w:val="single" w:sz="8" w:space="0" w:color="auto"/>
            </w:tcBorders>
            <w:noWrap/>
            <w:vAlign w:val="bottom"/>
          </w:tcPr>
          <w:p w:rsidR="00854221" w:rsidRPr="00326929" w:rsidRDefault="00854221" w:rsidP="00854221">
            <w:pPr>
              <w:pStyle w:val="BodyText"/>
              <w:spacing w:before="0" w:after="0"/>
              <w:jc w:val="right"/>
            </w:pPr>
            <w:r w:rsidRPr="00326929">
              <w:t>4.97</w:t>
            </w:r>
          </w:p>
        </w:tc>
        <w:tc>
          <w:tcPr>
            <w:tcW w:w="1016" w:type="dxa"/>
            <w:tcBorders>
              <w:top w:val="nil"/>
              <w:left w:val="single" w:sz="8" w:space="0" w:color="auto"/>
              <w:bottom w:val="nil"/>
              <w:right w:val="single" w:sz="8" w:space="0" w:color="auto"/>
            </w:tcBorders>
            <w:noWrap/>
            <w:vAlign w:val="bottom"/>
          </w:tcPr>
          <w:p w:rsidR="00854221" w:rsidRPr="00326929" w:rsidRDefault="00854221" w:rsidP="00854221">
            <w:pPr>
              <w:pStyle w:val="BodyText"/>
              <w:spacing w:before="0" w:after="0"/>
              <w:jc w:val="right"/>
            </w:pPr>
            <w:r w:rsidRPr="00326929">
              <w:t>24.06</w:t>
            </w:r>
          </w:p>
        </w:tc>
      </w:tr>
      <w:tr w:rsidR="00854221" w:rsidRPr="00D80E11" w:rsidTr="00854221">
        <w:trPr>
          <w:trHeight w:val="270"/>
        </w:trPr>
        <w:tc>
          <w:tcPr>
            <w:tcW w:w="0" w:type="auto"/>
            <w:vMerge/>
            <w:tcBorders>
              <w:top w:val="single" w:sz="8" w:space="0" w:color="auto"/>
              <w:left w:val="single" w:sz="8" w:space="0" w:color="auto"/>
              <w:bottom w:val="single" w:sz="8" w:space="0" w:color="auto"/>
              <w:right w:val="single" w:sz="8" w:space="0" w:color="auto"/>
            </w:tcBorders>
            <w:vAlign w:val="center"/>
          </w:tcPr>
          <w:p w:rsidR="00854221" w:rsidRPr="00326929" w:rsidRDefault="00854221" w:rsidP="00854221">
            <w:pPr>
              <w:pStyle w:val="BodyText"/>
              <w:spacing w:before="0" w:after="0"/>
            </w:pPr>
          </w:p>
        </w:tc>
        <w:tc>
          <w:tcPr>
            <w:tcW w:w="2455" w:type="dxa"/>
            <w:gridSpan w:val="2"/>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rPr>
                <w:i/>
              </w:rPr>
            </w:pPr>
            <w:r w:rsidRPr="00CF0622">
              <w:rPr>
                <w:i/>
              </w:rPr>
              <w:t>% change from do nothing</w:t>
            </w:r>
          </w:p>
        </w:tc>
        <w:tc>
          <w:tcPr>
            <w:tcW w:w="1134"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0.82</w:t>
            </w:r>
          </w:p>
        </w:tc>
        <w:tc>
          <w:tcPr>
            <w:tcW w:w="924"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1.02</w:t>
            </w:r>
          </w:p>
        </w:tc>
        <w:tc>
          <w:tcPr>
            <w:tcW w:w="1128"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0.95</w:t>
            </w:r>
          </w:p>
        </w:tc>
        <w:tc>
          <w:tcPr>
            <w:tcW w:w="938"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10.60</w:t>
            </w:r>
          </w:p>
        </w:tc>
        <w:tc>
          <w:tcPr>
            <w:tcW w:w="1339"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2.75</w:t>
            </w:r>
          </w:p>
        </w:tc>
        <w:tc>
          <w:tcPr>
            <w:tcW w:w="1150"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15.36</w:t>
            </w:r>
          </w:p>
        </w:tc>
        <w:tc>
          <w:tcPr>
            <w:tcW w:w="939" w:type="dxa"/>
            <w:tcBorders>
              <w:top w:val="nil"/>
              <w:left w:val="single" w:sz="8" w:space="0" w:color="auto"/>
              <w:bottom w:val="single" w:sz="8" w:space="0" w:color="auto"/>
              <w:right w:val="nil"/>
            </w:tcBorders>
            <w:noWrap/>
            <w:vAlign w:val="bottom"/>
          </w:tcPr>
          <w:p w:rsidR="00854221" w:rsidRPr="00CF0622" w:rsidRDefault="00854221" w:rsidP="00854221">
            <w:pPr>
              <w:pStyle w:val="BodyText"/>
              <w:spacing w:before="0" w:after="0"/>
              <w:jc w:val="right"/>
              <w:rPr>
                <w:i/>
              </w:rPr>
            </w:pPr>
            <w:r w:rsidRPr="00CF0622">
              <w:rPr>
                <w:i/>
              </w:rPr>
              <w:t>5.85</w:t>
            </w:r>
          </w:p>
        </w:tc>
        <w:tc>
          <w:tcPr>
            <w:tcW w:w="1016"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4.43</w:t>
            </w:r>
          </w:p>
        </w:tc>
      </w:tr>
      <w:tr w:rsidR="00854221" w:rsidRPr="00D80E11" w:rsidTr="00854221">
        <w:trPr>
          <w:trHeight w:val="255"/>
        </w:trPr>
        <w:tc>
          <w:tcPr>
            <w:tcW w:w="2060" w:type="dxa"/>
            <w:vMerge w:val="restart"/>
            <w:tcBorders>
              <w:top w:val="single" w:sz="8" w:space="0" w:color="auto"/>
              <w:left w:val="single" w:sz="8" w:space="0" w:color="auto"/>
              <w:bottom w:val="single" w:sz="8" w:space="0" w:color="auto"/>
              <w:right w:val="single" w:sz="8" w:space="0" w:color="auto"/>
            </w:tcBorders>
            <w:noWrap/>
            <w:vAlign w:val="center"/>
          </w:tcPr>
          <w:p w:rsidR="00854221" w:rsidRPr="00326929" w:rsidRDefault="00854221" w:rsidP="00854221">
            <w:pPr>
              <w:pStyle w:val="BodyText"/>
              <w:spacing w:before="0" w:after="0"/>
            </w:pPr>
            <w:r w:rsidRPr="00326929">
              <w:t>Scenario 3</w:t>
            </w:r>
          </w:p>
          <w:p w:rsidR="00854221" w:rsidRPr="00326929" w:rsidRDefault="00854221" w:rsidP="00854221">
            <w:pPr>
              <w:pStyle w:val="BodyText"/>
              <w:spacing w:before="0" w:after="0"/>
            </w:pPr>
            <w:r w:rsidRPr="00326929">
              <w:t>Doubled Access Charges</w:t>
            </w:r>
          </w:p>
        </w:tc>
        <w:tc>
          <w:tcPr>
            <w:tcW w:w="978" w:type="dxa"/>
            <w:tcBorders>
              <w:left w:val="single" w:sz="8" w:space="0" w:color="auto"/>
            </w:tcBorders>
            <w:noWrap/>
            <w:vAlign w:val="bottom"/>
          </w:tcPr>
          <w:p w:rsidR="00854221" w:rsidRPr="00326929" w:rsidRDefault="00854221" w:rsidP="00854221">
            <w:pPr>
              <w:pStyle w:val="BodyText"/>
              <w:spacing w:before="0" w:after="0"/>
            </w:pPr>
            <w:r w:rsidRPr="00326929">
              <w:t>Road</w:t>
            </w:r>
          </w:p>
        </w:tc>
        <w:tc>
          <w:tcPr>
            <w:tcW w:w="1477" w:type="dxa"/>
            <w:tcBorders>
              <w:top w:val="nil"/>
              <w:left w:val="nil"/>
              <w:bottom w:val="nil"/>
              <w:right w:val="single" w:sz="8" w:space="0" w:color="auto"/>
            </w:tcBorders>
            <w:noWrap/>
            <w:vAlign w:val="bottom"/>
          </w:tcPr>
          <w:p w:rsidR="00854221" w:rsidRPr="00326929" w:rsidRDefault="00854221" w:rsidP="00854221">
            <w:pPr>
              <w:pStyle w:val="BodyText"/>
              <w:spacing w:before="0" w:after="0"/>
            </w:pPr>
            <w:r w:rsidRPr="00326929">
              <w:t> </w:t>
            </w:r>
          </w:p>
        </w:tc>
        <w:tc>
          <w:tcPr>
            <w:tcW w:w="1134" w:type="dxa"/>
            <w:tcBorders>
              <w:right w:val="single" w:sz="8" w:space="0" w:color="auto"/>
            </w:tcBorders>
            <w:noWrap/>
            <w:vAlign w:val="bottom"/>
          </w:tcPr>
          <w:p w:rsidR="00854221" w:rsidRPr="00326929" w:rsidRDefault="00854221" w:rsidP="00854221">
            <w:pPr>
              <w:pStyle w:val="BodyText"/>
              <w:spacing w:before="0" w:after="0"/>
              <w:jc w:val="right"/>
            </w:pPr>
            <w:r w:rsidRPr="00326929">
              <w:t>63.36</w:t>
            </w:r>
          </w:p>
        </w:tc>
        <w:tc>
          <w:tcPr>
            <w:tcW w:w="924"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2.33</w:t>
            </w:r>
          </w:p>
        </w:tc>
        <w:tc>
          <w:tcPr>
            <w:tcW w:w="112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8.30</w:t>
            </w:r>
          </w:p>
        </w:tc>
        <w:tc>
          <w:tcPr>
            <w:tcW w:w="93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9.33</w:t>
            </w:r>
          </w:p>
        </w:tc>
        <w:tc>
          <w:tcPr>
            <w:tcW w:w="1339"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36.02</w:t>
            </w:r>
          </w:p>
        </w:tc>
        <w:tc>
          <w:tcPr>
            <w:tcW w:w="1150"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8.95</w:t>
            </w:r>
          </w:p>
        </w:tc>
        <w:tc>
          <w:tcPr>
            <w:tcW w:w="939" w:type="dxa"/>
            <w:tcBorders>
              <w:left w:val="single" w:sz="8" w:space="0" w:color="auto"/>
            </w:tcBorders>
            <w:noWrap/>
            <w:vAlign w:val="bottom"/>
          </w:tcPr>
          <w:p w:rsidR="00854221" w:rsidRPr="00326929" w:rsidRDefault="00854221" w:rsidP="00854221">
            <w:pPr>
              <w:pStyle w:val="BodyText"/>
              <w:spacing w:before="0" w:after="0"/>
              <w:jc w:val="right"/>
            </w:pPr>
            <w:r w:rsidRPr="00326929">
              <w:t>73.56</w:t>
            </w:r>
          </w:p>
        </w:tc>
        <w:tc>
          <w:tcPr>
            <w:tcW w:w="1016" w:type="dxa"/>
            <w:tcBorders>
              <w:top w:val="nil"/>
              <w:left w:val="single" w:sz="8" w:space="0" w:color="auto"/>
              <w:bottom w:val="nil"/>
              <w:right w:val="single" w:sz="8" w:space="0" w:color="auto"/>
            </w:tcBorders>
            <w:noWrap/>
            <w:vAlign w:val="bottom"/>
          </w:tcPr>
          <w:p w:rsidR="00854221" w:rsidRPr="00326929" w:rsidRDefault="00854221" w:rsidP="00854221">
            <w:pPr>
              <w:pStyle w:val="BodyText"/>
              <w:spacing w:before="0" w:after="0"/>
              <w:jc w:val="right"/>
            </w:pPr>
            <w:r w:rsidRPr="00326929">
              <w:t>201.85</w:t>
            </w:r>
          </w:p>
        </w:tc>
      </w:tr>
      <w:tr w:rsidR="00854221" w:rsidRPr="00D80E11" w:rsidTr="00854221">
        <w:trPr>
          <w:trHeight w:val="255"/>
        </w:trPr>
        <w:tc>
          <w:tcPr>
            <w:tcW w:w="0" w:type="auto"/>
            <w:vMerge/>
            <w:tcBorders>
              <w:top w:val="single" w:sz="8" w:space="0" w:color="auto"/>
              <w:left w:val="single" w:sz="8" w:space="0" w:color="auto"/>
              <w:bottom w:val="single" w:sz="8" w:space="0" w:color="auto"/>
              <w:right w:val="single" w:sz="8" w:space="0" w:color="auto"/>
            </w:tcBorders>
            <w:vAlign w:val="center"/>
          </w:tcPr>
          <w:p w:rsidR="00854221" w:rsidRPr="00326929" w:rsidRDefault="00854221" w:rsidP="00854221">
            <w:pPr>
              <w:pStyle w:val="BodyText"/>
              <w:spacing w:before="0" w:after="0"/>
            </w:pPr>
          </w:p>
        </w:tc>
        <w:tc>
          <w:tcPr>
            <w:tcW w:w="2455" w:type="dxa"/>
            <w:gridSpan w:val="2"/>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rPr>
                <w:i/>
              </w:rPr>
            </w:pPr>
            <w:r w:rsidRPr="00CF0622">
              <w:rPr>
                <w:i/>
              </w:rPr>
              <w:t>% change from do nothing</w:t>
            </w:r>
          </w:p>
        </w:tc>
        <w:tc>
          <w:tcPr>
            <w:tcW w:w="1134"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0.04</w:t>
            </w:r>
          </w:p>
        </w:tc>
        <w:tc>
          <w:tcPr>
            <w:tcW w:w="924"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0.61</w:t>
            </w:r>
          </w:p>
        </w:tc>
        <w:tc>
          <w:tcPr>
            <w:tcW w:w="1128"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0.18</w:t>
            </w:r>
          </w:p>
        </w:tc>
        <w:tc>
          <w:tcPr>
            <w:tcW w:w="938"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9.42</w:t>
            </w:r>
          </w:p>
        </w:tc>
        <w:tc>
          <w:tcPr>
            <w:tcW w:w="1339"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0.32</w:t>
            </w:r>
          </w:p>
        </w:tc>
        <w:tc>
          <w:tcPr>
            <w:tcW w:w="1150"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1.24</w:t>
            </w:r>
          </w:p>
        </w:tc>
        <w:tc>
          <w:tcPr>
            <w:tcW w:w="939" w:type="dxa"/>
            <w:tcBorders>
              <w:top w:val="nil"/>
              <w:left w:val="single" w:sz="8" w:space="0" w:color="auto"/>
              <w:bottom w:val="single" w:sz="4" w:space="0" w:color="auto"/>
              <w:right w:val="nil"/>
            </w:tcBorders>
            <w:noWrap/>
            <w:vAlign w:val="bottom"/>
          </w:tcPr>
          <w:p w:rsidR="00854221" w:rsidRPr="00CF0622" w:rsidRDefault="00854221" w:rsidP="00854221">
            <w:pPr>
              <w:pStyle w:val="BodyText"/>
              <w:spacing w:before="0" w:after="0"/>
              <w:jc w:val="right"/>
              <w:rPr>
                <w:i/>
              </w:rPr>
            </w:pPr>
            <w:r w:rsidRPr="00CF0622">
              <w:rPr>
                <w:i/>
              </w:rPr>
              <w:t>0.65</w:t>
            </w:r>
          </w:p>
        </w:tc>
        <w:tc>
          <w:tcPr>
            <w:tcW w:w="1016"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0.78</w:t>
            </w:r>
          </w:p>
        </w:tc>
      </w:tr>
      <w:tr w:rsidR="00854221" w:rsidRPr="00D80E11" w:rsidTr="00854221">
        <w:trPr>
          <w:trHeight w:val="255"/>
        </w:trPr>
        <w:tc>
          <w:tcPr>
            <w:tcW w:w="0" w:type="auto"/>
            <w:vMerge/>
            <w:tcBorders>
              <w:top w:val="single" w:sz="8" w:space="0" w:color="auto"/>
              <w:left w:val="single" w:sz="8" w:space="0" w:color="auto"/>
              <w:bottom w:val="single" w:sz="8" w:space="0" w:color="auto"/>
              <w:right w:val="single" w:sz="8" w:space="0" w:color="auto"/>
            </w:tcBorders>
            <w:vAlign w:val="center"/>
          </w:tcPr>
          <w:p w:rsidR="00854221" w:rsidRPr="00326929" w:rsidRDefault="00854221" w:rsidP="00854221">
            <w:pPr>
              <w:pStyle w:val="BodyText"/>
              <w:spacing w:before="0" w:after="0"/>
            </w:pPr>
          </w:p>
        </w:tc>
        <w:tc>
          <w:tcPr>
            <w:tcW w:w="978" w:type="dxa"/>
            <w:tcBorders>
              <w:left w:val="single" w:sz="8" w:space="0" w:color="auto"/>
            </w:tcBorders>
            <w:noWrap/>
            <w:vAlign w:val="bottom"/>
          </w:tcPr>
          <w:p w:rsidR="00854221" w:rsidRPr="00326929" w:rsidRDefault="00854221" w:rsidP="00854221">
            <w:pPr>
              <w:pStyle w:val="BodyText"/>
              <w:spacing w:before="0" w:after="0"/>
            </w:pPr>
            <w:r w:rsidRPr="00326929">
              <w:t>Rail</w:t>
            </w:r>
          </w:p>
        </w:tc>
        <w:tc>
          <w:tcPr>
            <w:tcW w:w="1477" w:type="dxa"/>
            <w:tcBorders>
              <w:top w:val="nil"/>
              <w:left w:val="nil"/>
              <w:bottom w:val="nil"/>
              <w:right w:val="single" w:sz="8" w:space="0" w:color="auto"/>
            </w:tcBorders>
            <w:noWrap/>
            <w:vAlign w:val="bottom"/>
          </w:tcPr>
          <w:p w:rsidR="00854221" w:rsidRPr="00326929" w:rsidRDefault="00854221" w:rsidP="00854221">
            <w:pPr>
              <w:pStyle w:val="BodyText"/>
              <w:spacing w:before="0" w:after="0"/>
            </w:pPr>
            <w:r w:rsidRPr="00326929">
              <w:t> </w:t>
            </w:r>
          </w:p>
        </w:tc>
        <w:tc>
          <w:tcPr>
            <w:tcW w:w="1134" w:type="dxa"/>
            <w:tcBorders>
              <w:right w:val="single" w:sz="8" w:space="0" w:color="auto"/>
            </w:tcBorders>
            <w:noWrap/>
            <w:vAlign w:val="bottom"/>
          </w:tcPr>
          <w:p w:rsidR="00854221" w:rsidRPr="00326929" w:rsidRDefault="00854221" w:rsidP="00854221">
            <w:pPr>
              <w:pStyle w:val="BodyText"/>
              <w:spacing w:before="0" w:after="0"/>
              <w:jc w:val="right"/>
            </w:pPr>
            <w:r w:rsidRPr="00326929">
              <w:t>2.15</w:t>
            </w:r>
          </w:p>
        </w:tc>
        <w:tc>
          <w:tcPr>
            <w:tcW w:w="924"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5.04</w:t>
            </w:r>
          </w:p>
        </w:tc>
        <w:tc>
          <w:tcPr>
            <w:tcW w:w="112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2.10</w:t>
            </w:r>
          </w:p>
        </w:tc>
        <w:tc>
          <w:tcPr>
            <w:tcW w:w="93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3.74</w:t>
            </w:r>
          </w:p>
        </w:tc>
        <w:tc>
          <w:tcPr>
            <w:tcW w:w="1339"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3.78</w:t>
            </w:r>
          </w:p>
        </w:tc>
        <w:tc>
          <w:tcPr>
            <w:tcW w:w="1150"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0.29</w:t>
            </w:r>
          </w:p>
        </w:tc>
        <w:tc>
          <w:tcPr>
            <w:tcW w:w="939" w:type="dxa"/>
            <w:tcBorders>
              <w:left w:val="single" w:sz="8" w:space="0" w:color="auto"/>
            </w:tcBorders>
            <w:noWrap/>
            <w:vAlign w:val="bottom"/>
          </w:tcPr>
          <w:p w:rsidR="00854221" w:rsidRPr="00326929" w:rsidRDefault="00854221" w:rsidP="00854221">
            <w:pPr>
              <w:pStyle w:val="BodyText"/>
              <w:spacing w:before="0" w:after="0"/>
              <w:jc w:val="right"/>
            </w:pPr>
            <w:r w:rsidRPr="00326929">
              <w:t>4.20</w:t>
            </w:r>
          </w:p>
        </w:tc>
        <w:tc>
          <w:tcPr>
            <w:tcW w:w="1016" w:type="dxa"/>
            <w:tcBorders>
              <w:top w:val="nil"/>
              <w:left w:val="single" w:sz="8" w:space="0" w:color="auto"/>
              <w:bottom w:val="nil"/>
              <w:right w:val="single" w:sz="8" w:space="0" w:color="auto"/>
            </w:tcBorders>
            <w:noWrap/>
            <w:vAlign w:val="bottom"/>
          </w:tcPr>
          <w:p w:rsidR="00854221" w:rsidRPr="00326929" w:rsidRDefault="00854221" w:rsidP="00854221">
            <w:pPr>
              <w:pStyle w:val="BodyText"/>
              <w:spacing w:before="0" w:after="0"/>
              <w:jc w:val="right"/>
            </w:pPr>
            <w:r w:rsidRPr="00326929">
              <w:t>21.29</w:t>
            </w:r>
          </w:p>
        </w:tc>
      </w:tr>
      <w:tr w:rsidR="00854221" w:rsidRPr="00D80E11" w:rsidTr="00854221">
        <w:trPr>
          <w:trHeight w:val="270"/>
        </w:trPr>
        <w:tc>
          <w:tcPr>
            <w:tcW w:w="0" w:type="auto"/>
            <w:vMerge/>
            <w:tcBorders>
              <w:top w:val="single" w:sz="8" w:space="0" w:color="auto"/>
              <w:left w:val="single" w:sz="8" w:space="0" w:color="auto"/>
              <w:bottom w:val="single" w:sz="8" w:space="0" w:color="auto"/>
              <w:right w:val="single" w:sz="8" w:space="0" w:color="auto"/>
            </w:tcBorders>
            <w:vAlign w:val="center"/>
          </w:tcPr>
          <w:p w:rsidR="00854221" w:rsidRPr="00326929" w:rsidRDefault="00854221" w:rsidP="00854221">
            <w:pPr>
              <w:pStyle w:val="BodyText"/>
              <w:spacing w:before="0" w:after="0"/>
            </w:pPr>
          </w:p>
        </w:tc>
        <w:tc>
          <w:tcPr>
            <w:tcW w:w="2455" w:type="dxa"/>
            <w:gridSpan w:val="2"/>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rPr>
                <w:i/>
              </w:rPr>
            </w:pPr>
            <w:r w:rsidRPr="00CF0622">
              <w:rPr>
                <w:i/>
              </w:rPr>
              <w:t>% change from do nothing</w:t>
            </w:r>
          </w:p>
        </w:tc>
        <w:tc>
          <w:tcPr>
            <w:tcW w:w="1134"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-1.20</w:t>
            </w:r>
          </w:p>
        </w:tc>
        <w:tc>
          <w:tcPr>
            <w:tcW w:w="924"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-1.85</w:t>
            </w:r>
          </w:p>
        </w:tc>
        <w:tc>
          <w:tcPr>
            <w:tcW w:w="1128"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-1.61</w:t>
            </w:r>
          </w:p>
        </w:tc>
        <w:tc>
          <w:tcPr>
            <w:tcW w:w="938"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-18.17</w:t>
            </w:r>
          </w:p>
        </w:tc>
        <w:tc>
          <w:tcPr>
            <w:tcW w:w="1339"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-3.92</w:t>
            </w:r>
          </w:p>
        </w:tc>
        <w:tc>
          <w:tcPr>
            <w:tcW w:w="1150"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-27.54</w:t>
            </w:r>
          </w:p>
        </w:tc>
        <w:tc>
          <w:tcPr>
            <w:tcW w:w="939" w:type="dxa"/>
            <w:tcBorders>
              <w:top w:val="nil"/>
              <w:left w:val="single" w:sz="8" w:space="0" w:color="auto"/>
              <w:bottom w:val="single" w:sz="8" w:space="0" w:color="auto"/>
              <w:right w:val="nil"/>
            </w:tcBorders>
            <w:noWrap/>
            <w:vAlign w:val="bottom"/>
          </w:tcPr>
          <w:p w:rsidR="00854221" w:rsidRPr="00CF0622" w:rsidRDefault="00854221" w:rsidP="00854221">
            <w:pPr>
              <w:pStyle w:val="BodyText"/>
              <w:spacing w:before="0" w:after="0"/>
              <w:jc w:val="right"/>
              <w:rPr>
                <w:i/>
              </w:rPr>
            </w:pPr>
            <w:r w:rsidRPr="00CF0622">
              <w:rPr>
                <w:i/>
              </w:rPr>
              <w:t>-10.59</w:t>
            </w:r>
          </w:p>
        </w:tc>
        <w:tc>
          <w:tcPr>
            <w:tcW w:w="1016"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-7.59</w:t>
            </w:r>
          </w:p>
        </w:tc>
      </w:tr>
      <w:tr w:rsidR="00854221" w:rsidRPr="00D80E11" w:rsidTr="00854221">
        <w:trPr>
          <w:trHeight w:val="255"/>
        </w:trPr>
        <w:tc>
          <w:tcPr>
            <w:tcW w:w="2060" w:type="dxa"/>
            <w:vMerge w:val="restart"/>
            <w:tcBorders>
              <w:top w:val="single" w:sz="8" w:space="0" w:color="auto"/>
              <w:left w:val="single" w:sz="8" w:space="0" w:color="auto"/>
              <w:bottom w:val="single" w:sz="8" w:space="0" w:color="auto"/>
              <w:right w:val="single" w:sz="8" w:space="0" w:color="auto"/>
            </w:tcBorders>
            <w:noWrap/>
            <w:vAlign w:val="center"/>
          </w:tcPr>
          <w:p w:rsidR="00854221" w:rsidRPr="00326929" w:rsidRDefault="00854221" w:rsidP="00854221">
            <w:pPr>
              <w:pStyle w:val="BodyText"/>
              <w:spacing w:before="0" w:after="0"/>
            </w:pPr>
            <w:r w:rsidRPr="00326929">
              <w:t>Scenario 4</w:t>
            </w:r>
          </w:p>
          <w:p w:rsidR="00854221" w:rsidRPr="00326929" w:rsidRDefault="00854221" w:rsidP="00854221">
            <w:pPr>
              <w:pStyle w:val="BodyText"/>
              <w:spacing w:before="0" w:after="0"/>
            </w:pPr>
            <w:r w:rsidRPr="00326929">
              <w:t>Quadrupled Access Charges</w:t>
            </w:r>
          </w:p>
        </w:tc>
        <w:tc>
          <w:tcPr>
            <w:tcW w:w="978" w:type="dxa"/>
            <w:tcBorders>
              <w:left w:val="single" w:sz="8" w:space="0" w:color="auto"/>
            </w:tcBorders>
            <w:noWrap/>
            <w:vAlign w:val="bottom"/>
          </w:tcPr>
          <w:p w:rsidR="00854221" w:rsidRPr="00326929" w:rsidRDefault="00854221" w:rsidP="00854221">
            <w:pPr>
              <w:pStyle w:val="BodyText"/>
              <w:spacing w:before="0" w:after="0"/>
            </w:pPr>
            <w:r w:rsidRPr="00326929">
              <w:t>Road</w:t>
            </w:r>
          </w:p>
        </w:tc>
        <w:tc>
          <w:tcPr>
            <w:tcW w:w="1477" w:type="dxa"/>
            <w:tcBorders>
              <w:top w:val="nil"/>
              <w:left w:val="nil"/>
              <w:bottom w:val="nil"/>
              <w:right w:val="single" w:sz="8" w:space="0" w:color="auto"/>
            </w:tcBorders>
            <w:noWrap/>
            <w:vAlign w:val="bottom"/>
          </w:tcPr>
          <w:p w:rsidR="00854221" w:rsidRPr="00326929" w:rsidRDefault="00854221" w:rsidP="00854221">
            <w:pPr>
              <w:pStyle w:val="BodyText"/>
              <w:spacing w:before="0" w:after="0"/>
            </w:pPr>
            <w:r w:rsidRPr="00326929">
              <w:t> </w:t>
            </w:r>
          </w:p>
        </w:tc>
        <w:tc>
          <w:tcPr>
            <w:tcW w:w="1134" w:type="dxa"/>
            <w:tcBorders>
              <w:right w:val="single" w:sz="8" w:space="0" w:color="auto"/>
            </w:tcBorders>
            <w:noWrap/>
            <w:vAlign w:val="bottom"/>
          </w:tcPr>
          <w:p w:rsidR="00854221" w:rsidRPr="00326929" w:rsidRDefault="00854221" w:rsidP="00854221">
            <w:pPr>
              <w:pStyle w:val="BodyText"/>
              <w:spacing w:before="0" w:after="0"/>
              <w:jc w:val="right"/>
            </w:pPr>
            <w:r w:rsidRPr="00326929">
              <w:t>63.40</w:t>
            </w:r>
          </w:p>
        </w:tc>
        <w:tc>
          <w:tcPr>
            <w:tcW w:w="924"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2.36</w:t>
            </w:r>
          </w:p>
        </w:tc>
        <w:tc>
          <w:tcPr>
            <w:tcW w:w="112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8.32</w:t>
            </w:r>
          </w:p>
        </w:tc>
        <w:tc>
          <w:tcPr>
            <w:tcW w:w="93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10.34</w:t>
            </w:r>
          </w:p>
        </w:tc>
        <w:tc>
          <w:tcPr>
            <w:tcW w:w="1339"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36.19</w:t>
            </w:r>
          </w:p>
        </w:tc>
        <w:tc>
          <w:tcPr>
            <w:tcW w:w="1150"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9.11</w:t>
            </w:r>
          </w:p>
        </w:tc>
        <w:tc>
          <w:tcPr>
            <w:tcW w:w="939" w:type="dxa"/>
            <w:tcBorders>
              <w:left w:val="single" w:sz="8" w:space="0" w:color="auto"/>
            </w:tcBorders>
            <w:noWrap/>
            <w:vAlign w:val="bottom"/>
          </w:tcPr>
          <w:p w:rsidR="00854221" w:rsidRPr="00326929" w:rsidRDefault="00854221" w:rsidP="00854221">
            <w:pPr>
              <w:pStyle w:val="BodyText"/>
              <w:spacing w:before="0" w:after="0"/>
              <w:jc w:val="right"/>
            </w:pPr>
            <w:r w:rsidRPr="00326929">
              <w:t>74.35</w:t>
            </w:r>
          </w:p>
        </w:tc>
        <w:tc>
          <w:tcPr>
            <w:tcW w:w="1016" w:type="dxa"/>
            <w:tcBorders>
              <w:top w:val="nil"/>
              <w:left w:val="single" w:sz="8" w:space="0" w:color="auto"/>
              <w:bottom w:val="nil"/>
              <w:right w:val="single" w:sz="8" w:space="0" w:color="auto"/>
            </w:tcBorders>
            <w:noWrap/>
            <w:vAlign w:val="bottom"/>
          </w:tcPr>
          <w:p w:rsidR="00854221" w:rsidRPr="00326929" w:rsidRDefault="00854221" w:rsidP="00854221">
            <w:pPr>
              <w:pStyle w:val="BodyText"/>
              <w:spacing w:before="0" w:after="0"/>
              <w:jc w:val="right"/>
            </w:pPr>
            <w:r w:rsidRPr="00326929">
              <w:t>204.07</w:t>
            </w:r>
          </w:p>
        </w:tc>
      </w:tr>
      <w:tr w:rsidR="00854221" w:rsidRPr="00D80E11" w:rsidTr="00854221">
        <w:trPr>
          <w:trHeight w:val="255"/>
        </w:trPr>
        <w:tc>
          <w:tcPr>
            <w:tcW w:w="0" w:type="auto"/>
            <w:vMerge/>
            <w:tcBorders>
              <w:top w:val="single" w:sz="8" w:space="0" w:color="auto"/>
              <w:left w:val="single" w:sz="8" w:space="0" w:color="auto"/>
              <w:bottom w:val="single" w:sz="8" w:space="0" w:color="auto"/>
              <w:right w:val="single" w:sz="8" w:space="0" w:color="auto"/>
            </w:tcBorders>
            <w:vAlign w:val="center"/>
          </w:tcPr>
          <w:p w:rsidR="00854221" w:rsidRPr="00326929" w:rsidRDefault="00854221" w:rsidP="00854221">
            <w:pPr>
              <w:pStyle w:val="BodyText"/>
              <w:spacing w:before="0" w:after="0"/>
            </w:pPr>
          </w:p>
        </w:tc>
        <w:tc>
          <w:tcPr>
            <w:tcW w:w="2455" w:type="dxa"/>
            <w:gridSpan w:val="2"/>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rPr>
                <w:i/>
              </w:rPr>
            </w:pPr>
            <w:r w:rsidRPr="00CF0622">
              <w:rPr>
                <w:i/>
              </w:rPr>
              <w:t>% change from do nothing</w:t>
            </w:r>
          </w:p>
        </w:tc>
        <w:tc>
          <w:tcPr>
            <w:tcW w:w="1134"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0.11</w:t>
            </w:r>
          </w:p>
        </w:tc>
        <w:tc>
          <w:tcPr>
            <w:tcW w:w="924"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2.09</w:t>
            </w:r>
          </w:p>
        </w:tc>
        <w:tc>
          <w:tcPr>
            <w:tcW w:w="1128"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0.38</w:t>
            </w:r>
          </w:p>
        </w:tc>
        <w:tc>
          <w:tcPr>
            <w:tcW w:w="938"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21.26</w:t>
            </w:r>
          </w:p>
        </w:tc>
        <w:tc>
          <w:tcPr>
            <w:tcW w:w="1339"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0.78</w:t>
            </w:r>
          </w:p>
        </w:tc>
        <w:tc>
          <w:tcPr>
            <w:tcW w:w="1150"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3.02</w:t>
            </w:r>
          </w:p>
        </w:tc>
        <w:tc>
          <w:tcPr>
            <w:tcW w:w="939" w:type="dxa"/>
            <w:tcBorders>
              <w:top w:val="nil"/>
              <w:left w:val="single" w:sz="8" w:space="0" w:color="auto"/>
              <w:bottom w:val="single" w:sz="4" w:space="0" w:color="auto"/>
              <w:right w:val="nil"/>
            </w:tcBorders>
            <w:noWrap/>
            <w:vAlign w:val="bottom"/>
          </w:tcPr>
          <w:p w:rsidR="00854221" w:rsidRPr="00CF0622" w:rsidRDefault="00854221" w:rsidP="00854221">
            <w:pPr>
              <w:pStyle w:val="BodyText"/>
              <w:spacing w:before="0" w:after="0"/>
              <w:jc w:val="right"/>
              <w:rPr>
                <w:i/>
              </w:rPr>
            </w:pPr>
            <w:r w:rsidRPr="00CF0622">
              <w:rPr>
                <w:i/>
              </w:rPr>
              <w:t>1.73</w:t>
            </w:r>
          </w:p>
        </w:tc>
        <w:tc>
          <w:tcPr>
            <w:tcW w:w="1016"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1.88</w:t>
            </w:r>
          </w:p>
        </w:tc>
      </w:tr>
      <w:tr w:rsidR="00854221" w:rsidRPr="00D80E11" w:rsidTr="00854221">
        <w:trPr>
          <w:trHeight w:val="255"/>
        </w:trPr>
        <w:tc>
          <w:tcPr>
            <w:tcW w:w="0" w:type="auto"/>
            <w:vMerge/>
            <w:tcBorders>
              <w:top w:val="single" w:sz="8" w:space="0" w:color="auto"/>
              <w:left w:val="single" w:sz="8" w:space="0" w:color="auto"/>
              <w:bottom w:val="single" w:sz="8" w:space="0" w:color="auto"/>
              <w:right w:val="single" w:sz="8" w:space="0" w:color="auto"/>
            </w:tcBorders>
            <w:vAlign w:val="center"/>
          </w:tcPr>
          <w:p w:rsidR="00854221" w:rsidRPr="00326929" w:rsidRDefault="00854221" w:rsidP="00854221">
            <w:pPr>
              <w:pStyle w:val="BodyText"/>
              <w:spacing w:before="0" w:after="0"/>
            </w:pPr>
          </w:p>
        </w:tc>
        <w:tc>
          <w:tcPr>
            <w:tcW w:w="978" w:type="dxa"/>
            <w:tcBorders>
              <w:left w:val="single" w:sz="8" w:space="0" w:color="auto"/>
            </w:tcBorders>
            <w:noWrap/>
            <w:vAlign w:val="bottom"/>
          </w:tcPr>
          <w:p w:rsidR="00854221" w:rsidRPr="00326929" w:rsidRDefault="00854221" w:rsidP="00854221">
            <w:pPr>
              <w:pStyle w:val="BodyText"/>
              <w:spacing w:before="0" w:after="0"/>
            </w:pPr>
            <w:r w:rsidRPr="00326929">
              <w:t>Rail</w:t>
            </w:r>
          </w:p>
        </w:tc>
        <w:tc>
          <w:tcPr>
            <w:tcW w:w="1477" w:type="dxa"/>
            <w:tcBorders>
              <w:top w:val="nil"/>
              <w:left w:val="nil"/>
              <w:bottom w:val="nil"/>
              <w:right w:val="single" w:sz="8" w:space="0" w:color="auto"/>
            </w:tcBorders>
            <w:noWrap/>
            <w:vAlign w:val="bottom"/>
          </w:tcPr>
          <w:p w:rsidR="00854221" w:rsidRPr="00326929" w:rsidRDefault="00854221" w:rsidP="00854221">
            <w:pPr>
              <w:pStyle w:val="BodyText"/>
              <w:spacing w:before="0" w:after="0"/>
            </w:pPr>
            <w:r w:rsidRPr="00326929">
              <w:t> </w:t>
            </w:r>
          </w:p>
        </w:tc>
        <w:tc>
          <w:tcPr>
            <w:tcW w:w="1134" w:type="dxa"/>
            <w:tcBorders>
              <w:right w:val="single" w:sz="8" w:space="0" w:color="auto"/>
            </w:tcBorders>
            <w:noWrap/>
            <w:vAlign w:val="bottom"/>
          </w:tcPr>
          <w:p w:rsidR="00854221" w:rsidRPr="00326929" w:rsidRDefault="00854221" w:rsidP="00854221">
            <w:pPr>
              <w:pStyle w:val="BodyText"/>
              <w:spacing w:before="0" w:after="0"/>
              <w:jc w:val="right"/>
            </w:pPr>
            <w:r w:rsidRPr="00326929">
              <w:t>2.10</w:t>
            </w:r>
          </w:p>
        </w:tc>
        <w:tc>
          <w:tcPr>
            <w:tcW w:w="924"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4.87</w:t>
            </w:r>
          </w:p>
        </w:tc>
        <w:tc>
          <w:tcPr>
            <w:tcW w:w="112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2.04</w:t>
            </w:r>
          </w:p>
        </w:tc>
        <w:tc>
          <w:tcPr>
            <w:tcW w:w="93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2.69</w:t>
            </w:r>
          </w:p>
        </w:tc>
        <w:tc>
          <w:tcPr>
            <w:tcW w:w="1339"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3.55</w:t>
            </w:r>
          </w:p>
        </w:tc>
        <w:tc>
          <w:tcPr>
            <w:tcW w:w="1150"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0.13</w:t>
            </w:r>
          </w:p>
        </w:tc>
        <w:tc>
          <w:tcPr>
            <w:tcW w:w="939" w:type="dxa"/>
            <w:tcBorders>
              <w:left w:val="single" w:sz="8" w:space="0" w:color="auto"/>
            </w:tcBorders>
            <w:noWrap/>
            <w:vAlign w:val="bottom"/>
          </w:tcPr>
          <w:p w:rsidR="00854221" w:rsidRPr="00326929" w:rsidRDefault="00854221" w:rsidP="00854221">
            <w:pPr>
              <w:pStyle w:val="BodyText"/>
              <w:spacing w:before="0" w:after="0"/>
              <w:jc w:val="right"/>
            </w:pPr>
            <w:r w:rsidRPr="00326929">
              <w:t>3.36</w:t>
            </w:r>
          </w:p>
        </w:tc>
        <w:tc>
          <w:tcPr>
            <w:tcW w:w="1016" w:type="dxa"/>
            <w:tcBorders>
              <w:top w:val="nil"/>
              <w:left w:val="single" w:sz="8" w:space="0" w:color="auto"/>
              <w:bottom w:val="nil"/>
              <w:right w:val="single" w:sz="8" w:space="0" w:color="auto"/>
            </w:tcBorders>
            <w:noWrap/>
            <w:vAlign w:val="bottom"/>
          </w:tcPr>
          <w:p w:rsidR="00854221" w:rsidRPr="00326929" w:rsidRDefault="00854221" w:rsidP="00854221">
            <w:pPr>
              <w:pStyle w:val="BodyText"/>
              <w:spacing w:before="0" w:after="0"/>
              <w:jc w:val="right"/>
            </w:pPr>
            <w:r w:rsidRPr="00326929">
              <w:t>18.75</w:t>
            </w:r>
          </w:p>
        </w:tc>
      </w:tr>
      <w:tr w:rsidR="00854221" w:rsidRPr="00D80E11" w:rsidTr="00854221">
        <w:trPr>
          <w:trHeight w:val="270"/>
        </w:trPr>
        <w:tc>
          <w:tcPr>
            <w:tcW w:w="0" w:type="auto"/>
            <w:vMerge/>
            <w:tcBorders>
              <w:top w:val="single" w:sz="8" w:space="0" w:color="auto"/>
              <w:left w:val="single" w:sz="8" w:space="0" w:color="auto"/>
              <w:bottom w:val="single" w:sz="8" w:space="0" w:color="auto"/>
              <w:right w:val="single" w:sz="8" w:space="0" w:color="auto"/>
            </w:tcBorders>
            <w:vAlign w:val="center"/>
          </w:tcPr>
          <w:p w:rsidR="00854221" w:rsidRPr="00326929" w:rsidRDefault="00854221" w:rsidP="00854221">
            <w:pPr>
              <w:pStyle w:val="BodyText"/>
              <w:spacing w:before="0" w:after="0"/>
            </w:pPr>
          </w:p>
        </w:tc>
        <w:tc>
          <w:tcPr>
            <w:tcW w:w="2455" w:type="dxa"/>
            <w:gridSpan w:val="2"/>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rPr>
                <w:i/>
              </w:rPr>
            </w:pPr>
            <w:r w:rsidRPr="00CF0622">
              <w:rPr>
                <w:i/>
              </w:rPr>
              <w:t>% change from do nothing</w:t>
            </w:r>
          </w:p>
        </w:tc>
        <w:tc>
          <w:tcPr>
            <w:tcW w:w="1134"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-3.41</w:t>
            </w:r>
          </w:p>
        </w:tc>
        <w:tc>
          <w:tcPr>
            <w:tcW w:w="924"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-5.12</w:t>
            </w:r>
          </w:p>
        </w:tc>
        <w:tc>
          <w:tcPr>
            <w:tcW w:w="1128"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-4.13</w:t>
            </w:r>
          </w:p>
        </w:tc>
        <w:tc>
          <w:tcPr>
            <w:tcW w:w="938"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-41.12</w:t>
            </w:r>
          </w:p>
        </w:tc>
        <w:tc>
          <w:tcPr>
            <w:tcW w:w="1339"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-9.76</w:t>
            </w:r>
          </w:p>
        </w:tc>
        <w:tc>
          <w:tcPr>
            <w:tcW w:w="1150"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-67.27</w:t>
            </w:r>
          </w:p>
        </w:tc>
        <w:tc>
          <w:tcPr>
            <w:tcW w:w="939" w:type="dxa"/>
            <w:tcBorders>
              <w:top w:val="nil"/>
              <w:left w:val="single" w:sz="8" w:space="0" w:color="auto"/>
              <w:bottom w:val="single" w:sz="8" w:space="0" w:color="auto"/>
              <w:right w:val="nil"/>
            </w:tcBorders>
            <w:noWrap/>
            <w:vAlign w:val="bottom"/>
          </w:tcPr>
          <w:p w:rsidR="00854221" w:rsidRPr="00CF0622" w:rsidRDefault="00854221" w:rsidP="00854221">
            <w:pPr>
              <w:pStyle w:val="BodyText"/>
              <w:spacing w:before="0" w:after="0"/>
              <w:jc w:val="right"/>
              <w:rPr>
                <w:i/>
              </w:rPr>
            </w:pPr>
            <w:r w:rsidRPr="00CF0622">
              <w:rPr>
                <w:i/>
              </w:rPr>
              <w:t>-28.30</w:t>
            </w:r>
          </w:p>
        </w:tc>
        <w:tc>
          <w:tcPr>
            <w:tcW w:w="1016"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-18.62</w:t>
            </w:r>
          </w:p>
        </w:tc>
      </w:tr>
      <w:tr w:rsidR="00854221" w:rsidRPr="00D80E11" w:rsidTr="00854221">
        <w:trPr>
          <w:trHeight w:val="255"/>
        </w:trPr>
        <w:tc>
          <w:tcPr>
            <w:tcW w:w="2060" w:type="dxa"/>
            <w:vMerge w:val="restart"/>
            <w:tcBorders>
              <w:top w:val="single" w:sz="8" w:space="0" w:color="auto"/>
              <w:left w:val="single" w:sz="8" w:space="0" w:color="auto"/>
              <w:bottom w:val="single" w:sz="8" w:space="0" w:color="auto"/>
              <w:right w:val="single" w:sz="8" w:space="0" w:color="auto"/>
            </w:tcBorders>
            <w:noWrap/>
            <w:vAlign w:val="center"/>
          </w:tcPr>
          <w:p w:rsidR="00854221" w:rsidRPr="00326929" w:rsidRDefault="00854221" w:rsidP="00854221">
            <w:pPr>
              <w:pStyle w:val="BodyText"/>
              <w:spacing w:before="0" w:after="0"/>
            </w:pPr>
            <w:r w:rsidRPr="00326929">
              <w:t>Scenario 5</w:t>
            </w:r>
          </w:p>
          <w:p w:rsidR="00854221" w:rsidRPr="00326929" w:rsidRDefault="00854221" w:rsidP="00854221">
            <w:pPr>
              <w:pStyle w:val="BodyText"/>
              <w:spacing w:before="0" w:after="0"/>
            </w:pPr>
            <w:r w:rsidRPr="00326929">
              <w:t>Higher Short Distance Access Charges</w:t>
            </w:r>
          </w:p>
        </w:tc>
        <w:tc>
          <w:tcPr>
            <w:tcW w:w="978" w:type="dxa"/>
            <w:tcBorders>
              <w:top w:val="single" w:sz="8" w:space="0" w:color="auto"/>
              <w:left w:val="single" w:sz="8" w:space="0" w:color="auto"/>
            </w:tcBorders>
            <w:noWrap/>
            <w:vAlign w:val="bottom"/>
          </w:tcPr>
          <w:p w:rsidR="00854221" w:rsidRPr="00326929" w:rsidRDefault="00854221" w:rsidP="00854221">
            <w:pPr>
              <w:pStyle w:val="BodyText"/>
              <w:spacing w:before="0" w:after="0"/>
            </w:pPr>
            <w:r w:rsidRPr="00326929">
              <w:t>Road</w:t>
            </w:r>
          </w:p>
        </w:tc>
        <w:tc>
          <w:tcPr>
            <w:tcW w:w="1477" w:type="dxa"/>
            <w:tcBorders>
              <w:top w:val="single" w:sz="8" w:space="0" w:color="auto"/>
              <w:left w:val="nil"/>
              <w:bottom w:val="nil"/>
              <w:right w:val="single" w:sz="8" w:space="0" w:color="auto"/>
            </w:tcBorders>
            <w:noWrap/>
            <w:vAlign w:val="bottom"/>
          </w:tcPr>
          <w:p w:rsidR="00854221" w:rsidRPr="00326929" w:rsidRDefault="00854221" w:rsidP="00854221">
            <w:pPr>
              <w:pStyle w:val="BodyText"/>
              <w:spacing w:before="0" w:after="0"/>
            </w:pPr>
            <w:r w:rsidRPr="00326929">
              <w:t> </w:t>
            </w:r>
          </w:p>
        </w:tc>
        <w:tc>
          <w:tcPr>
            <w:tcW w:w="1134" w:type="dxa"/>
            <w:tcBorders>
              <w:top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63.34</w:t>
            </w:r>
          </w:p>
        </w:tc>
        <w:tc>
          <w:tcPr>
            <w:tcW w:w="924" w:type="dxa"/>
            <w:tcBorders>
              <w:top w:val="single" w:sz="8" w:space="0" w:color="auto"/>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2.32</w:t>
            </w:r>
          </w:p>
        </w:tc>
        <w:tc>
          <w:tcPr>
            <w:tcW w:w="1128" w:type="dxa"/>
            <w:tcBorders>
              <w:top w:val="single" w:sz="8" w:space="0" w:color="auto"/>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8.30</w:t>
            </w:r>
          </w:p>
        </w:tc>
        <w:tc>
          <w:tcPr>
            <w:tcW w:w="938" w:type="dxa"/>
            <w:tcBorders>
              <w:top w:val="single" w:sz="8" w:space="0" w:color="auto"/>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8.94</w:t>
            </w:r>
          </w:p>
        </w:tc>
        <w:tc>
          <w:tcPr>
            <w:tcW w:w="1339" w:type="dxa"/>
            <w:tcBorders>
              <w:top w:val="single" w:sz="8" w:space="0" w:color="auto"/>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35.97</w:t>
            </w:r>
          </w:p>
        </w:tc>
        <w:tc>
          <w:tcPr>
            <w:tcW w:w="1150" w:type="dxa"/>
            <w:tcBorders>
              <w:top w:val="single" w:sz="8" w:space="0" w:color="auto"/>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8.89</w:t>
            </w:r>
          </w:p>
        </w:tc>
        <w:tc>
          <w:tcPr>
            <w:tcW w:w="939" w:type="dxa"/>
            <w:tcBorders>
              <w:top w:val="single" w:sz="8" w:space="0" w:color="auto"/>
              <w:left w:val="single" w:sz="8" w:space="0" w:color="auto"/>
            </w:tcBorders>
            <w:noWrap/>
            <w:vAlign w:val="bottom"/>
          </w:tcPr>
          <w:p w:rsidR="00854221" w:rsidRPr="00326929" w:rsidRDefault="00854221" w:rsidP="00854221">
            <w:pPr>
              <w:pStyle w:val="BodyText"/>
              <w:spacing w:before="0" w:after="0"/>
              <w:jc w:val="right"/>
            </w:pPr>
            <w:r w:rsidRPr="00326929">
              <w:t>73.26</w:t>
            </w:r>
          </w:p>
        </w:tc>
        <w:tc>
          <w:tcPr>
            <w:tcW w:w="1016" w:type="dxa"/>
            <w:tcBorders>
              <w:top w:val="single" w:sz="8" w:space="0" w:color="auto"/>
              <w:left w:val="single" w:sz="8" w:space="0" w:color="auto"/>
              <w:bottom w:val="nil"/>
              <w:right w:val="single" w:sz="8" w:space="0" w:color="auto"/>
            </w:tcBorders>
            <w:noWrap/>
            <w:vAlign w:val="bottom"/>
          </w:tcPr>
          <w:p w:rsidR="00854221" w:rsidRPr="00326929" w:rsidRDefault="00854221" w:rsidP="00854221">
            <w:pPr>
              <w:pStyle w:val="BodyText"/>
              <w:spacing w:before="0" w:after="0"/>
              <w:jc w:val="right"/>
            </w:pPr>
            <w:r w:rsidRPr="00326929">
              <w:t>201.03</w:t>
            </w:r>
          </w:p>
        </w:tc>
      </w:tr>
      <w:tr w:rsidR="00854221" w:rsidRPr="00D80E11" w:rsidTr="00854221">
        <w:trPr>
          <w:trHeight w:val="255"/>
        </w:trPr>
        <w:tc>
          <w:tcPr>
            <w:tcW w:w="0" w:type="auto"/>
            <w:vMerge/>
            <w:tcBorders>
              <w:top w:val="single" w:sz="8" w:space="0" w:color="auto"/>
              <w:left w:val="single" w:sz="8" w:space="0" w:color="auto"/>
              <w:bottom w:val="single" w:sz="8" w:space="0" w:color="auto"/>
              <w:right w:val="single" w:sz="8" w:space="0" w:color="auto"/>
            </w:tcBorders>
            <w:vAlign w:val="center"/>
          </w:tcPr>
          <w:p w:rsidR="00854221" w:rsidRPr="00326929" w:rsidRDefault="00854221" w:rsidP="00854221">
            <w:pPr>
              <w:pStyle w:val="BodyText"/>
              <w:spacing w:before="0" w:after="0"/>
            </w:pPr>
          </w:p>
        </w:tc>
        <w:tc>
          <w:tcPr>
            <w:tcW w:w="2455" w:type="dxa"/>
            <w:gridSpan w:val="2"/>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rPr>
                <w:i/>
              </w:rPr>
            </w:pPr>
            <w:r w:rsidRPr="00CF0622">
              <w:rPr>
                <w:i/>
              </w:rPr>
              <w:t>% change from do nothing</w:t>
            </w:r>
          </w:p>
        </w:tc>
        <w:tc>
          <w:tcPr>
            <w:tcW w:w="1134"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0.02</w:t>
            </w:r>
          </w:p>
        </w:tc>
        <w:tc>
          <w:tcPr>
            <w:tcW w:w="924"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0.40</w:t>
            </w:r>
          </w:p>
        </w:tc>
        <w:tc>
          <w:tcPr>
            <w:tcW w:w="1128"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0.11</w:t>
            </w:r>
          </w:p>
        </w:tc>
        <w:tc>
          <w:tcPr>
            <w:tcW w:w="938"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4.84</w:t>
            </w:r>
          </w:p>
        </w:tc>
        <w:tc>
          <w:tcPr>
            <w:tcW w:w="1339"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0.19</w:t>
            </w:r>
          </w:p>
        </w:tc>
        <w:tc>
          <w:tcPr>
            <w:tcW w:w="1150"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0.58</w:t>
            </w:r>
          </w:p>
        </w:tc>
        <w:tc>
          <w:tcPr>
            <w:tcW w:w="939" w:type="dxa"/>
            <w:tcBorders>
              <w:top w:val="nil"/>
              <w:left w:val="single" w:sz="8" w:space="0" w:color="auto"/>
              <w:bottom w:val="single" w:sz="4" w:space="0" w:color="auto"/>
              <w:right w:val="nil"/>
            </w:tcBorders>
            <w:noWrap/>
            <w:vAlign w:val="bottom"/>
          </w:tcPr>
          <w:p w:rsidR="00854221" w:rsidRPr="00CF0622" w:rsidRDefault="00854221" w:rsidP="00854221">
            <w:pPr>
              <w:pStyle w:val="BodyText"/>
              <w:spacing w:before="0" w:after="0"/>
              <w:jc w:val="right"/>
              <w:rPr>
                <w:i/>
              </w:rPr>
            </w:pPr>
            <w:r w:rsidRPr="00CF0622">
              <w:rPr>
                <w:i/>
              </w:rPr>
              <w:t>0.23</w:t>
            </w:r>
          </w:p>
        </w:tc>
        <w:tc>
          <w:tcPr>
            <w:tcW w:w="1016"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0.36</w:t>
            </w:r>
          </w:p>
        </w:tc>
      </w:tr>
      <w:tr w:rsidR="00854221" w:rsidRPr="00D80E11" w:rsidTr="00854221">
        <w:trPr>
          <w:trHeight w:val="255"/>
        </w:trPr>
        <w:tc>
          <w:tcPr>
            <w:tcW w:w="0" w:type="auto"/>
            <w:vMerge/>
            <w:tcBorders>
              <w:top w:val="single" w:sz="8" w:space="0" w:color="auto"/>
              <w:left w:val="single" w:sz="8" w:space="0" w:color="auto"/>
              <w:bottom w:val="single" w:sz="8" w:space="0" w:color="auto"/>
              <w:right w:val="single" w:sz="8" w:space="0" w:color="auto"/>
            </w:tcBorders>
            <w:vAlign w:val="center"/>
          </w:tcPr>
          <w:p w:rsidR="00854221" w:rsidRPr="00326929" w:rsidRDefault="00854221" w:rsidP="00854221">
            <w:pPr>
              <w:pStyle w:val="BodyText"/>
              <w:spacing w:before="0" w:after="0"/>
            </w:pPr>
          </w:p>
        </w:tc>
        <w:tc>
          <w:tcPr>
            <w:tcW w:w="978" w:type="dxa"/>
            <w:tcBorders>
              <w:left w:val="single" w:sz="8" w:space="0" w:color="auto"/>
            </w:tcBorders>
            <w:noWrap/>
            <w:vAlign w:val="bottom"/>
          </w:tcPr>
          <w:p w:rsidR="00854221" w:rsidRPr="00326929" w:rsidRDefault="00854221" w:rsidP="00854221">
            <w:pPr>
              <w:pStyle w:val="BodyText"/>
              <w:spacing w:before="0" w:after="0"/>
            </w:pPr>
            <w:r w:rsidRPr="00326929">
              <w:t>Rail</w:t>
            </w:r>
          </w:p>
        </w:tc>
        <w:tc>
          <w:tcPr>
            <w:tcW w:w="1477" w:type="dxa"/>
            <w:tcBorders>
              <w:top w:val="nil"/>
              <w:left w:val="nil"/>
              <w:right w:val="single" w:sz="8" w:space="0" w:color="auto"/>
            </w:tcBorders>
            <w:noWrap/>
            <w:vAlign w:val="bottom"/>
          </w:tcPr>
          <w:p w:rsidR="00854221" w:rsidRPr="00326929" w:rsidRDefault="00854221" w:rsidP="00854221">
            <w:pPr>
              <w:pStyle w:val="BodyText"/>
              <w:spacing w:before="0" w:after="0"/>
            </w:pPr>
            <w:r w:rsidRPr="00326929">
              <w:t> </w:t>
            </w:r>
          </w:p>
        </w:tc>
        <w:tc>
          <w:tcPr>
            <w:tcW w:w="1134" w:type="dxa"/>
            <w:tcBorders>
              <w:right w:val="single" w:sz="8" w:space="0" w:color="auto"/>
            </w:tcBorders>
            <w:noWrap/>
            <w:vAlign w:val="bottom"/>
          </w:tcPr>
          <w:p w:rsidR="00854221" w:rsidRPr="00326929" w:rsidRDefault="00854221" w:rsidP="00854221">
            <w:pPr>
              <w:pStyle w:val="BodyText"/>
              <w:spacing w:before="0" w:after="0"/>
              <w:jc w:val="right"/>
            </w:pPr>
            <w:r w:rsidRPr="00326929">
              <w:t>2.16</w:t>
            </w:r>
          </w:p>
        </w:tc>
        <w:tc>
          <w:tcPr>
            <w:tcW w:w="924"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5.09</w:t>
            </w:r>
          </w:p>
        </w:tc>
        <w:tc>
          <w:tcPr>
            <w:tcW w:w="112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2.11</w:t>
            </w:r>
          </w:p>
        </w:tc>
        <w:tc>
          <w:tcPr>
            <w:tcW w:w="93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4.14</w:t>
            </w:r>
          </w:p>
        </w:tc>
        <w:tc>
          <w:tcPr>
            <w:tcW w:w="1339"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3.85</w:t>
            </w:r>
          </w:p>
        </w:tc>
        <w:tc>
          <w:tcPr>
            <w:tcW w:w="1150"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0.35</w:t>
            </w:r>
          </w:p>
        </w:tc>
        <w:tc>
          <w:tcPr>
            <w:tcW w:w="939" w:type="dxa"/>
            <w:tcBorders>
              <w:left w:val="single" w:sz="8" w:space="0" w:color="auto"/>
            </w:tcBorders>
            <w:noWrap/>
            <w:vAlign w:val="bottom"/>
          </w:tcPr>
          <w:p w:rsidR="00854221" w:rsidRPr="00326929" w:rsidRDefault="00854221" w:rsidP="00854221">
            <w:pPr>
              <w:pStyle w:val="BodyText"/>
              <w:spacing w:before="0" w:after="0"/>
              <w:jc w:val="right"/>
            </w:pPr>
            <w:r w:rsidRPr="00326929">
              <w:t>4.51</w:t>
            </w:r>
          </w:p>
        </w:tc>
        <w:tc>
          <w:tcPr>
            <w:tcW w:w="1016" w:type="dxa"/>
            <w:tcBorders>
              <w:top w:val="nil"/>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22.22</w:t>
            </w:r>
          </w:p>
        </w:tc>
      </w:tr>
      <w:tr w:rsidR="00854221" w:rsidRPr="00D80E11" w:rsidTr="00854221">
        <w:trPr>
          <w:trHeight w:val="270"/>
        </w:trPr>
        <w:tc>
          <w:tcPr>
            <w:tcW w:w="0" w:type="auto"/>
            <w:vMerge/>
            <w:tcBorders>
              <w:top w:val="single" w:sz="8" w:space="0" w:color="auto"/>
              <w:left w:val="single" w:sz="8" w:space="0" w:color="auto"/>
              <w:bottom w:val="single" w:sz="8" w:space="0" w:color="auto"/>
              <w:right w:val="single" w:sz="8" w:space="0" w:color="auto"/>
            </w:tcBorders>
            <w:vAlign w:val="center"/>
          </w:tcPr>
          <w:p w:rsidR="00854221" w:rsidRPr="00326929" w:rsidRDefault="00854221" w:rsidP="00854221">
            <w:pPr>
              <w:pStyle w:val="BodyText"/>
              <w:spacing w:before="0" w:after="0"/>
            </w:pPr>
          </w:p>
        </w:tc>
        <w:tc>
          <w:tcPr>
            <w:tcW w:w="2455" w:type="dxa"/>
            <w:gridSpan w:val="2"/>
            <w:tcBorders>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rPr>
                <w:i/>
              </w:rPr>
            </w:pPr>
            <w:r w:rsidRPr="00CF0622">
              <w:rPr>
                <w:i/>
              </w:rPr>
              <w:t>% change from do nothing</w:t>
            </w:r>
          </w:p>
        </w:tc>
        <w:tc>
          <w:tcPr>
            <w:tcW w:w="1134" w:type="dxa"/>
            <w:tcBorders>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-0.50</w:t>
            </w:r>
          </w:p>
        </w:tc>
        <w:tc>
          <w:tcPr>
            <w:tcW w:w="924" w:type="dxa"/>
            <w:tcBorders>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-0.72</w:t>
            </w:r>
          </w:p>
        </w:tc>
        <w:tc>
          <w:tcPr>
            <w:tcW w:w="1128" w:type="dxa"/>
            <w:tcBorders>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-0.89</w:t>
            </w:r>
          </w:p>
        </w:tc>
        <w:tc>
          <w:tcPr>
            <w:tcW w:w="938" w:type="dxa"/>
            <w:tcBorders>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-9.41</w:t>
            </w:r>
          </w:p>
        </w:tc>
        <w:tc>
          <w:tcPr>
            <w:tcW w:w="1339" w:type="dxa"/>
            <w:tcBorders>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-2.17</w:t>
            </w:r>
          </w:p>
        </w:tc>
        <w:tc>
          <w:tcPr>
            <w:tcW w:w="1150" w:type="dxa"/>
            <w:tcBorders>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-12.85</w:t>
            </w:r>
          </w:p>
        </w:tc>
        <w:tc>
          <w:tcPr>
            <w:tcW w:w="939" w:type="dxa"/>
            <w:tcBorders>
              <w:left w:val="single" w:sz="8" w:space="0" w:color="auto"/>
              <w:bottom w:val="single" w:sz="8" w:space="0" w:color="auto"/>
              <w:right w:val="nil"/>
            </w:tcBorders>
            <w:noWrap/>
            <w:vAlign w:val="bottom"/>
          </w:tcPr>
          <w:p w:rsidR="00854221" w:rsidRPr="00CF0622" w:rsidRDefault="00854221" w:rsidP="00854221">
            <w:pPr>
              <w:pStyle w:val="BodyText"/>
              <w:spacing w:before="0" w:after="0"/>
              <w:jc w:val="right"/>
              <w:rPr>
                <w:i/>
              </w:rPr>
            </w:pPr>
            <w:r w:rsidRPr="00CF0622">
              <w:rPr>
                <w:i/>
              </w:rPr>
              <w:t>-3.88</w:t>
            </w:r>
          </w:p>
        </w:tc>
        <w:tc>
          <w:tcPr>
            <w:tcW w:w="1016" w:type="dxa"/>
            <w:tcBorders>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-3.54</w:t>
            </w:r>
          </w:p>
        </w:tc>
      </w:tr>
      <w:tr w:rsidR="00854221" w:rsidRPr="00D80E11" w:rsidTr="00854221">
        <w:trPr>
          <w:trHeight w:val="255"/>
        </w:trPr>
        <w:tc>
          <w:tcPr>
            <w:tcW w:w="2060" w:type="dxa"/>
            <w:vMerge w:val="restart"/>
            <w:tcBorders>
              <w:top w:val="nil"/>
              <w:left w:val="single" w:sz="8" w:space="0" w:color="auto"/>
              <w:bottom w:val="single" w:sz="8" w:space="0" w:color="auto"/>
              <w:right w:val="single" w:sz="8" w:space="0" w:color="auto"/>
            </w:tcBorders>
            <w:noWrap/>
            <w:vAlign w:val="center"/>
          </w:tcPr>
          <w:p w:rsidR="00854221" w:rsidRPr="00326929" w:rsidRDefault="00854221" w:rsidP="00854221">
            <w:pPr>
              <w:pStyle w:val="BodyText"/>
              <w:spacing w:before="0" w:after="0"/>
            </w:pPr>
            <w:r w:rsidRPr="00326929">
              <w:t>Scenario 6</w:t>
            </w:r>
          </w:p>
          <w:p w:rsidR="00854221" w:rsidRPr="00326929" w:rsidRDefault="00854221" w:rsidP="00854221">
            <w:pPr>
              <w:pStyle w:val="BodyText"/>
              <w:spacing w:before="0" w:after="0"/>
            </w:pPr>
            <w:r w:rsidRPr="00326929">
              <w:t>Higher Short/ Lower Long Distance Charges </w:t>
            </w:r>
          </w:p>
        </w:tc>
        <w:tc>
          <w:tcPr>
            <w:tcW w:w="978" w:type="dxa"/>
            <w:tcBorders>
              <w:top w:val="single" w:sz="8" w:space="0" w:color="auto"/>
              <w:left w:val="single" w:sz="8" w:space="0" w:color="auto"/>
            </w:tcBorders>
            <w:noWrap/>
            <w:vAlign w:val="bottom"/>
          </w:tcPr>
          <w:p w:rsidR="00854221" w:rsidRPr="00326929" w:rsidRDefault="00854221" w:rsidP="00854221">
            <w:pPr>
              <w:pStyle w:val="BodyText"/>
              <w:spacing w:before="0" w:after="0"/>
            </w:pPr>
            <w:r w:rsidRPr="00326929">
              <w:t>Road</w:t>
            </w:r>
          </w:p>
        </w:tc>
        <w:tc>
          <w:tcPr>
            <w:tcW w:w="1477" w:type="dxa"/>
            <w:tcBorders>
              <w:top w:val="single" w:sz="8" w:space="0" w:color="auto"/>
              <w:left w:val="nil"/>
              <w:bottom w:val="nil"/>
              <w:right w:val="single" w:sz="8" w:space="0" w:color="auto"/>
            </w:tcBorders>
            <w:noWrap/>
            <w:vAlign w:val="bottom"/>
          </w:tcPr>
          <w:p w:rsidR="00854221" w:rsidRPr="00326929" w:rsidRDefault="00854221" w:rsidP="00854221">
            <w:pPr>
              <w:pStyle w:val="BodyText"/>
              <w:spacing w:before="0" w:after="0"/>
            </w:pPr>
            <w:r w:rsidRPr="00326929">
              <w:t> </w:t>
            </w:r>
          </w:p>
        </w:tc>
        <w:tc>
          <w:tcPr>
            <w:tcW w:w="1134" w:type="dxa"/>
            <w:tcBorders>
              <w:right w:val="single" w:sz="8" w:space="0" w:color="auto"/>
            </w:tcBorders>
            <w:noWrap/>
            <w:vAlign w:val="bottom"/>
          </w:tcPr>
          <w:p w:rsidR="00854221" w:rsidRPr="00326929" w:rsidRDefault="00854221" w:rsidP="00854221">
            <w:pPr>
              <w:pStyle w:val="BodyText"/>
              <w:spacing w:before="0" w:after="0"/>
              <w:jc w:val="right"/>
            </w:pPr>
            <w:r w:rsidRPr="00326929">
              <w:t>63.33</w:t>
            </w:r>
          </w:p>
        </w:tc>
        <w:tc>
          <w:tcPr>
            <w:tcW w:w="924"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2.32</w:t>
            </w:r>
          </w:p>
        </w:tc>
        <w:tc>
          <w:tcPr>
            <w:tcW w:w="112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8.29</w:t>
            </w:r>
          </w:p>
        </w:tc>
        <w:tc>
          <w:tcPr>
            <w:tcW w:w="93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8.70</w:t>
            </w:r>
          </w:p>
        </w:tc>
        <w:tc>
          <w:tcPr>
            <w:tcW w:w="1339"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35.94</w:t>
            </w:r>
          </w:p>
        </w:tc>
        <w:tc>
          <w:tcPr>
            <w:tcW w:w="1150"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8.86</w:t>
            </w:r>
          </w:p>
        </w:tc>
        <w:tc>
          <w:tcPr>
            <w:tcW w:w="939" w:type="dxa"/>
            <w:tcBorders>
              <w:left w:val="single" w:sz="8" w:space="0" w:color="auto"/>
            </w:tcBorders>
            <w:noWrap/>
            <w:vAlign w:val="bottom"/>
          </w:tcPr>
          <w:p w:rsidR="00854221" w:rsidRPr="00326929" w:rsidRDefault="00854221" w:rsidP="00854221">
            <w:pPr>
              <w:pStyle w:val="BodyText"/>
              <w:spacing w:before="0" w:after="0"/>
              <w:jc w:val="right"/>
            </w:pPr>
            <w:r w:rsidRPr="00326929">
              <w:t>73.09</w:t>
            </w:r>
          </w:p>
        </w:tc>
        <w:tc>
          <w:tcPr>
            <w:tcW w:w="1016" w:type="dxa"/>
            <w:tcBorders>
              <w:top w:val="nil"/>
              <w:left w:val="single" w:sz="8" w:space="0" w:color="auto"/>
              <w:bottom w:val="nil"/>
              <w:right w:val="single" w:sz="8" w:space="0" w:color="auto"/>
            </w:tcBorders>
            <w:noWrap/>
            <w:vAlign w:val="bottom"/>
          </w:tcPr>
          <w:p w:rsidR="00854221" w:rsidRPr="00326929" w:rsidRDefault="00854221" w:rsidP="00854221">
            <w:pPr>
              <w:pStyle w:val="BodyText"/>
              <w:spacing w:before="0" w:after="0"/>
              <w:jc w:val="right"/>
            </w:pPr>
            <w:r w:rsidRPr="00326929">
              <w:t>200.54</w:t>
            </w:r>
          </w:p>
        </w:tc>
      </w:tr>
      <w:tr w:rsidR="00854221" w:rsidRPr="00D80E11" w:rsidTr="00854221">
        <w:trPr>
          <w:trHeight w:val="255"/>
        </w:trPr>
        <w:tc>
          <w:tcPr>
            <w:tcW w:w="0" w:type="auto"/>
            <w:vMerge/>
            <w:tcBorders>
              <w:top w:val="nil"/>
              <w:left w:val="single" w:sz="8" w:space="0" w:color="auto"/>
              <w:bottom w:val="single" w:sz="8" w:space="0" w:color="auto"/>
              <w:right w:val="single" w:sz="8" w:space="0" w:color="auto"/>
            </w:tcBorders>
            <w:vAlign w:val="center"/>
          </w:tcPr>
          <w:p w:rsidR="00854221" w:rsidRPr="00326929" w:rsidRDefault="00854221" w:rsidP="00854221">
            <w:pPr>
              <w:pStyle w:val="BodyText"/>
              <w:spacing w:before="0" w:after="0"/>
            </w:pPr>
          </w:p>
        </w:tc>
        <w:tc>
          <w:tcPr>
            <w:tcW w:w="2455" w:type="dxa"/>
            <w:gridSpan w:val="2"/>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rPr>
                <w:i/>
              </w:rPr>
            </w:pPr>
            <w:r w:rsidRPr="00CF0622">
              <w:rPr>
                <w:i/>
              </w:rPr>
              <w:t>% change from do nothing</w:t>
            </w:r>
          </w:p>
        </w:tc>
        <w:tc>
          <w:tcPr>
            <w:tcW w:w="1134"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0.00</w:t>
            </w:r>
          </w:p>
        </w:tc>
        <w:tc>
          <w:tcPr>
            <w:tcW w:w="924"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0.29</w:t>
            </w:r>
          </w:p>
        </w:tc>
        <w:tc>
          <w:tcPr>
            <w:tcW w:w="1128"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0.07</w:t>
            </w:r>
          </w:p>
        </w:tc>
        <w:tc>
          <w:tcPr>
            <w:tcW w:w="938"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2.01</w:t>
            </w:r>
          </w:p>
        </w:tc>
        <w:tc>
          <w:tcPr>
            <w:tcW w:w="1339"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0.09</w:t>
            </w:r>
          </w:p>
        </w:tc>
        <w:tc>
          <w:tcPr>
            <w:tcW w:w="1150"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0.23</w:t>
            </w:r>
          </w:p>
        </w:tc>
        <w:tc>
          <w:tcPr>
            <w:tcW w:w="939" w:type="dxa"/>
            <w:tcBorders>
              <w:top w:val="nil"/>
              <w:left w:val="single" w:sz="8" w:space="0" w:color="auto"/>
              <w:bottom w:val="single" w:sz="4" w:space="0" w:color="auto"/>
              <w:right w:val="nil"/>
            </w:tcBorders>
            <w:noWrap/>
            <w:vAlign w:val="bottom"/>
          </w:tcPr>
          <w:p w:rsidR="00854221" w:rsidRPr="00CF0622" w:rsidRDefault="00854221" w:rsidP="00854221">
            <w:pPr>
              <w:pStyle w:val="BodyText"/>
              <w:spacing w:before="0" w:after="0"/>
              <w:jc w:val="right"/>
              <w:rPr>
                <w:i/>
              </w:rPr>
            </w:pPr>
            <w:r w:rsidRPr="00CF0622">
              <w:rPr>
                <w:i/>
              </w:rPr>
              <w:t>0.00</w:t>
            </w:r>
          </w:p>
        </w:tc>
        <w:tc>
          <w:tcPr>
            <w:tcW w:w="1016" w:type="dxa"/>
            <w:tcBorders>
              <w:top w:val="nil"/>
              <w:left w:val="single" w:sz="8" w:space="0" w:color="auto"/>
              <w:bottom w:val="single" w:sz="4"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0.12</w:t>
            </w:r>
          </w:p>
        </w:tc>
      </w:tr>
      <w:tr w:rsidR="00854221" w:rsidRPr="00D80E11" w:rsidTr="00854221">
        <w:trPr>
          <w:trHeight w:val="255"/>
        </w:trPr>
        <w:tc>
          <w:tcPr>
            <w:tcW w:w="0" w:type="auto"/>
            <w:vMerge/>
            <w:tcBorders>
              <w:top w:val="nil"/>
              <w:left w:val="single" w:sz="8" w:space="0" w:color="auto"/>
              <w:bottom w:val="single" w:sz="8" w:space="0" w:color="auto"/>
              <w:right w:val="single" w:sz="8" w:space="0" w:color="auto"/>
            </w:tcBorders>
            <w:vAlign w:val="center"/>
          </w:tcPr>
          <w:p w:rsidR="00854221" w:rsidRPr="00326929" w:rsidRDefault="00854221" w:rsidP="00854221">
            <w:pPr>
              <w:pStyle w:val="BodyText"/>
              <w:spacing w:before="0" w:after="0"/>
            </w:pPr>
          </w:p>
        </w:tc>
        <w:tc>
          <w:tcPr>
            <w:tcW w:w="978" w:type="dxa"/>
            <w:tcBorders>
              <w:top w:val="single" w:sz="8" w:space="0" w:color="auto"/>
              <w:left w:val="single" w:sz="8" w:space="0" w:color="auto"/>
            </w:tcBorders>
            <w:noWrap/>
            <w:vAlign w:val="bottom"/>
          </w:tcPr>
          <w:p w:rsidR="00854221" w:rsidRPr="00326929" w:rsidRDefault="00854221" w:rsidP="00854221">
            <w:pPr>
              <w:pStyle w:val="BodyText"/>
              <w:spacing w:before="0" w:after="0"/>
            </w:pPr>
            <w:r w:rsidRPr="00326929">
              <w:t>Rail</w:t>
            </w:r>
          </w:p>
        </w:tc>
        <w:tc>
          <w:tcPr>
            <w:tcW w:w="1477" w:type="dxa"/>
            <w:tcBorders>
              <w:top w:val="single" w:sz="8" w:space="0" w:color="auto"/>
              <w:left w:val="nil"/>
              <w:right w:val="single" w:sz="8" w:space="0" w:color="auto"/>
            </w:tcBorders>
            <w:noWrap/>
            <w:vAlign w:val="bottom"/>
          </w:tcPr>
          <w:p w:rsidR="00854221" w:rsidRPr="00326929" w:rsidRDefault="00854221" w:rsidP="00854221">
            <w:pPr>
              <w:pStyle w:val="BodyText"/>
              <w:spacing w:before="0" w:after="0"/>
            </w:pPr>
            <w:r w:rsidRPr="00326929">
              <w:t> </w:t>
            </w:r>
          </w:p>
        </w:tc>
        <w:tc>
          <w:tcPr>
            <w:tcW w:w="1134" w:type="dxa"/>
            <w:tcBorders>
              <w:right w:val="single" w:sz="8" w:space="0" w:color="auto"/>
            </w:tcBorders>
            <w:noWrap/>
            <w:vAlign w:val="bottom"/>
          </w:tcPr>
          <w:p w:rsidR="00854221" w:rsidRPr="00326929" w:rsidRDefault="00854221" w:rsidP="00854221">
            <w:pPr>
              <w:pStyle w:val="BodyText"/>
              <w:spacing w:before="0" w:after="0"/>
              <w:jc w:val="right"/>
            </w:pPr>
            <w:r w:rsidRPr="00326929">
              <w:t>2.17</w:t>
            </w:r>
          </w:p>
        </w:tc>
        <w:tc>
          <w:tcPr>
            <w:tcW w:w="924"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5.12</w:t>
            </w:r>
          </w:p>
        </w:tc>
        <w:tc>
          <w:tcPr>
            <w:tcW w:w="112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2.12</w:t>
            </w:r>
          </w:p>
        </w:tc>
        <w:tc>
          <w:tcPr>
            <w:tcW w:w="938"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4.39</w:t>
            </w:r>
          </w:p>
        </w:tc>
        <w:tc>
          <w:tcPr>
            <w:tcW w:w="1339"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3.90</w:t>
            </w:r>
          </w:p>
        </w:tc>
        <w:tc>
          <w:tcPr>
            <w:tcW w:w="1150" w:type="dxa"/>
            <w:tcBorders>
              <w:left w:val="single" w:sz="8" w:space="0" w:color="auto"/>
              <w:right w:val="single" w:sz="8" w:space="0" w:color="auto"/>
            </w:tcBorders>
            <w:noWrap/>
            <w:vAlign w:val="bottom"/>
          </w:tcPr>
          <w:p w:rsidR="00854221" w:rsidRPr="00326929" w:rsidRDefault="00854221" w:rsidP="00854221">
            <w:pPr>
              <w:pStyle w:val="BodyText"/>
              <w:spacing w:before="0" w:after="0"/>
              <w:jc w:val="right"/>
            </w:pPr>
            <w:r w:rsidRPr="00326929">
              <w:t>0.38</w:t>
            </w:r>
          </w:p>
        </w:tc>
        <w:tc>
          <w:tcPr>
            <w:tcW w:w="939" w:type="dxa"/>
            <w:tcBorders>
              <w:left w:val="single" w:sz="8" w:space="0" w:color="auto"/>
            </w:tcBorders>
            <w:noWrap/>
            <w:vAlign w:val="bottom"/>
          </w:tcPr>
          <w:p w:rsidR="00854221" w:rsidRPr="00326929" w:rsidRDefault="00854221" w:rsidP="00854221">
            <w:pPr>
              <w:pStyle w:val="BodyText"/>
              <w:spacing w:before="0" w:after="0"/>
              <w:jc w:val="right"/>
            </w:pPr>
            <w:r w:rsidRPr="00326929">
              <w:t>4.69</w:t>
            </w:r>
          </w:p>
        </w:tc>
        <w:tc>
          <w:tcPr>
            <w:tcW w:w="1016" w:type="dxa"/>
            <w:tcBorders>
              <w:top w:val="nil"/>
              <w:left w:val="single" w:sz="8" w:space="0" w:color="auto"/>
              <w:bottom w:val="nil"/>
              <w:right w:val="single" w:sz="8" w:space="0" w:color="auto"/>
            </w:tcBorders>
            <w:noWrap/>
            <w:vAlign w:val="bottom"/>
          </w:tcPr>
          <w:p w:rsidR="00854221" w:rsidRPr="00326929" w:rsidRDefault="00854221" w:rsidP="00854221">
            <w:pPr>
              <w:pStyle w:val="BodyText"/>
              <w:spacing w:before="0" w:after="0"/>
              <w:jc w:val="right"/>
            </w:pPr>
            <w:r w:rsidRPr="00326929">
              <w:t>22.77</w:t>
            </w:r>
          </w:p>
        </w:tc>
      </w:tr>
      <w:tr w:rsidR="00854221" w:rsidRPr="00D80E11" w:rsidTr="00854221">
        <w:trPr>
          <w:trHeight w:val="270"/>
        </w:trPr>
        <w:tc>
          <w:tcPr>
            <w:tcW w:w="0" w:type="auto"/>
            <w:vMerge/>
            <w:tcBorders>
              <w:top w:val="nil"/>
              <w:left w:val="single" w:sz="8" w:space="0" w:color="auto"/>
              <w:bottom w:val="single" w:sz="8" w:space="0" w:color="auto"/>
              <w:right w:val="single" w:sz="8" w:space="0" w:color="auto"/>
            </w:tcBorders>
            <w:vAlign w:val="center"/>
          </w:tcPr>
          <w:p w:rsidR="00854221" w:rsidRPr="00326929" w:rsidRDefault="00854221" w:rsidP="00854221">
            <w:pPr>
              <w:pStyle w:val="BodyText"/>
              <w:spacing w:before="0" w:after="0"/>
            </w:pPr>
          </w:p>
        </w:tc>
        <w:tc>
          <w:tcPr>
            <w:tcW w:w="2455" w:type="dxa"/>
            <w:gridSpan w:val="2"/>
            <w:tcBorders>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rPr>
                <w:i/>
              </w:rPr>
            </w:pPr>
            <w:r w:rsidRPr="00CF0622">
              <w:rPr>
                <w:i/>
              </w:rPr>
              <w:t>% change from do nothing</w:t>
            </w:r>
          </w:p>
        </w:tc>
        <w:tc>
          <w:tcPr>
            <w:tcW w:w="1134"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0.06</w:t>
            </w:r>
          </w:p>
        </w:tc>
        <w:tc>
          <w:tcPr>
            <w:tcW w:w="924"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-0.12</w:t>
            </w:r>
          </w:p>
        </w:tc>
        <w:tc>
          <w:tcPr>
            <w:tcW w:w="1128"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-0.50</w:t>
            </w:r>
          </w:p>
        </w:tc>
        <w:tc>
          <w:tcPr>
            <w:tcW w:w="938"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-4.02</w:t>
            </w:r>
          </w:p>
        </w:tc>
        <w:tc>
          <w:tcPr>
            <w:tcW w:w="1339"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-1.04</w:t>
            </w:r>
          </w:p>
        </w:tc>
        <w:tc>
          <w:tcPr>
            <w:tcW w:w="1150"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-5.15</w:t>
            </w:r>
          </w:p>
        </w:tc>
        <w:tc>
          <w:tcPr>
            <w:tcW w:w="939" w:type="dxa"/>
            <w:tcBorders>
              <w:top w:val="nil"/>
              <w:left w:val="single" w:sz="8" w:space="0" w:color="auto"/>
              <w:bottom w:val="single" w:sz="8" w:space="0" w:color="auto"/>
              <w:right w:val="nil"/>
            </w:tcBorders>
            <w:noWrap/>
            <w:vAlign w:val="bottom"/>
          </w:tcPr>
          <w:p w:rsidR="00854221" w:rsidRPr="00CF0622" w:rsidRDefault="00854221" w:rsidP="00854221">
            <w:pPr>
              <w:pStyle w:val="BodyText"/>
              <w:spacing w:before="0" w:after="0"/>
              <w:jc w:val="right"/>
              <w:rPr>
                <w:i/>
              </w:rPr>
            </w:pPr>
            <w:r w:rsidRPr="00CF0622">
              <w:rPr>
                <w:i/>
              </w:rPr>
              <w:t>-0.15</w:t>
            </w:r>
          </w:p>
        </w:tc>
        <w:tc>
          <w:tcPr>
            <w:tcW w:w="1016" w:type="dxa"/>
            <w:tcBorders>
              <w:top w:val="nil"/>
              <w:left w:val="single" w:sz="8" w:space="0" w:color="auto"/>
              <w:bottom w:val="single" w:sz="8" w:space="0" w:color="auto"/>
              <w:right w:val="single" w:sz="8" w:space="0" w:color="auto"/>
            </w:tcBorders>
            <w:noWrap/>
            <w:vAlign w:val="bottom"/>
          </w:tcPr>
          <w:p w:rsidR="00854221" w:rsidRPr="00CF0622" w:rsidRDefault="00854221" w:rsidP="00854221">
            <w:pPr>
              <w:pStyle w:val="BodyText"/>
              <w:spacing w:before="0" w:after="0"/>
              <w:jc w:val="right"/>
              <w:rPr>
                <w:i/>
              </w:rPr>
            </w:pPr>
            <w:r w:rsidRPr="00CF0622">
              <w:rPr>
                <w:i/>
              </w:rPr>
              <w:t>-1.16</w:t>
            </w:r>
          </w:p>
        </w:tc>
      </w:tr>
    </w:tbl>
    <w:p w:rsidR="00854221" w:rsidRPr="00D80E11" w:rsidRDefault="00854221" w:rsidP="00854221">
      <w:pPr>
        <w:rPr>
          <w:rFonts w:cs="Arial"/>
        </w:rPr>
        <w:sectPr w:rsidR="00854221" w:rsidRPr="00D80E11" w:rsidSect="00854221">
          <w:headerReference w:type="default" r:id="rId15"/>
          <w:footerReference w:type="default" r:id="rId16"/>
          <w:headerReference w:type="first" r:id="rId17"/>
          <w:footerReference w:type="first" r:id="rId18"/>
          <w:pgSz w:w="16840" w:h="11907" w:orient="landscape" w:code="9"/>
          <w:pgMar w:top="1134" w:right="1418" w:bottom="851" w:left="1418" w:header="567" w:footer="510" w:gutter="0"/>
          <w:cols w:space="720"/>
          <w:titlePg/>
          <w:docGrid w:linePitch="272"/>
        </w:sectPr>
      </w:pPr>
    </w:p>
    <w:p w:rsidR="00854221" w:rsidRPr="00D80E11" w:rsidRDefault="00854221" w:rsidP="00854221">
      <w:r w:rsidRPr="00D80E11">
        <w:lastRenderedPageBreak/>
        <w:t xml:space="preserve">Overall, changes in rail freight traffic are driven primarily by the shifts in Ores &amp; Metals traffic, (as this accounts for 19.8% of Rail’s overall </w:t>
      </w:r>
      <w:proofErr w:type="spellStart"/>
      <w:r w:rsidRPr="00D80E11">
        <w:t>tkm</w:t>
      </w:r>
      <w:proofErr w:type="spellEnd"/>
      <w:r w:rsidRPr="00D80E11">
        <w:t xml:space="preserve"> traffic), and also </w:t>
      </w:r>
      <w:proofErr w:type="gramStart"/>
      <w:r w:rsidRPr="00D80E11">
        <w:t>Others</w:t>
      </w:r>
      <w:proofErr w:type="gramEnd"/>
      <w:r w:rsidRPr="00D80E11">
        <w:t xml:space="preserve"> (accounting for 20.4%).  Although Coal &amp; Coke accounts for 22.3% of rail’s </w:t>
      </w:r>
      <w:proofErr w:type="spellStart"/>
      <w:r w:rsidRPr="00D80E11">
        <w:t>tkm</w:t>
      </w:r>
      <w:proofErr w:type="spellEnd"/>
      <w:r w:rsidRPr="00D80E11">
        <w:t xml:space="preserve"> traffic, there is little movement in </w:t>
      </w:r>
      <w:proofErr w:type="spellStart"/>
      <w:r w:rsidRPr="00D80E11">
        <w:t>tkm</w:t>
      </w:r>
      <w:proofErr w:type="spellEnd"/>
      <w:r w:rsidRPr="00D80E11">
        <w:t xml:space="preserve"> as its market share stays relatively static due to the level of captivity and the favourability of rail over longer distances. There are relatively significant changes in Construction, which accounts for 17.1% of rail’s </w:t>
      </w:r>
      <w:proofErr w:type="spellStart"/>
      <w:r w:rsidRPr="00D80E11">
        <w:t>tkm</w:t>
      </w:r>
      <w:proofErr w:type="spellEnd"/>
      <w:r w:rsidRPr="00D80E11">
        <w:t xml:space="preserve"> traffic. Whilst there are large shifts in the market shares of Chemicals, these represent very small absolute changes in </w:t>
      </w:r>
      <w:proofErr w:type="spellStart"/>
      <w:r w:rsidRPr="00D80E11">
        <w:t>tkm</w:t>
      </w:r>
      <w:proofErr w:type="spellEnd"/>
      <w:r w:rsidRPr="00D80E11">
        <w:t xml:space="preserve">. </w:t>
      </w:r>
    </w:p>
    <w:p w:rsidR="00854221" w:rsidRPr="00D80E11" w:rsidRDefault="00854221" w:rsidP="00854221">
      <w:r w:rsidRPr="00D80E11">
        <w:t xml:space="preserve"> </w:t>
      </w:r>
    </w:p>
    <w:p w:rsidR="00854221" w:rsidRPr="00D80E11" w:rsidRDefault="00854221" w:rsidP="00854221">
      <w:r w:rsidRPr="00D80E11">
        <w:t xml:space="preserve">In summary, by using LEFT, we </w:t>
      </w:r>
      <w:r w:rsidR="00DE21C8">
        <w:t xml:space="preserve">were </w:t>
      </w:r>
      <w:r w:rsidRPr="00D80E11">
        <w:t xml:space="preserve">able to explore the potential impacts of variations in infrastructure charging in isolation from any other changes that might impact on the rail freight market.  We found that by removing access charges, rail tonne </w:t>
      </w:r>
      <w:proofErr w:type="spellStart"/>
      <w:r w:rsidRPr="00D80E11">
        <w:t>kms</w:t>
      </w:r>
      <w:proofErr w:type="spellEnd"/>
      <w:r w:rsidRPr="00D80E11">
        <w:t xml:space="preserve"> increase by 9%, reducing road traffic by almost 2 billion </w:t>
      </w:r>
      <w:proofErr w:type="spellStart"/>
      <w:r w:rsidRPr="00D80E11">
        <w:t>tkm</w:t>
      </w:r>
      <w:proofErr w:type="spellEnd"/>
      <w:r w:rsidRPr="00D80E11">
        <w:t>, just 1%.  This highlights an underlying lack of competitiveness of rail in key freight markets such as Food Drink and Agriculture and Construction, because of high captivity to road transport, given the short distances involved and the lack of suitable rail infrastructure.  We examined the sensitivity of the rail market to levels of access charges and found that rail is slightly less sensitive to access charge increases than it is to equivalent decreases.  If we introduce different structures of access charging over distance bands, approximating a fixed and variable charging regime, we show how we can incentivise rail traffic over the longer distances where rail is more competitive and environmentally more beneficial.</w:t>
      </w:r>
    </w:p>
    <w:p w:rsidR="00854221" w:rsidRPr="00D80E11" w:rsidRDefault="00854221" w:rsidP="00854221">
      <w:pPr>
        <w:rPr>
          <w:rFonts w:cs="Arial"/>
        </w:rPr>
      </w:pPr>
    </w:p>
    <w:p w:rsidR="0017790C" w:rsidRPr="003D2FE7" w:rsidRDefault="00B302FD" w:rsidP="003D2FE7">
      <w:pPr>
        <w:pStyle w:val="Heading2"/>
        <w:numPr>
          <w:ilvl w:val="0"/>
          <w:numId w:val="0"/>
        </w:numPr>
        <w:ind w:left="851" w:hanging="851"/>
        <w:rPr>
          <w:rFonts w:ascii="Arial" w:hAnsi="Arial"/>
          <w:smallCaps w:val="0"/>
          <w:color w:val="auto"/>
          <w:sz w:val="20"/>
          <w:szCs w:val="20"/>
        </w:rPr>
      </w:pPr>
      <w:bookmarkStart w:id="97" w:name="_Toc207526696"/>
      <w:r>
        <w:rPr>
          <w:rFonts w:ascii="Arial" w:hAnsi="Arial"/>
          <w:smallCaps w:val="0"/>
          <w:color w:val="auto"/>
          <w:sz w:val="20"/>
          <w:szCs w:val="20"/>
        </w:rPr>
        <w:t>5</w:t>
      </w:r>
      <w:r w:rsidR="00EC3B90">
        <w:rPr>
          <w:rFonts w:ascii="Arial" w:hAnsi="Arial"/>
          <w:smallCaps w:val="0"/>
          <w:color w:val="auto"/>
          <w:sz w:val="20"/>
          <w:szCs w:val="20"/>
        </w:rPr>
        <w:t>.</w:t>
      </w:r>
      <w:r w:rsidR="003D2FE7" w:rsidRPr="003D2FE7">
        <w:rPr>
          <w:rFonts w:ascii="Arial" w:hAnsi="Arial"/>
          <w:smallCaps w:val="0"/>
          <w:color w:val="auto"/>
          <w:sz w:val="20"/>
          <w:szCs w:val="20"/>
        </w:rPr>
        <w:t xml:space="preserve"> </w:t>
      </w:r>
      <w:r w:rsidR="0017790C" w:rsidRPr="003D2FE7">
        <w:rPr>
          <w:rFonts w:ascii="Arial" w:hAnsi="Arial"/>
          <w:smallCaps w:val="0"/>
          <w:color w:val="auto"/>
          <w:sz w:val="20"/>
          <w:szCs w:val="20"/>
        </w:rPr>
        <w:t>Conclusions</w:t>
      </w:r>
      <w:bookmarkEnd w:id="97"/>
    </w:p>
    <w:p w:rsidR="0017790C" w:rsidRPr="00D80E11" w:rsidRDefault="0017790C" w:rsidP="0017790C">
      <w:pPr>
        <w:rPr>
          <w:rFonts w:cs="Arial"/>
        </w:rPr>
      </w:pPr>
      <w:r w:rsidRPr="00D80E11">
        <w:t xml:space="preserve">Infrastructure charges were introduced in </w:t>
      </w:r>
      <w:smartTag w:uri="urn:schemas-microsoft-com:office:smarttags" w:element="place">
        <w:smartTag w:uri="urn:schemas-microsoft-com:office:smarttags" w:element="country-region">
          <w:r w:rsidRPr="00D80E11">
            <w:t>Britain</w:t>
          </w:r>
        </w:smartTag>
      </w:smartTag>
      <w:r w:rsidRPr="00D80E11">
        <w:t xml:space="preserve"> in 1995 and, when reviewed in 2001, were effectively halved for freight operators.  </w:t>
      </w:r>
      <w:r w:rsidRPr="00D80E11">
        <w:rPr>
          <w:rFonts w:cs="Arial"/>
        </w:rPr>
        <w:t xml:space="preserve">Over the period, growth in freight traffic has been quite remarkable, in the order of 50% over 12 years.  Within this, growth has been particularly notable </w:t>
      </w:r>
      <w:r>
        <w:rPr>
          <w:rFonts w:cs="Arial"/>
        </w:rPr>
        <w:t xml:space="preserve">in </w:t>
      </w:r>
      <w:r w:rsidRPr="00D80E11">
        <w:rPr>
          <w:rFonts w:cs="Arial"/>
        </w:rPr>
        <w:t xml:space="preserve">coal traffic, which rail is inherently better-suited to carrying, and in construction traffic which appears particularly price-sensitive.  However, rail freight growth actually started in 1995, and we do not observe a major change in the trend around the time of the reductions in infrastructure charges introduced in 2001.  Nevertheless, the structure of charges </w:t>
      </w:r>
      <w:r w:rsidR="00667D40">
        <w:rPr>
          <w:rFonts w:cs="Arial"/>
        </w:rPr>
        <w:t>a</w:t>
      </w:r>
      <w:r w:rsidRPr="00D80E11">
        <w:rPr>
          <w:rFonts w:cs="Arial"/>
        </w:rPr>
        <w:t>ppe</w:t>
      </w:r>
      <w:r w:rsidR="00667D40">
        <w:rPr>
          <w:rFonts w:cs="Arial"/>
        </w:rPr>
        <w:t>a</w:t>
      </w:r>
      <w:r w:rsidRPr="00D80E11">
        <w:rPr>
          <w:rFonts w:cs="Arial"/>
        </w:rPr>
        <w:t xml:space="preserve">r to be incentivising operators to reduce impact of rail freight on the network, </w:t>
      </w:r>
      <w:r w:rsidR="00CE22CF" w:rsidRPr="00D80E11">
        <w:rPr>
          <w:rFonts w:cs="Arial"/>
        </w:rPr>
        <w:t>e.g.</w:t>
      </w:r>
      <w:r w:rsidRPr="00D80E11">
        <w:rPr>
          <w:rFonts w:cs="Arial"/>
        </w:rPr>
        <w:t xml:space="preserve"> by operating less-damaging rolling stock and by requiring fewer slots to operate a particular service.  Further changes are soon to be implemented, involving greater differentiation and increased charging levels for freight-only lines. </w:t>
      </w:r>
      <w:r>
        <w:rPr>
          <w:rFonts w:cs="Arial"/>
        </w:rPr>
        <w:t xml:space="preserve"> </w:t>
      </w:r>
      <w:r w:rsidRPr="00D80E11">
        <w:rPr>
          <w:rFonts w:cs="Arial"/>
        </w:rPr>
        <w:t xml:space="preserve">It will be interesting to monitor any observable impacts of these forthcoming changes.  </w:t>
      </w:r>
    </w:p>
    <w:p w:rsidR="0017790C" w:rsidRPr="00D80E11" w:rsidRDefault="0017790C" w:rsidP="0017790C">
      <w:pPr>
        <w:rPr>
          <w:rFonts w:cs="Arial"/>
        </w:rPr>
      </w:pPr>
    </w:p>
    <w:p w:rsidR="0017790C" w:rsidRPr="00D80E11" w:rsidRDefault="0017790C" w:rsidP="0017790C">
      <w:pPr>
        <w:rPr>
          <w:lang w:eastAsia="ar-SA"/>
        </w:rPr>
      </w:pPr>
      <w:r w:rsidRPr="00D80E11">
        <w:rPr>
          <w:rFonts w:cs="Arial"/>
        </w:rPr>
        <w:t xml:space="preserve">Infrastructure charges in </w:t>
      </w:r>
      <w:smartTag w:uri="urn:schemas-microsoft-com:office:smarttags" w:element="place">
        <w:smartTag w:uri="urn:schemas-microsoft-com:office:smarttags" w:element="country-region">
          <w:r w:rsidRPr="00D80E11">
            <w:rPr>
              <w:rFonts w:cs="Arial"/>
            </w:rPr>
            <w:t>France</w:t>
          </w:r>
        </w:smartTag>
      </w:smartTag>
      <w:r w:rsidRPr="00D80E11">
        <w:rPr>
          <w:rFonts w:cs="Arial"/>
        </w:rPr>
        <w:t xml:space="preserve"> were first implemented in 1997 and there have been several changes to charging structure and levels over the period.  </w:t>
      </w:r>
      <w:r w:rsidRPr="00D80E11">
        <w:t xml:space="preserve">A differentiation between “rapid” (high value) freight traffic and other freight was introduced.  The circulation charge for freight doubled between 2002 and 2009. </w:t>
      </w:r>
      <w:r>
        <w:t xml:space="preserve"> </w:t>
      </w:r>
      <w:r w:rsidRPr="00D80E11">
        <w:rPr>
          <w:lang w:eastAsia="ar-SA"/>
        </w:rPr>
        <w:t xml:space="preserve">While freight infrastructure charges went up as described, freight traffic went on a downward trend from the end of the 1990’s.  These evolutions may seem, at first sight, to be closely related but the linkage between charges and traffic remains unclear and probably low.  First, a notable effect occurred when reservation fees were implemented and led to the suppression of “facultative” paths that were unused. </w:t>
      </w:r>
      <w:r>
        <w:rPr>
          <w:lang w:eastAsia="ar-SA"/>
        </w:rPr>
        <w:t xml:space="preserve"> </w:t>
      </w:r>
      <w:r w:rsidRPr="00D80E11">
        <w:rPr>
          <w:lang w:eastAsia="ar-SA"/>
        </w:rPr>
        <w:t>Second, even though it increased globally, the charge level still represents a low share in operators’ costs, especially for SNCF (around 8%)</w:t>
      </w:r>
      <w:proofErr w:type="gramStart"/>
      <w:r w:rsidRPr="00D80E11">
        <w:rPr>
          <w:lang w:eastAsia="ar-SA"/>
        </w:rPr>
        <w:t>,</w:t>
      </w:r>
      <w:proofErr w:type="gramEnd"/>
      <w:r w:rsidRPr="00D80E11">
        <w:rPr>
          <w:lang w:eastAsia="ar-SA"/>
        </w:rPr>
        <w:t xml:space="preserve"> whereas the evolution of traffic showed important shocks that seem to be much more related to the changes in SNCF’s freight strategy. Indeed, reorganization plans, railway strikes, the liberalization of fre</w:t>
      </w:r>
      <w:r w:rsidR="00DE21C8">
        <w:rPr>
          <w:lang w:eastAsia="ar-SA"/>
        </w:rPr>
        <w:t>igh</w:t>
      </w:r>
      <w:r w:rsidRPr="00D80E11">
        <w:rPr>
          <w:lang w:eastAsia="ar-SA"/>
        </w:rPr>
        <w:t xml:space="preserve">t services and economic globalisation have extensively confused the price signal and impacted the traffic at a much higher degree than the relatively small signal of infrastructure charge could.  </w:t>
      </w:r>
      <w:r w:rsidRPr="00D80E11">
        <w:t>However, set now at higher levels, and in a more stable environment, infrastructure charges may play a stronger role in the future.</w:t>
      </w:r>
    </w:p>
    <w:p w:rsidR="0017790C" w:rsidRPr="00D80E11" w:rsidRDefault="0017790C" w:rsidP="0017790C">
      <w:pPr>
        <w:rPr>
          <w:lang w:eastAsia="ar-SA"/>
        </w:rPr>
      </w:pPr>
    </w:p>
    <w:p w:rsidR="0017790C" w:rsidRDefault="0017790C" w:rsidP="0017790C">
      <w:pPr>
        <w:rPr>
          <w:rFonts w:cs="Arial"/>
        </w:rPr>
      </w:pPr>
      <w:r w:rsidRPr="00D80E11">
        <w:rPr>
          <w:rFonts w:cs="Arial"/>
        </w:rPr>
        <w:t xml:space="preserve">Eurotunnel provides an interesting case, as rail freight through the tunnel has performed somewhat disappointingly over a number of years and the charges faced by freight operators have consistently been cited as a potential cause of this poor performance.  Having originally had a design capacity of c10 million tonnes, freight traffic grew during the first 3 years of operation to three million tonnes in 1997.  However, it then stagnated until 2000, before declining to just over one million tonnes in 2007.  The original charges were devised in the midst of rail re-structuring in both </w:t>
      </w:r>
      <w:smartTag w:uri="urn:schemas-microsoft-com:office:smarttags" w:element="country-region">
        <w:r w:rsidRPr="00D80E11">
          <w:rPr>
            <w:rFonts w:cs="Arial"/>
          </w:rPr>
          <w:t>Britain</w:t>
        </w:r>
      </w:smartTag>
      <w:r w:rsidRPr="00D80E11">
        <w:rPr>
          <w:rFonts w:cs="Arial"/>
        </w:rPr>
        <w:t xml:space="preserve"> and </w:t>
      </w:r>
      <w:smartTag w:uri="urn:schemas-microsoft-com:office:smarttags" w:element="place">
        <w:smartTag w:uri="urn:schemas-microsoft-com:office:smarttags" w:element="country-region">
          <w:r w:rsidRPr="00D80E11">
            <w:rPr>
              <w:rFonts w:cs="Arial"/>
            </w:rPr>
            <w:t>France</w:t>
          </w:r>
        </w:smartTag>
      </w:smartTag>
      <w:r w:rsidRPr="00D80E11">
        <w:rPr>
          <w:rFonts w:cs="Arial"/>
        </w:rPr>
        <w:t xml:space="preserve">, with no </w:t>
      </w:r>
      <w:r w:rsidRPr="00D80E11">
        <w:rPr>
          <w:rFonts w:cs="Arial"/>
        </w:rPr>
        <w:lastRenderedPageBreak/>
        <w:t xml:space="preserve">actual reference to the market.  Furthermore, the monopoly and state aid aspects of the market rendered them irrelevant as signals to the market.  Following the cessation of the Minimum Usage charge in 2006 and continued decline in rail freight traffic through the tunnel, discussion between the key stakeholders led to another set of revised charges being announced in autumn 2007.  </w:t>
      </w:r>
    </w:p>
    <w:p w:rsidR="0017790C" w:rsidRPr="00D80E11" w:rsidRDefault="0017790C" w:rsidP="0017790C">
      <w:pPr>
        <w:rPr>
          <w:rFonts w:cs="Arial"/>
        </w:rPr>
      </w:pPr>
    </w:p>
    <w:p w:rsidR="0017790C" w:rsidRPr="00D80E11" w:rsidRDefault="0017790C" w:rsidP="0017790C">
      <w:pPr>
        <w:rPr>
          <w:rFonts w:cs="Arial"/>
        </w:rPr>
      </w:pPr>
      <w:r w:rsidRPr="00D80E11">
        <w:rPr>
          <w:rFonts w:cs="Arial"/>
        </w:rPr>
        <w:t>Since the removal of state aid, opening up of the market and establishment of the new charging regime, traffic appears, on the whole, to be responding positively, though it is too soon to say whether this is a sustained turn-around.</w:t>
      </w:r>
    </w:p>
    <w:p w:rsidR="0017790C" w:rsidRPr="00D80E11" w:rsidRDefault="0017790C" w:rsidP="0017790C"/>
    <w:p w:rsidR="0017790C" w:rsidRPr="00D80E11" w:rsidRDefault="0017790C" w:rsidP="0017790C">
      <w:r w:rsidRPr="00D80E11">
        <w:t xml:space="preserve">The effect of changes in rail access charge regimes on rail and road traffic in </w:t>
      </w:r>
      <w:smartTag w:uri="urn:schemas-microsoft-com:office:smarttags" w:element="country-region">
        <w:smartTag w:uri="urn:schemas-microsoft-com:office:smarttags" w:element="place">
          <w:r w:rsidRPr="00D80E11">
            <w:t>Britain</w:t>
          </w:r>
        </w:smartTag>
      </w:smartTag>
      <w:r w:rsidRPr="00D80E11">
        <w:t xml:space="preserve"> have been </w:t>
      </w:r>
      <w:r w:rsidR="00CE22CF" w:rsidRPr="00D80E11">
        <w:t>modelled</w:t>
      </w:r>
      <w:r w:rsidRPr="00D80E11">
        <w:t xml:space="preserve"> using the </w:t>
      </w:r>
      <w:proofErr w:type="spellStart"/>
      <w:r w:rsidRPr="00D80E11">
        <w:t>LEeds</w:t>
      </w:r>
      <w:proofErr w:type="spellEnd"/>
      <w:r w:rsidRPr="00D80E11">
        <w:t xml:space="preserve"> Freight Transport Model (LEFT) </w:t>
      </w:r>
      <w:r w:rsidRPr="00D80E11">
        <w:rPr>
          <w:lang w:eastAsia="en-GB"/>
        </w:rPr>
        <w:t>(</w:t>
      </w:r>
      <w:r w:rsidR="00BD654F">
        <w:rPr>
          <w:lang w:eastAsia="en-GB"/>
        </w:rPr>
        <w:t xml:space="preserve">Johnson, Whiteing and </w:t>
      </w:r>
      <w:r w:rsidRPr="00D80E11">
        <w:rPr>
          <w:lang w:eastAsia="en-GB"/>
        </w:rPr>
        <w:t>Fowkes (200</w:t>
      </w:r>
      <w:r w:rsidR="00BD654F">
        <w:rPr>
          <w:lang w:eastAsia="en-GB"/>
        </w:rPr>
        <w:t>7</w:t>
      </w:r>
      <w:r w:rsidRPr="00D80E11">
        <w:rPr>
          <w:lang w:eastAsia="en-GB"/>
        </w:rPr>
        <w:t>)).  S</w:t>
      </w:r>
      <w:r w:rsidRPr="00D80E11">
        <w:t>ix scenarios/policy tests examined the effects of:</w:t>
      </w:r>
    </w:p>
    <w:p w:rsidR="0017790C" w:rsidRPr="00D80E11" w:rsidRDefault="0017790C" w:rsidP="0017790C">
      <w:pPr>
        <w:pStyle w:val="BulletPoint"/>
        <w:numPr>
          <w:numberingChange w:id="98" w:author="USER" w:date="2009-10-24T23:18:00Z" w:original=""/>
        </w:numPr>
      </w:pPr>
      <w:r w:rsidRPr="00D80E11">
        <w:t>Removi</w:t>
      </w:r>
      <w:r>
        <w:t>ng current track access charges;</w:t>
      </w:r>
    </w:p>
    <w:p w:rsidR="0017790C" w:rsidRPr="00D80E11" w:rsidRDefault="0017790C" w:rsidP="0017790C">
      <w:pPr>
        <w:pStyle w:val="BulletPoint"/>
        <w:numPr>
          <w:numberingChange w:id="99" w:author="USER" w:date="2009-10-24T23:18:00Z" w:original=""/>
        </w:numPr>
      </w:pPr>
      <w:r w:rsidRPr="00D80E11">
        <w:t>Halvi</w:t>
      </w:r>
      <w:r>
        <w:t>ng current track access charges;</w:t>
      </w:r>
    </w:p>
    <w:p w:rsidR="0017790C" w:rsidRPr="00D80E11" w:rsidRDefault="0017790C" w:rsidP="0017790C">
      <w:pPr>
        <w:pStyle w:val="BulletPoint"/>
        <w:numPr>
          <w:numberingChange w:id="100" w:author="USER" w:date="2009-10-24T23:18:00Z" w:original=""/>
        </w:numPr>
      </w:pPr>
      <w:r w:rsidRPr="00D80E11">
        <w:t>Doubli</w:t>
      </w:r>
      <w:r>
        <w:t>ng current track access charges;</w:t>
      </w:r>
    </w:p>
    <w:p w:rsidR="0017790C" w:rsidRPr="00D80E11" w:rsidRDefault="0017790C" w:rsidP="0017790C">
      <w:pPr>
        <w:pStyle w:val="BulletPoint"/>
        <w:numPr>
          <w:numberingChange w:id="101" w:author="USER" w:date="2009-10-24T23:18:00Z" w:original=""/>
        </w:numPr>
      </w:pPr>
      <w:r w:rsidRPr="00D80E11">
        <w:t>Quadrupl</w:t>
      </w:r>
      <w:r>
        <w:t>ing current track access charges;</w:t>
      </w:r>
    </w:p>
    <w:p w:rsidR="0017790C" w:rsidRPr="00D80E11" w:rsidRDefault="0017790C" w:rsidP="0017790C">
      <w:pPr>
        <w:pStyle w:val="BulletPoint"/>
        <w:numPr>
          <w:numberingChange w:id="102" w:author="USER" w:date="2009-10-24T23:18:00Z" w:original=""/>
        </w:numPr>
      </w:pPr>
      <w:r w:rsidRPr="00D80E11">
        <w:t xml:space="preserve">Introduce a structure of fixed and variable track access charges; punishing short </w:t>
      </w:r>
      <w:r>
        <w:t>distance rail traffic;</w:t>
      </w:r>
    </w:p>
    <w:p w:rsidR="0017790C" w:rsidRPr="00D80E11" w:rsidRDefault="0017790C" w:rsidP="0017790C">
      <w:pPr>
        <w:pStyle w:val="BulletPoint"/>
        <w:numPr>
          <w:numberingChange w:id="103" w:author="USER" w:date="2009-10-24T23:18:00Z" w:original=""/>
        </w:numPr>
      </w:pPr>
      <w:r w:rsidRPr="00D80E11">
        <w:t>A fixed and variable access charge stimulating long distance traffic.</w:t>
      </w:r>
    </w:p>
    <w:p w:rsidR="0017790C" w:rsidRPr="00D80E11" w:rsidRDefault="0017790C" w:rsidP="0017790C"/>
    <w:p w:rsidR="0017790C" w:rsidRPr="00D80E11" w:rsidRDefault="0017790C" w:rsidP="0017790C">
      <w:r w:rsidRPr="00D80E11">
        <w:t xml:space="preserve">By using LEFT, we have been able to explore the potential impacts of variations in infrastructure charging in isolation from any other changes that might impact on the rail freight market.  We have found that by removing access charges, rail tonne-kilometres increase by 9%, reducing road traffic by almost 2 billion </w:t>
      </w:r>
      <w:proofErr w:type="spellStart"/>
      <w:r w:rsidRPr="00D80E11">
        <w:t>tkm</w:t>
      </w:r>
      <w:proofErr w:type="spellEnd"/>
      <w:r w:rsidRPr="00D80E11">
        <w:t xml:space="preserve">, just 1%. </w:t>
      </w:r>
      <w:r>
        <w:t xml:space="preserve"> </w:t>
      </w:r>
      <w:r w:rsidRPr="00D80E11">
        <w:t>This highlights an underlying lack of competitiveness of rail in key freight markets such as Food Drink and Agriculture and Construction, because of high captivity to road transport, given the short distances involved and the lack of suitable rail infrastructure.  We have examined the sensitivity of the rail market to levels of access charges and found that rail is slightly less sensitive to access charge increases than it is to equivalent decreases.  If we introduce different structures of access charging over distance bands, approximating a fixed and variable charging regime, we have shown how we can incentivise rail traffic over the longer distances where rail is more competitive and environmentally more beneficial.</w:t>
      </w:r>
    </w:p>
    <w:p w:rsidR="0017790C" w:rsidRPr="00D80E11" w:rsidRDefault="0017790C" w:rsidP="0017790C"/>
    <w:p w:rsidR="0017790C" w:rsidRPr="00D80E11" w:rsidRDefault="0017790C" w:rsidP="0017790C">
      <w:pPr>
        <w:ind w:firstLine="15"/>
      </w:pPr>
      <w:r w:rsidRPr="00D80E11">
        <w:t xml:space="preserve">Data availability issues have placed constraints on the level of analytical detail that we have been able to achieve. </w:t>
      </w:r>
      <w:r w:rsidR="004161D1">
        <w:t>For further systematic analysis in this area, one might, ordinarily, seek to employ some form of econometric or statistical modelling exercise.  However, for this, one would require detailed cost and demand statistics at the train operator level, and this would appear not to be available to us.</w:t>
      </w:r>
      <w:r w:rsidRPr="00D80E11">
        <w:t xml:space="preserve"> </w:t>
      </w:r>
      <w:r w:rsidR="004161D1">
        <w:t>Nevertheless</w:t>
      </w:r>
      <w:r w:rsidRPr="00D80E11">
        <w:t xml:space="preserve">, the case study research has helped to identify key trends and issues, whilst we have also been able to pursue some interesting modelling ideas.  It is clear that modelling can help in identifying the cases where the final impact of </w:t>
      </w:r>
      <w:r w:rsidR="00414399">
        <w:t>infrastructure charges</w:t>
      </w:r>
      <w:r w:rsidRPr="00D80E11">
        <w:t xml:space="preserve"> is rather low, and therefore in giving indications about the degree of desirability of infrastructure charge differentiation, given some minimal data requirements on t</w:t>
      </w:r>
      <w:r w:rsidR="004161D1">
        <w:t>he market segments concerned.</w:t>
      </w:r>
    </w:p>
    <w:p w:rsidR="0017790C" w:rsidRPr="00D80E11" w:rsidRDefault="0017790C" w:rsidP="0017790C">
      <w:pPr>
        <w:ind w:firstLine="15"/>
      </w:pPr>
    </w:p>
    <w:p w:rsidR="0017790C" w:rsidRDefault="0017790C" w:rsidP="0017790C">
      <w:pPr>
        <w:ind w:firstLine="15"/>
      </w:pPr>
      <w:r w:rsidRPr="00D80E11">
        <w:t xml:space="preserve">Besides data requirements, the research field of imperfect competition in rail markets seems to be quite important if we want to explore these important issues </w:t>
      </w:r>
      <w:r w:rsidR="00414399">
        <w:t xml:space="preserve">further </w:t>
      </w:r>
      <w:r w:rsidRPr="00D80E11">
        <w:t xml:space="preserve">and have a better understanding of what the final indirect impacts of infrastructure charging are, once interactions between competitors and demand converge to </w:t>
      </w:r>
      <w:proofErr w:type="gramStart"/>
      <w:r w:rsidRPr="00D80E11">
        <w:t>an equilibrium</w:t>
      </w:r>
      <w:proofErr w:type="gramEnd"/>
      <w:r w:rsidRPr="00D80E11">
        <w:t xml:space="preserve">. </w:t>
      </w:r>
      <w:r>
        <w:t xml:space="preserve"> </w:t>
      </w:r>
      <w:r w:rsidR="00414399">
        <w:t xml:space="preserve">Simulation models, such as those developed by </w:t>
      </w:r>
      <w:proofErr w:type="spellStart"/>
      <w:r w:rsidR="00414399">
        <w:t>Meunier</w:t>
      </w:r>
      <w:proofErr w:type="spellEnd"/>
      <w:r w:rsidR="00414399">
        <w:t xml:space="preserve"> and </w:t>
      </w:r>
      <w:proofErr w:type="spellStart"/>
      <w:r w:rsidR="00414399">
        <w:t>Quinet</w:t>
      </w:r>
      <w:proofErr w:type="spellEnd"/>
      <w:r w:rsidR="00414399">
        <w:t xml:space="preserve"> </w:t>
      </w:r>
      <w:r w:rsidR="00297476">
        <w:t xml:space="preserve">(see “Effect of imperfect competition on infrastructure charges” in this issue) </w:t>
      </w:r>
      <w:r w:rsidR="00414399">
        <w:t>appear to provide a promising line of further research in this area</w:t>
      </w:r>
      <w:r w:rsidRPr="00D80E11">
        <w:t>.</w:t>
      </w:r>
    </w:p>
    <w:p w:rsidR="0017790C" w:rsidRPr="003D2FE7" w:rsidRDefault="00B302FD" w:rsidP="00575753">
      <w:pPr>
        <w:pStyle w:val="Heading1"/>
        <w:numPr>
          <w:ilvl w:val="0"/>
          <w:numId w:val="0"/>
        </w:numPr>
        <w:rPr>
          <w:rFonts w:ascii="Arial" w:hAnsi="Arial"/>
          <w:caps w:val="0"/>
          <w:color w:val="auto"/>
          <w:sz w:val="20"/>
        </w:rPr>
      </w:pPr>
      <w:bookmarkStart w:id="104" w:name="_Toc207526697"/>
      <w:r>
        <w:rPr>
          <w:rFonts w:ascii="Arial" w:hAnsi="Arial"/>
          <w:caps w:val="0"/>
          <w:color w:val="auto"/>
          <w:sz w:val="20"/>
        </w:rPr>
        <w:lastRenderedPageBreak/>
        <w:t>6</w:t>
      </w:r>
      <w:r w:rsidR="003D2FE7" w:rsidRPr="003D2FE7">
        <w:rPr>
          <w:rFonts w:ascii="Arial" w:hAnsi="Arial"/>
          <w:caps w:val="0"/>
          <w:color w:val="auto"/>
          <w:sz w:val="20"/>
        </w:rPr>
        <w:t xml:space="preserve">. </w:t>
      </w:r>
      <w:r w:rsidR="0017790C" w:rsidRPr="003D2FE7">
        <w:rPr>
          <w:rFonts w:ascii="Arial" w:hAnsi="Arial"/>
          <w:caps w:val="0"/>
          <w:color w:val="auto"/>
          <w:sz w:val="20"/>
        </w:rPr>
        <w:t>References</w:t>
      </w:r>
      <w:bookmarkEnd w:id="104"/>
    </w:p>
    <w:p w:rsidR="0017790C" w:rsidRPr="00D80E11" w:rsidRDefault="0017790C" w:rsidP="0017790C">
      <w:proofErr w:type="spellStart"/>
      <w:r w:rsidRPr="00D80E11">
        <w:t>Anguera</w:t>
      </w:r>
      <w:proofErr w:type="spellEnd"/>
      <w:r w:rsidRPr="00D80E11">
        <w:t>, R.</w:t>
      </w:r>
      <w:r w:rsidR="00A56F32">
        <w:t>,</w:t>
      </w:r>
      <w:r w:rsidRPr="00D80E11">
        <w:t xml:space="preserve"> The Channel Tunnel –an ex post economic evaluation, in Transportation Research Part </w:t>
      </w:r>
      <w:proofErr w:type="gramStart"/>
      <w:r w:rsidRPr="00D80E11">
        <w:t>A</w:t>
      </w:r>
      <w:proofErr w:type="gramEnd"/>
      <w:r w:rsidRPr="00D80E11">
        <w:t xml:space="preserve"> 40, 2006</w:t>
      </w:r>
    </w:p>
    <w:p w:rsidR="0017790C" w:rsidRPr="00D80E11" w:rsidRDefault="0017790C" w:rsidP="0017790C"/>
    <w:p w:rsidR="00C23C9E" w:rsidRPr="00C23C9E" w:rsidRDefault="00A56F32" w:rsidP="00C23C9E">
      <w:pPr>
        <w:pStyle w:val="Default"/>
        <w:rPr>
          <w:rFonts w:ascii="Arial" w:eastAsia="Times" w:hAnsi="Arial" w:cs="Times New Roman"/>
          <w:color w:val="auto"/>
          <w:sz w:val="20"/>
          <w:szCs w:val="20"/>
          <w:lang w:eastAsia="en-US"/>
        </w:rPr>
      </w:pPr>
      <w:bookmarkStart w:id="105" w:name="OLE_LINK23"/>
      <w:bookmarkStart w:id="106" w:name="OLE_LINK24"/>
      <w:proofErr w:type="spellStart"/>
      <w:r>
        <w:rPr>
          <w:rFonts w:ascii="Arial" w:eastAsia="Times" w:hAnsi="Arial" w:cs="Times New Roman"/>
          <w:color w:val="auto"/>
          <w:sz w:val="20"/>
          <w:szCs w:val="20"/>
          <w:lang w:eastAsia="en-US"/>
        </w:rPr>
        <w:t>Chevroulet</w:t>
      </w:r>
      <w:proofErr w:type="spellEnd"/>
      <w:r>
        <w:rPr>
          <w:rFonts w:ascii="Arial" w:eastAsia="Times" w:hAnsi="Arial" w:cs="Times New Roman"/>
          <w:color w:val="auto"/>
          <w:sz w:val="20"/>
          <w:szCs w:val="20"/>
          <w:lang w:eastAsia="en-US"/>
        </w:rPr>
        <w:t xml:space="preserve"> T., </w:t>
      </w:r>
      <w:proofErr w:type="spellStart"/>
      <w:r>
        <w:rPr>
          <w:rFonts w:ascii="Arial" w:eastAsia="Times" w:hAnsi="Arial" w:cs="Times New Roman"/>
          <w:color w:val="auto"/>
          <w:sz w:val="20"/>
          <w:szCs w:val="20"/>
          <w:lang w:eastAsia="en-US"/>
        </w:rPr>
        <w:t>Sevestre</w:t>
      </w:r>
      <w:proofErr w:type="spellEnd"/>
      <w:r>
        <w:rPr>
          <w:rFonts w:ascii="Arial" w:eastAsia="Times" w:hAnsi="Arial" w:cs="Times New Roman"/>
          <w:color w:val="auto"/>
          <w:sz w:val="20"/>
          <w:szCs w:val="20"/>
          <w:lang w:eastAsia="en-US"/>
        </w:rPr>
        <w:t xml:space="preserve"> A, </w:t>
      </w:r>
      <w:proofErr w:type="spellStart"/>
      <w:r>
        <w:rPr>
          <w:rFonts w:ascii="Arial" w:eastAsia="Times" w:hAnsi="Arial" w:cs="Times New Roman"/>
          <w:color w:val="auto"/>
          <w:sz w:val="20"/>
          <w:szCs w:val="20"/>
          <w:lang w:eastAsia="en-US"/>
        </w:rPr>
        <w:t>Geambasu</w:t>
      </w:r>
      <w:proofErr w:type="spellEnd"/>
      <w:r>
        <w:rPr>
          <w:rFonts w:ascii="Arial" w:eastAsia="Times" w:hAnsi="Arial" w:cs="Times New Roman"/>
          <w:color w:val="auto"/>
          <w:sz w:val="20"/>
          <w:szCs w:val="20"/>
          <w:lang w:eastAsia="en-US"/>
        </w:rPr>
        <w:t xml:space="preserve"> G, R</w:t>
      </w:r>
      <w:r w:rsidRPr="00A56F32">
        <w:rPr>
          <w:rFonts w:ascii="Arial" w:eastAsia="Times" w:hAnsi="Arial" w:cs="Times New Roman"/>
          <w:color w:val="auto"/>
          <w:sz w:val="20"/>
          <w:szCs w:val="20"/>
          <w:lang w:eastAsia="en-US"/>
        </w:rPr>
        <w:t>eynaud</w:t>
      </w:r>
      <w:r w:rsidR="00C23C9E" w:rsidRPr="00A56F32">
        <w:rPr>
          <w:rFonts w:ascii="Arial" w:eastAsia="Times" w:hAnsi="Arial" w:cs="Times New Roman"/>
          <w:color w:val="auto"/>
          <w:sz w:val="20"/>
          <w:szCs w:val="20"/>
          <w:lang w:eastAsia="en-US"/>
        </w:rPr>
        <w:t xml:space="preserve"> C</w:t>
      </w:r>
      <w:r>
        <w:rPr>
          <w:rFonts w:ascii="Arial" w:eastAsia="Times" w:hAnsi="Arial" w:cs="Times New Roman"/>
          <w:color w:val="auto"/>
          <w:sz w:val="20"/>
          <w:szCs w:val="20"/>
          <w:lang w:eastAsia="en-US"/>
        </w:rPr>
        <w:t xml:space="preserve">, </w:t>
      </w:r>
      <w:r w:rsidR="00C23C9E" w:rsidRPr="00C23C9E">
        <w:rPr>
          <w:rFonts w:ascii="Arial" w:eastAsia="Times" w:hAnsi="Arial" w:cs="Times New Roman"/>
          <w:color w:val="auto"/>
          <w:sz w:val="20"/>
          <w:szCs w:val="20"/>
          <w:lang w:eastAsia="en-US"/>
        </w:rPr>
        <w:t>Review of Eurotunnel’s Decision-Making Process</w:t>
      </w:r>
      <w:r>
        <w:rPr>
          <w:rFonts w:ascii="Arial" w:eastAsia="Times" w:hAnsi="Arial" w:cs="Times New Roman"/>
          <w:color w:val="auto"/>
          <w:sz w:val="20"/>
          <w:szCs w:val="20"/>
          <w:lang w:eastAsia="en-US"/>
        </w:rPr>
        <w:t xml:space="preserve"> - </w:t>
      </w:r>
      <w:r w:rsidR="00C23C9E" w:rsidRPr="00C23C9E">
        <w:rPr>
          <w:rFonts w:ascii="Arial" w:eastAsia="Times" w:hAnsi="Arial" w:cs="Times New Roman"/>
          <w:color w:val="auto"/>
          <w:sz w:val="20"/>
          <w:szCs w:val="20"/>
          <w:lang w:eastAsia="en-US"/>
        </w:rPr>
        <w:t>A critical appraisal of Ex-ante vs. Ex-post studies</w:t>
      </w:r>
      <w:r>
        <w:rPr>
          <w:rFonts w:ascii="Arial" w:eastAsia="Times" w:hAnsi="Arial" w:cs="Times New Roman"/>
          <w:color w:val="auto"/>
          <w:sz w:val="20"/>
          <w:szCs w:val="20"/>
          <w:lang w:eastAsia="en-US"/>
        </w:rPr>
        <w:t xml:space="preserve">, </w:t>
      </w:r>
      <w:r w:rsidR="00C23C9E" w:rsidRPr="00C23C9E">
        <w:rPr>
          <w:rFonts w:ascii="Arial" w:eastAsia="Times" w:hAnsi="Arial" w:cs="Times New Roman"/>
          <w:color w:val="auto"/>
          <w:sz w:val="20"/>
          <w:szCs w:val="20"/>
          <w:lang w:eastAsia="en-US"/>
        </w:rPr>
        <w:t>CDM Working Papers Ser</w:t>
      </w:r>
      <w:r>
        <w:rPr>
          <w:rFonts w:ascii="Arial" w:eastAsia="Times" w:hAnsi="Arial" w:cs="Times New Roman"/>
          <w:color w:val="auto"/>
          <w:sz w:val="20"/>
          <w:szCs w:val="20"/>
          <w:lang w:eastAsia="en-US"/>
        </w:rPr>
        <w:t>ies,</w:t>
      </w:r>
    </w:p>
    <w:p w:rsidR="00C23C9E" w:rsidRPr="00C23C9E" w:rsidRDefault="00C23C9E" w:rsidP="00C23C9E">
      <w:pPr>
        <w:jc w:val="left"/>
        <w:rPr>
          <w:sz w:val="22"/>
          <w:szCs w:val="22"/>
        </w:rPr>
      </w:pPr>
      <w:proofErr w:type="gramStart"/>
      <w:r w:rsidRPr="00C23C9E">
        <w:t>31 July 2007</w:t>
      </w:r>
      <w:r w:rsidR="00A56F32">
        <w:t>,</w:t>
      </w:r>
      <w:r w:rsidRPr="00C23C9E">
        <w:t xml:space="preserve"> </w:t>
      </w:r>
      <w:r w:rsidRPr="00C23C9E">
        <w:rPr>
          <w:bCs/>
        </w:rPr>
        <w:t>LEM-WORKINGPAPER-2007-001</w:t>
      </w:r>
      <w:r w:rsidR="00A56F32">
        <w:rPr>
          <w:bCs/>
        </w:rPr>
        <w:t>.</w:t>
      </w:r>
      <w:proofErr w:type="gramEnd"/>
    </w:p>
    <w:bookmarkEnd w:id="105"/>
    <w:bookmarkEnd w:id="106"/>
    <w:p w:rsidR="0017790C" w:rsidRPr="00D80E11" w:rsidRDefault="0017790C" w:rsidP="0017790C"/>
    <w:p w:rsidR="0017790C" w:rsidRPr="00D80E11" w:rsidRDefault="0017790C" w:rsidP="0017790C">
      <w:r w:rsidRPr="00D80E11">
        <w:t xml:space="preserve">Department </w:t>
      </w:r>
      <w:proofErr w:type="gramStart"/>
      <w:r w:rsidRPr="00D80E11">
        <w:t>For</w:t>
      </w:r>
      <w:proofErr w:type="gramEnd"/>
      <w:r w:rsidRPr="00D80E11">
        <w:t xml:space="preserve"> Transport (2007) Transport Statistics </w:t>
      </w:r>
      <w:smartTag w:uri="urn:schemas-microsoft-com:office:smarttags" w:element="country-region">
        <w:r w:rsidRPr="00D80E11">
          <w:t>Great Britain</w:t>
        </w:r>
      </w:smartTag>
      <w:r w:rsidRPr="00D80E11">
        <w:t xml:space="preserve">, the Stationery Office, </w:t>
      </w:r>
      <w:smartTag w:uri="urn:schemas-microsoft-com:office:smarttags" w:element="place">
        <w:smartTag w:uri="urn:schemas-microsoft-com:office:smarttags" w:element="City">
          <w:r w:rsidRPr="00D80E11">
            <w:t>London</w:t>
          </w:r>
        </w:smartTag>
      </w:smartTag>
      <w:r w:rsidRPr="00D80E11">
        <w:t>.</w:t>
      </w:r>
    </w:p>
    <w:p w:rsidR="0017790C" w:rsidRPr="00D80E11" w:rsidRDefault="0017790C" w:rsidP="0017790C"/>
    <w:p w:rsidR="0017790C" w:rsidRPr="00D80E11" w:rsidRDefault="0017790C" w:rsidP="0017790C">
      <w:proofErr w:type="gramStart"/>
      <w:r w:rsidRPr="00D80E11">
        <w:t xml:space="preserve">Eurotunnel, 2007 interim results, Eurotunnel, </w:t>
      </w:r>
      <w:proofErr w:type="spellStart"/>
      <w:r w:rsidRPr="00D80E11">
        <w:t>Folkstone</w:t>
      </w:r>
      <w:proofErr w:type="spellEnd"/>
      <w:r w:rsidRPr="00D80E11">
        <w:t>.</w:t>
      </w:r>
      <w:proofErr w:type="gramEnd"/>
    </w:p>
    <w:p w:rsidR="0017790C" w:rsidRPr="00D80E11" w:rsidRDefault="0017790C" w:rsidP="0017790C"/>
    <w:p w:rsidR="0017790C" w:rsidRPr="00D80E11" w:rsidRDefault="0017790C" w:rsidP="0017790C">
      <w:r w:rsidRPr="00D80E11">
        <w:t xml:space="preserve">Eurotunnel (2008) Eurotunnel’s Network Statement - 2008 working timetable, Eurotunnel, </w:t>
      </w:r>
      <w:proofErr w:type="spellStart"/>
      <w:r w:rsidRPr="00D80E11">
        <w:t>Folkstone</w:t>
      </w:r>
      <w:proofErr w:type="spellEnd"/>
      <w:r w:rsidRPr="00D80E11">
        <w:t>.</w:t>
      </w:r>
    </w:p>
    <w:p w:rsidR="0017790C" w:rsidRPr="00D80E11" w:rsidRDefault="0017790C" w:rsidP="0017790C">
      <w:r w:rsidRPr="00D80E11">
        <w:t xml:space="preserve"> </w:t>
      </w:r>
    </w:p>
    <w:p w:rsidR="0017790C" w:rsidRPr="00D80E11" w:rsidRDefault="0017790C" w:rsidP="0017790C">
      <w:r w:rsidRPr="00D80E11">
        <w:t xml:space="preserve">Johnson D </w:t>
      </w:r>
      <w:r w:rsidR="00A56F32">
        <w:t xml:space="preserve">H, Whiteing A E and Fowkes A S </w:t>
      </w:r>
      <w:r w:rsidRPr="00D80E11">
        <w:t xml:space="preserve">(2007) LEFT:  the right approach to aggregate strategic freight transport modelling?  Paper presented at the 39th UTSG conference, </w:t>
      </w:r>
      <w:smartTag w:uri="urn:schemas-microsoft-com:office:smarttags" w:element="place">
        <w:r w:rsidRPr="00D80E11">
          <w:t>Harrogate</w:t>
        </w:r>
      </w:smartTag>
      <w:r w:rsidRPr="00D80E11">
        <w:t>.</w:t>
      </w:r>
    </w:p>
    <w:p w:rsidR="0017790C" w:rsidRPr="00D80E11" w:rsidRDefault="0017790C" w:rsidP="0017790C"/>
    <w:p w:rsidR="002F0D9B" w:rsidRDefault="002F0D9B" w:rsidP="002F0D9B">
      <w:r>
        <w:t>Matthews B</w:t>
      </w:r>
      <w:r w:rsidR="00A56F32">
        <w:t>.</w:t>
      </w:r>
      <w:r>
        <w:t xml:space="preserve">, </w:t>
      </w:r>
      <w:proofErr w:type="spellStart"/>
      <w:r>
        <w:rPr>
          <w:rFonts w:cs="Arial"/>
        </w:rPr>
        <w:t>Erba</w:t>
      </w:r>
      <w:proofErr w:type="spellEnd"/>
      <w:r>
        <w:rPr>
          <w:rFonts w:cs="Arial"/>
        </w:rPr>
        <w:t xml:space="preserve"> S</w:t>
      </w:r>
      <w:r w:rsidR="00A56F32">
        <w:rPr>
          <w:rFonts w:cs="Arial"/>
        </w:rPr>
        <w:t>.</w:t>
      </w:r>
      <w:r>
        <w:rPr>
          <w:rFonts w:cs="Arial"/>
        </w:rPr>
        <w:t xml:space="preserve">, </w:t>
      </w:r>
      <w:proofErr w:type="spellStart"/>
      <w:r>
        <w:rPr>
          <w:rFonts w:cs="Arial"/>
        </w:rPr>
        <w:t>Evangelinos</w:t>
      </w:r>
      <w:proofErr w:type="spellEnd"/>
      <w:r>
        <w:rPr>
          <w:rFonts w:cs="Arial"/>
        </w:rPr>
        <w:t xml:space="preserve"> C</w:t>
      </w:r>
      <w:r w:rsidR="00A56F32">
        <w:rPr>
          <w:rFonts w:cs="Arial"/>
        </w:rPr>
        <w:t>.</w:t>
      </w:r>
      <w:r>
        <w:rPr>
          <w:rFonts w:cs="Arial"/>
        </w:rPr>
        <w:t>, Wieland B</w:t>
      </w:r>
      <w:r w:rsidR="00A56F32">
        <w:rPr>
          <w:rFonts w:cs="Arial"/>
        </w:rPr>
        <w:t>.</w:t>
      </w:r>
      <w:r>
        <w:rPr>
          <w:rFonts w:cs="Arial"/>
        </w:rPr>
        <w:t xml:space="preserve">, </w:t>
      </w:r>
      <w:proofErr w:type="spellStart"/>
      <w:r>
        <w:rPr>
          <w:rFonts w:ascii="Tahoma" w:eastAsia="Times New Roman" w:hAnsi="Tahoma" w:cs="Tahoma"/>
        </w:rPr>
        <w:t>Meunier</w:t>
      </w:r>
      <w:proofErr w:type="spellEnd"/>
      <w:r>
        <w:rPr>
          <w:rFonts w:ascii="Tahoma" w:eastAsia="Times New Roman" w:hAnsi="Tahoma" w:cs="Tahoma"/>
        </w:rPr>
        <w:t xml:space="preserve"> D</w:t>
      </w:r>
      <w:r w:rsidR="00A56F32">
        <w:rPr>
          <w:rFonts w:ascii="Tahoma" w:eastAsia="Times New Roman" w:hAnsi="Tahoma" w:cs="Tahoma"/>
        </w:rPr>
        <w:t>.</w:t>
      </w:r>
      <w:r>
        <w:rPr>
          <w:rFonts w:ascii="Tahoma" w:eastAsia="Times New Roman" w:hAnsi="Tahoma" w:cs="Tahoma"/>
        </w:rPr>
        <w:t xml:space="preserve">, </w:t>
      </w:r>
      <w:proofErr w:type="spellStart"/>
      <w:r>
        <w:rPr>
          <w:rFonts w:ascii="Tahoma" w:eastAsia="Times New Roman" w:hAnsi="Tahoma" w:cs="Tahoma"/>
        </w:rPr>
        <w:t>Nicolaisen</w:t>
      </w:r>
      <w:proofErr w:type="spellEnd"/>
      <w:r>
        <w:rPr>
          <w:rFonts w:ascii="Tahoma" w:eastAsia="Times New Roman" w:hAnsi="Tahoma" w:cs="Tahoma"/>
        </w:rPr>
        <w:t xml:space="preserve"> T</w:t>
      </w:r>
      <w:r w:rsidR="00A56F32">
        <w:rPr>
          <w:rFonts w:ascii="Tahoma" w:eastAsia="Times New Roman" w:hAnsi="Tahoma" w:cs="Tahoma"/>
        </w:rPr>
        <w:t>.</w:t>
      </w:r>
      <w:r>
        <w:rPr>
          <w:rFonts w:ascii="Tahoma" w:eastAsia="Times New Roman" w:hAnsi="Tahoma" w:cs="Tahoma"/>
        </w:rPr>
        <w:t xml:space="preserve">, </w:t>
      </w:r>
      <w:r>
        <w:t>2007; summary of selected practice for charging in the rail sector, Deliverable 7.1 of the DIFFERENT Project (User Reaction and Efficient Differentiation of Charges and Tolls), Funded by the European Commission 6</w:t>
      </w:r>
      <w:r>
        <w:rPr>
          <w:vertAlign w:val="superscript"/>
        </w:rPr>
        <w:t>th</w:t>
      </w:r>
      <w:r>
        <w:t xml:space="preserve"> Framework Programme, Edinburgh Napier.</w:t>
      </w:r>
    </w:p>
    <w:p w:rsidR="002F0D9B" w:rsidRDefault="002F0D9B" w:rsidP="002F0D9B"/>
    <w:p w:rsidR="00BD654F" w:rsidRDefault="00BD654F" w:rsidP="00BD654F">
      <w:r>
        <w:t>Matthews B</w:t>
      </w:r>
      <w:r w:rsidR="00A56F32">
        <w:t>.</w:t>
      </w:r>
      <w:r>
        <w:t xml:space="preserve">, </w:t>
      </w:r>
      <w:r>
        <w:rPr>
          <w:rFonts w:cs="Arial"/>
        </w:rPr>
        <w:t>Wieland B</w:t>
      </w:r>
      <w:r w:rsidR="00A56F32">
        <w:rPr>
          <w:rFonts w:cs="Arial"/>
        </w:rPr>
        <w:t>.</w:t>
      </w:r>
      <w:r>
        <w:rPr>
          <w:rFonts w:cs="Arial"/>
        </w:rPr>
        <w:t xml:space="preserve">, </w:t>
      </w:r>
      <w:proofErr w:type="spellStart"/>
      <w:r>
        <w:rPr>
          <w:rFonts w:cs="Arial"/>
        </w:rPr>
        <w:t>Evangelinos</w:t>
      </w:r>
      <w:proofErr w:type="spellEnd"/>
      <w:r>
        <w:rPr>
          <w:rFonts w:cs="Arial"/>
        </w:rPr>
        <w:t xml:space="preserve"> C</w:t>
      </w:r>
      <w:r w:rsidR="00A56F32">
        <w:rPr>
          <w:rFonts w:cs="Arial"/>
        </w:rPr>
        <w:t>.</w:t>
      </w:r>
      <w:r>
        <w:rPr>
          <w:rFonts w:cs="Arial"/>
        </w:rPr>
        <w:t xml:space="preserve">, </w:t>
      </w:r>
      <w:proofErr w:type="spellStart"/>
      <w:r>
        <w:rPr>
          <w:rFonts w:cs="Arial"/>
        </w:rPr>
        <w:t>Quinet</w:t>
      </w:r>
      <w:proofErr w:type="spellEnd"/>
      <w:r>
        <w:rPr>
          <w:rFonts w:cs="Arial"/>
        </w:rPr>
        <w:t xml:space="preserve"> E</w:t>
      </w:r>
      <w:r w:rsidR="00A56F32">
        <w:rPr>
          <w:rFonts w:cs="Arial"/>
        </w:rPr>
        <w:t>.</w:t>
      </w:r>
      <w:r>
        <w:rPr>
          <w:rFonts w:cs="Arial"/>
        </w:rPr>
        <w:t xml:space="preserve">, </w:t>
      </w:r>
      <w:proofErr w:type="spellStart"/>
      <w:r>
        <w:rPr>
          <w:rFonts w:cs="Arial"/>
        </w:rPr>
        <w:t>Meunier</w:t>
      </w:r>
      <w:proofErr w:type="spellEnd"/>
      <w:r>
        <w:rPr>
          <w:rFonts w:cs="Arial"/>
        </w:rPr>
        <w:t xml:space="preserve"> D</w:t>
      </w:r>
      <w:r w:rsidR="00A56F32">
        <w:rPr>
          <w:rFonts w:cs="Arial"/>
        </w:rPr>
        <w:t>.</w:t>
      </w:r>
      <w:r>
        <w:rPr>
          <w:rFonts w:cs="Arial"/>
        </w:rPr>
        <w:t>, Johnson D</w:t>
      </w:r>
      <w:r w:rsidR="00A56F32">
        <w:rPr>
          <w:rFonts w:cs="Arial"/>
        </w:rPr>
        <w:t>.</w:t>
      </w:r>
      <w:r>
        <w:rPr>
          <w:rFonts w:cs="Arial"/>
        </w:rPr>
        <w:t xml:space="preserve"> and </w:t>
      </w:r>
      <w:proofErr w:type="spellStart"/>
      <w:r>
        <w:rPr>
          <w:rFonts w:cs="Arial"/>
        </w:rPr>
        <w:t>Menaz</w:t>
      </w:r>
      <w:proofErr w:type="spellEnd"/>
      <w:r>
        <w:rPr>
          <w:rFonts w:cs="Arial"/>
        </w:rPr>
        <w:t xml:space="preserve"> B</w:t>
      </w:r>
      <w:r w:rsidR="00A56F32">
        <w:rPr>
          <w:rFonts w:cs="Arial"/>
        </w:rPr>
        <w:t>.</w:t>
      </w:r>
      <w:r>
        <w:t xml:space="preserve">, 2008; User reaction on differentiated charges in  the rail sector, </w:t>
      </w:r>
      <w:bookmarkStart w:id="107" w:name="OLE_LINK26"/>
      <w:bookmarkStart w:id="108" w:name="OLE_LINK25"/>
      <w:r>
        <w:t>Deliverable 7.2 of the DIFFERENT Project (User Reaction and Efficient Differentiation of Charges and Tolls), Funded by the European Commission 6</w:t>
      </w:r>
      <w:r>
        <w:rPr>
          <w:vertAlign w:val="superscript"/>
        </w:rPr>
        <w:t>th</w:t>
      </w:r>
      <w:r>
        <w:t xml:space="preserve"> Framework Programme, </w:t>
      </w:r>
      <w:r w:rsidR="002F0D9B">
        <w:t>Edinburgh Napier</w:t>
      </w:r>
      <w:r>
        <w:t>.</w:t>
      </w:r>
    </w:p>
    <w:bookmarkEnd w:id="107"/>
    <w:bookmarkEnd w:id="108"/>
    <w:p w:rsidR="00BD654F" w:rsidRDefault="00BD654F" w:rsidP="00BD654F"/>
    <w:p w:rsidR="0017790C" w:rsidRPr="00D80E11" w:rsidRDefault="0017790C" w:rsidP="0017790C">
      <w:r w:rsidRPr="00D80E11">
        <w:t xml:space="preserve">MDS </w:t>
      </w:r>
      <w:proofErr w:type="spellStart"/>
      <w:r w:rsidRPr="00D80E11">
        <w:t>Transmodal</w:t>
      </w:r>
      <w:proofErr w:type="spellEnd"/>
      <w:r w:rsidRPr="00D80E11">
        <w:t xml:space="preserve"> (2006) </w:t>
      </w:r>
      <w:smartTag w:uri="urn:schemas-microsoft-com:office:smarttags" w:element="country-region">
        <w:r w:rsidRPr="00D80E11">
          <w:t>Great Britain</w:t>
        </w:r>
      </w:smartTag>
      <w:r w:rsidRPr="00D80E11">
        <w:t xml:space="preserve"> Freight Report, MDS, </w:t>
      </w:r>
      <w:smartTag w:uri="urn:schemas-microsoft-com:office:smarttags" w:element="City">
        <w:smartTag w:uri="urn:schemas-microsoft-com:office:smarttags" w:element="place">
          <w:r w:rsidRPr="00D80E11">
            <w:t>Chester</w:t>
          </w:r>
        </w:smartTag>
      </w:smartTag>
      <w:r w:rsidRPr="00D80E11">
        <w:t xml:space="preserve">. </w:t>
      </w:r>
    </w:p>
    <w:p w:rsidR="0017790C" w:rsidRPr="00D80E11" w:rsidRDefault="0017790C" w:rsidP="0017790C"/>
    <w:p w:rsidR="0017790C" w:rsidRPr="00D80E11" w:rsidRDefault="0017790C" w:rsidP="0017790C">
      <w:proofErr w:type="spellStart"/>
      <w:r w:rsidRPr="00D80E11">
        <w:t>Meunier</w:t>
      </w:r>
      <w:proofErr w:type="spellEnd"/>
      <w:r w:rsidR="002F0D9B">
        <w:t xml:space="preserve"> D</w:t>
      </w:r>
      <w:r w:rsidR="00A56F32">
        <w:t>., “</w:t>
      </w:r>
      <w:r w:rsidRPr="00D80E11">
        <w:t xml:space="preserve">Sharing investment costs and negotiating railway infrastructure charges”, </w:t>
      </w:r>
      <w:r w:rsidRPr="00D80E11">
        <w:rPr>
          <w:bCs/>
        </w:rPr>
        <w:t xml:space="preserve">Second International Conference on Funding Transportation Infrastructure, </w:t>
      </w:r>
      <w:smartTag w:uri="urn:schemas-microsoft-com:office:smarttags" w:element="place">
        <w:r w:rsidRPr="00D80E11">
          <w:rPr>
            <w:bCs/>
          </w:rPr>
          <w:t>Leuven</w:t>
        </w:r>
      </w:smartTag>
      <w:r w:rsidRPr="00D80E11">
        <w:rPr>
          <w:bCs/>
        </w:rPr>
        <w:t>,</w:t>
      </w:r>
      <w:r w:rsidRPr="00D80E11">
        <w:t> 2007</w:t>
      </w:r>
    </w:p>
    <w:p w:rsidR="0017790C" w:rsidRDefault="0017790C" w:rsidP="0017790C"/>
    <w:p w:rsidR="00310A66" w:rsidRDefault="00297476" w:rsidP="0017790C">
      <w:proofErr w:type="spellStart"/>
      <w:r>
        <w:t>Meunier</w:t>
      </w:r>
      <w:proofErr w:type="spellEnd"/>
      <w:r>
        <w:t xml:space="preserve"> D., </w:t>
      </w:r>
      <w:proofErr w:type="spellStart"/>
      <w:r>
        <w:t>Quinet</w:t>
      </w:r>
      <w:proofErr w:type="spellEnd"/>
      <w:r>
        <w:t xml:space="preserve"> E.,</w:t>
      </w:r>
      <w:r w:rsidR="00310A66">
        <w:t xml:space="preserve"> “Infrastructure charging and imperfect competition in transport”, Fourth International Transport Economics Conference, </w:t>
      </w:r>
      <w:smartTag w:uri="urn:schemas-microsoft-com:office:smarttags" w:element="City">
        <w:smartTag w:uri="urn:schemas-microsoft-com:office:smarttags" w:element="place">
          <w:r w:rsidR="00310A66">
            <w:t>Minneapolis</w:t>
          </w:r>
        </w:smartTag>
      </w:smartTag>
      <w:r>
        <w:t>,</w:t>
      </w:r>
      <w:r w:rsidR="00310A66">
        <w:t xml:space="preserve"> 2009</w:t>
      </w:r>
    </w:p>
    <w:p w:rsidR="00310A66" w:rsidRPr="00D80E11" w:rsidRDefault="00310A66" w:rsidP="0017790C"/>
    <w:p w:rsidR="002F0D9B" w:rsidRPr="00A56F32" w:rsidRDefault="002F0D9B" w:rsidP="002F0D9B">
      <w:pPr>
        <w:rPr>
          <w:bCs/>
        </w:rPr>
      </w:pPr>
      <w:r w:rsidRPr="00A56F32">
        <w:rPr>
          <w:bCs/>
        </w:rPr>
        <w:t>Nash C</w:t>
      </w:r>
      <w:r w:rsidR="00A56F32">
        <w:rPr>
          <w:bCs/>
        </w:rPr>
        <w:t>.</w:t>
      </w:r>
      <w:r w:rsidRPr="00A56F32">
        <w:rPr>
          <w:bCs/>
        </w:rPr>
        <w:t>, Matthews B</w:t>
      </w:r>
      <w:r w:rsidR="00A56F32">
        <w:rPr>
          <w:bCs/>
        </w:rPr>
        <w:t>.</w:t>
      </w:r>
      <w:r w:rsidRPr="00A56F32">
        <w:rPr>
          <w:bCs/>
        </w:rPr>
        <w:t>, Link H</w:t>
      </w:r>
      <w:r w:rsidR="00A56F32">
        <w:rPr>
          <w:bCs/>
        </w:rPr>
        <w:t>.</w:t>
      </w:r>
      <w:r w:rsidRPr="00A56F32">
        <w:rPr>
          <w:bCs/>
        </w:rPr>
        <w:t>, Bonsall P</w:t>
      </w:r>
      <w:r w:rsidR="00A56F32">
        <w:rPr>
          <w:bCs/>
        </w:rPr>
        <w:t>.</w:t>
      </w:r>
      <w:r w:rsidRPr="00A56F32">
        <w:rPr>
          <w:bCs/>
        </w:rPr>
        <w:t>, Lindberg G</w:t>
      </w:r>
      <w:r w:rsidR="00A56F32">
        <w:rPr>
          <w:bCs/>
        </w:rPr>
        <w:t>.</w:t>
      </w:r>
      <w:r w:rsidRPr="00A56F32">
        <w:rPr>
          <w:bCs/>
        </w:rPr>
        <w:t xml:space="preserve">, van </w:t>
      </w:r>
      <w:proofErr w:type="spellStart"/>
      <w:r w:rsidRPr="00A56F32">
        <w:rPr>
          <w:bCs/>
        </w:rPr>
        <w:t>der</w:t>
      </w:r>
      <w:proofErr w:type="spellEnd"/>
      <w:r w:rsidRPr="00A56F32">
        <w:rPr>
          <w:bCs/>
        </w:rPr>
        <w:t xml:space="preserve"> </w:t>
      </w:r>
      <w:proofErr w:type="spellStart"/>
      <w:r w:rsidRPr="00A56F32">
        <w:rPr>
          <w:bCs/>
        </w:rPr>
        <w:t>Voorde</w:t>
      </w:r>
      <w:proofErr w:type="spellEnd"/>
      <w:r w:rsidRPr="00A56F32">
        <w:rPr>
          <w:bCs/>
        </w:rPr>
        <w:t xml:space="preserve"> E</w:t>
      </w:r>
      <w:r w:rsidR="00A56F32">
        <w:rPr>
          <w:bCs/>
        </w:rPr>
        <w:t>.</w:t>
      </w:r>
      <w:r w:rsidRPr="00A56F32">
        <w:rPr>
          <w:bCs/>
        </w:rPr>
        <w:t>, Ricci A</w:t>
      </w:r>
      <w:r w:rsidR="00A56F32">
        <w:rPr>
          <w:bCs/>
        </w:rPr>
        <w:t>.</w:t>
      </w:r>
      <w:r w:rsidRPr="00A56F32">
        <w:rPr>
          <w:bCs/>
        </w:rPr>
        <w:t xml:space="preserve">, </w:t>
      </w:r>
      <w:proofErr w:type="spellStart"/>
      <w:r w:rsidRPr="00A56F32">
        <w:rPr>
          <w:bCs/>
        </w:rPr>
        <w:t>Enei</w:t>
      </w:r>
      <w:proofErr w:type="spellEnd"/>
      <w:r w:rsidRPr="00A56F32">
        <w:rPr>
          <w:bCs/>
        </w:rPr>
        <w:t xml:space="preserve"> R</w:t>
      </w:r>
      <w:r w:rsidR="00A56F32">
        <w:rPr>
          <w:bCs/>
        </w:rPr>
        <w:t>.</w:t>
      </w:r>
      <w:r w:rsidRPr="00A56F32">
        <w:rPr>
          <w:bCs/>
        </w:rPr>
        <w:t xml:space="preserve"> and </w:t>
      </w:r>
      <w:proofErr w:type="spellStart"/>
      <w:r w:rsidRPr="00A56F32">
        <w:rPr>
          <w:bCs/>
        </w:rPr>
        <w:t>Proost</w:t>
      </w:r>
      <w:proofErr w:type="spellEnd"/>
      <w:r w:rsidRPr="00A56F32">
        <w:rPr>
          <w:bCs/>
        </w:rPr>
        <w:t xml:space="preserve"> S</w:t>
      </w:r>
      <w:r w:rsidR="00A56F32">
        <w:rPr>
          <w:bCs/>
        </w:rPr>
        <w:t>.</w:t>
      </w:r>
      <w:r w:rsidRPr="00A56F32">
        <w:rPr>
          <w:bCs/>
        </w:rPr>
        <w:t xml:space="preserve">, “Policy Conclusions”, Deliverable 10 of GRACE (Generalisation of Research on Accounts and Cost Estimation), Funded by Sixth Framework Programme.  </w:t>
      </w:r>
      <w:proofErr w:type="gramStart"/>
      <w:r w:rsidRPr="00A56F32">
        <w:rPr>
          <w:bCs/>
        </w:rPr>
        <w:t xml:space="preserve">ITS, </w:t>
      </w:r>
      <w:smartTag w:uri="urn:schemas-microsoft-com:office:smarttags" w:element="PlaceType">
        <w:r w:rsidRPr="00A56F32">
          <w:rPr>
            <w:bCs/>
          </w:rPr>
          <w:t>University</w:t>
        </w:r>
      </w:smartTag>
      <w:r w:rsidRPr="00A56F32">
        <w:rPr>
          <w:bCs/>
        </w:rPr>
        <w:t xml:space="preserve"> of </w:t>
      </w:r>
      <w:smartTag w:uri="urn:schemas-microsoft-com:office:smarttags" w:element="PlaceName">
        <w:r w:rsidRPr="00A56F32">
          <w:rPr>
            <w:bCs/>
          </w:rPr>
          <w:t>Leeds</w:t>
        </w:r>
      </w:smartTag>
      <w:r w:rsidRPr="00A56F32">
        <w:rPr>
          <w:bCs/>
        </w:rPr>
        <w:t xml:space="preserve">, </w:t>
      </w:r>
      <w:smartTag w:uri="urn:schemas-microsoft-com:office:smarttags" w:element="place">
        <w:r w:rsidRPr="00A56F32">
          <w:rPr>
            <w:bCs/>
          </w:rPr>
          <w:t>Leeds</w:t>
        </w:r>
      </w:smartTag>
      <w:r w:rsidRPr="00A56F32">
        <w:rPr>
          <w:bCs/>
        </w:rPr>
        <w:t>.</w:t>
      </w:r>
      <w:proofErr w:type="gramEnd"/>
      <w:r w:rsidRPr="00A56F32">
        <w:rPr>
          <w:bCs/>
        </w:rPr>
        <w:t xml:space="preserve"> 2008</w:t>
      </w:r>
    </w:p>
    <w:p w:rsidR="002F0D9B" w:rsidRDefault="002F0D9B" w:rsidP="002F0D9B">
      <w:pPr>
        <w:tabs>
          <w:tab w:val="left" w:pos="8280"/>
        </w:tabs>
      </w:pPr>
    </w:p>
    <w:p w:rsidR="00297476" w:rsidRPr="001C6102" w:rsidRDefault="001C6102" w:rsidP="002F0D9B">
      <w:pPr>
        <w:tabs>
          <w:tab w:val="left" w:pos="8280"/>
        </w:tabs>
      </w:pPr>
      <w:r w:rsidRPr="001C6102">
        <w:t xml:space="preserve">OECD (2005), </w:t>
      </w:r>
      <w:r w:rsidR="00A85131" w:rsidRPr="00A85131">
        <w:rPr>
          <w:rStyle w:val="headertext"/>
          <w:rFonts w:cs="Arial"/>
          <w:color w:val="000000"/>
        </w:rPr>
        <w:t>Railway Reform and Charges for the Use of Infrastructure</w:t>
      </w:r>
      <w:r>
        <w:rPr>
          <w:rStyle w:val="headertext"/>
          <w:rFonts w:cs="Arial"/>
          <w:color w:val="000000"/>
        </w:rPr>
        <w:t>, OECD Publishing</w:t>
      </w:r>
    </w:p>
    <w:p w:rsidR="00297476" w:rsidRDefault="00297476" w:rsidP="002F0D9B">
      <w:pPr>
        <w:tabs>
          <w:tab w:val="left" w:pos="8280"/>
        </w:tabs>
      </w:pPr>
    </w:p>
    <w:p w:rsidR="002F0D9B" w:rsidRPr="00A56F32" w:rsidRDefault="002F0D9B" w:rsidP="002F0D9B">
      <w:pPr>
        <w:autoSpaceDE w:val="0"/>
        <w:autoSpaceDN w:val="0"/>
        <w:rPr>
          <w:bCs/>
        </w:rPr>
      </w:pPr>
      <w:proofErr w:type="gramStart"/>
      <w:smartTag w:uri="urn:schemas-microsoft-com:office:smarttags" w:element="place">
        <w:r w:rsidRPr="00A56F32">
          <w:rPr>
            <w:bCs/>
          </w:rPr>
          <w:t>Preston</w:t>
        </w:r>
      </w:smartTag>
      <w:r w:rsidRPr="00A56F32">
        <w:rPr>
          <w:bCs/>
        </w:rPr>
        <w:t xml:space="preserve">, J. M., </w:t>
      </w:r>
      <w:proofErr w:type="spellStart"/>
      <w:r w:rsidRPr="00A56F32">
        <w:rPr>
          <w:bCs/>
        </w:rPr>
        <w:t>Holvad</w:t>
      </w:r>
      <w:proofErr w:type="spellEnd"/>
      <w:r w:rsidRPr="00A56F32">
        <w:rPr>
          <w:bCs/>
        </w:rPr>
        <w:t xml:space="preserve">, T. and </w:t>
      </w:r>
      <w:proofErr w:type="spellStart"/>
      <w:r w:rsidRPr="00A56F32">
        <w:rPr>
          <w:bCs/>
        </w:rPr>
        <w:t>Rajé</w:t>
      </w:r>
      <w:proofErr w:type="spellEnd"/>
      <w:r w:rsidRPr="00A56F32">
        <w:rPr>
          <w:bCs/>
        </w:rPr>
        <w:t>, F. 2002.</w:t>
      </w:r>
      <w:proofErr w:type="gramEnd"/>
      <w:r w:rsidRPr="00A56F32">
        <w:rPr>
          <w:bCs/>
        </w:rPr>
        <w:t xml:space="preserve"> Track Access Charges and Rail Competition: A Comparative Analysis of </w:t>
      </w:r>
      <w:smartTag w:uri="urn:schemas-microsoft-com:office:smarttags" w:element="country-region">
        <w:r w:rsidRPr="00A56F32">
          <w:rPr>
            <w:bCs/>
          </w:rPr>
          <w:t>Britain</w:t>
        </w:r>
      </w:smartTag>
      <w:r w:rsidRPr="00A56F32">
        <w:rPr>
          <w:bCs/>
        </w:rPr>
        <w:t xml:space="preserve"> and </w:t>
      </w:r>
      <w:smartTag w:uri="urn:schemas-microsoft-com:office:smarttags" w:element="country-region">
        <w:smartTag w:uri="urn:schemas-microsoft-com:office:smarttags" w:element="place">
          <w:r w:rsidRPr="00A56F32">
            <w:rPr>
              <w:bCs/>
            </w:rPr>
            <w:t>Sweden</w:t>
          </w:r>
        </w:smartTag>
      </w:smartTag>
      <w:r w:rsidRPr="00A56F32">
        <w:rPr>
          <w:bCs/>
        </w:rPr>
        <w:t>. In:</w:t>
      </w:r>
      <w:r w:rsidR="00A56F32">
        <w:rPr>
          <w:bCs/>
        </w:rPr>
        <w:t xml:space="preserve"> </w:t>
      </w:r>
      <w:r w:rsidRPr="00A56F32">
        <w:rPr>
          <w:bCs/>
        </w:rPr>
        <w:t xml:space="preserve">European Transport Conference, </w:t>
      </w:r>
      <w:smartTag w:uri="urn:schemas-microsoft-com:office:smarttags" w:element="City">
        <w:smartTag w:uri="urn:schemas-microsoft-com:office:smarttags" w:element="place">
          <w:r w:rsidRPr="00A56F32">
            <w:rPr>
              <w:bCs/>
            </w:rPr>
            <w:t>Cambridge</w:t>
          </w:r>
        </w:smartTag>
      </w:smartTag>
      <w:r w:rsidRPr="00A56F32">
        <w:rPr>
          <w:bCs/>
        </w:rPr>
        <w:t xml:space="preserve">. </w:t>
      </w:r>
    </w:p>
    <w:p w:rsidR="002F0D9B" w:rsidRDefault="002F0D9B" w:rsidP="002F0D9B">
      <w:pPr>
        <w:rPr>
          <w:rFonts w:ascii="Calibri" w:hAnsi="Calibri"/>
          <w:sz w:val="22"/>
          <w:szCs w:val="22"/>
        </w:rPr>
      </w:pPr>
    </w:p>
    <w:p w:rsidR="0017790C" w:rsidRPr="00D80E11" w:rsidRDefault="0017790C" w:rsidP="0017790C">
      <w:proofErr w:type="spellStart"/>
      <w:r w:rsidRPr="00D80E11">
        <w:t>Quinet</w:t>
      </w:r>
      <w:proofErr w:type="spellEnd"/>
      <w:r w:rsidRPr="00D80E11">
        <w:t>, E</w:t>
      </w:r>
      <w:r w:rsidR="002F0D9B">
        <w:t>,</w:t>
      </w:r>
      <w:r w:rsidRPr="00D80E11">
        <w:t xml:space="preserve"> Effect of market structure on optimal pricing and cost recovery”, </w:t>
      </w:r>
      <w:r w:rsidRPr="00D80E11">
        <w:rPr>
          <w:bCs/>
        </w:rPr>
        <w:t xml:space="preserve">Second International Conference on Funding Transportation Infrastructure, </w:t>
      </w:r>
      <w:smartTag w:uri="urn:schemas-microsoft-com:office:smarttags" w:element="place">
        <w:r w:rsidRPr="00D80E11">
          <w:rPr>
            <w:bCs/>
          </w:rPr>
          <w:t>Leuven</w:t>
        </w:r>
      </w:smartTag>
      <w:r w:rsidRPr="00D80E11">
        <w:rPr>
          <w:bCs/>
        </w:rPr>
        <w:t>,</w:t>
      </w:r>
      <w:r w:rsidRPr="00D80E11">
        <w:t xml:space="preserve"> 2007 </w:t>
      </w:r>
    </w:p>
    <w:p w:rsidR="0017790C" w:rsidRPr="00D80E11" w:rsidRDefault="0017790C" w:rsidP="0017790C"/>
    <w:p w:rsidR="0017790C" w:rsidRPr="00D80E11" w:rsidRDefault="0017790C" w:rsidP="0017790C">
      <w:proofErr w:type="spellStart"/>
      <w:r w:rsidRPr="00D80E11">
        <w:t>Quinet</w:t>
      </w:r>
      <w:proofErr w:type="spellEnd"/>
      <w:r w:rsidRPr="00D80E11">
        <w:t xml:space="preserve"> </w:t>
      </w:r>
      <w:proofErr w:type="spellStart"/>
      <w:r w:rsidRPr="00D80E11">
        <w:t>Touzery</w:t>
      </w:r>
      <w:proofErr w:type="spellEnd"/>
      <w:r w:rsidRPr="00D80E11">
        <w:t xml:space="preserve"> </w:t>
      </w:r>
      <w:proofErr w:type="spellStart"/>
      <w:r w:rsidRPr="00D80E11">
        <w:t>Triebel</w:t>
      </w:r>
      <w:proofErr w:type="spellEnd"/>
      <w:r w:rsidRPr="00D80E11">
        <w:t xml:space="preserve">, </w:t>
      </w:r>
      <w:proofErr w:type="spellStart"/>
      <w:r w:rsidRPr="00D80E11">
        <w:t>Economie</w:t>
      </w:r>
      <w:proofErr w:type="spellEnd"/>
      <w:r w:rsidRPr="00D80E11">
        <w:t xml:space="preserve"> des transports, </w:t>
      </w:r>
      <w:proofErr w:type="spellStart"/>
      <w:r w:rsidRPr="00D80E11">
        <w:t>Economica</w:t>
      </w:r>
      <w:proofErr w:type="spellEnd"/>
      <w:r w:rsidRPr="00D80E11">
        <w:t xml:space="preserve">: </w:t>
      </w:r>
      <w:smartTag w:uri="urn:schemas-microsoft-com:office:smarttags" w:element="place">
        <w:smartTag w:uri="urn:schemas-microsoft-com:office:smarttags" w:element="City">
          <w:r w:rsidRPr="00D80E11">
            <w:t>Paris</w:t>
          </w:r>
        </w:smartTag>
      </w:smartTag>
      <w:r w:rsidRPr="00D80E11">
        <w:t>, 1982</w:t>
      </w:r>
    </w:p>
    <w:p w:rsidR="0017790C" w:rsidRPr="00D80E11" w:rsidRDefault="0017790C" w:rsidP="0017790C"/>
    <w:p w:rsidR="0017790C" w:rsidRPr="00D80E11" w:rsidRDefault="0017790C" w:rsidP="0017790C">
      <w:r w:rsidRPr="00D80E11">
        <w:t>Szymanski, S. Rational pricing strategies in the cross channel market, in Transport Policy, vol.2 No 3, 1995</w:t>
      </w:r>
    </w:p>
    <w:p w:rsidR="0017790C" w:rsidRPr="00D80E11" w:rsidRDefault="0017790C" w:rsidP="0017790C"/>
    <w:p w:rsidR="0017790C" w:rsidRPr="00D80E11" w:rsidRDefault="0017790C" w:rsidP="0017790C">
      <w:pPr>
        <w:rPr>
          <w:rFonts w:cs="TimesNewRoman"/>
        </w:rPr>
      </w:pPr>
      <w:proofErr w:type="spellStart"/>
      <w:r w:rsidRPr="00D80E11">
        <w:rPr>
          <w:rFonts w:cs="TimesNewRoman"/>
        </w:rPr>
        <w:lastRenderedPageBreak/>
        <w:t>Stittle</w:t>
      </w:r>
      <w:proofErr w:type="spellEnd"/>
      <w:r w:rsidRPr="00D80E11">
        <w:rPr>
          <w:rFonts w:cs="TimesNewRoman"/>
        </w:rPr>
        <w:t>, J</w:t>
      </w:r>
      <w:r w:rsidR="00A56F32">
        <w:rPr>
          <w:rFonts w:cs="TimesNewRoman"/>
        </w:rPr>
        <w:t>.</w:t>
      </w:r>
      <w:r w:rsidRPr="00D80E11">
        <w:rPr>
          <w:rFonts w:cs="TimesNewRoman"/>
        </w:rPr>
        <w:t xml:space="preserve"> (2004) Accounting for UK rail freight track charges:  Privatisation, politics and the pursuit of private sector vested interests, Accounting Forum, Volume 28, Issue 4, pp403-425, Elsevier.</w:t>
      </w:r>
    </w:p>
    <w:p w:rsidR="0017790C" w:rsidRPr="00D80E11" w:rsidRDefault="0017790C" w:rsidP="0017790C">
      <w:pPr>
        <w:rPr>
          <w:rFonts w:cs="TimesNewRoman"/>
        </w:rPr>
      </w:pPr>
      <w:r w:rsidRPr="00D80E11">
        <w:rPr>
          <w:rFonts w:cs="TimesNewRoman"/>
        </w:rPr>
        <w:t xml:space="preserve"> </w:t>
      </w:r>
    </w:p>
    <w:p w:rsidR="0017790C" w:rsidRPr="00D80E11" w:rsidRDefault="0017790C" w:rsidP="0017790C">
      <w:r w:rsidRPr="00D80E11">
        <w:t xml:space="preserve">UK Commission for Integrated Transport (CFIT) (2001) Incentives for rail freight growth, CFIT, </w:t>
      </w:r>
      <w:smartTag w:uri="urn:schemas-microsoft-com:office:smarttags" w:element="City">
        <w:smartTag w:uri="urn:schemas-microsoft-com:office:smarttags" w:element="place">
          <w:r w:rsidRPr="00D80E11">
            <w:t>London</w:t>
          </w:r>
        </w:smartTag>
      </w:smartTag>
      <w:r w:rsidRPr="00D80E11">
        <w:t>.</w:t>
      </w:r>
    </w:p>
    <w:p w:rsidR="0017790C" w:rsidRPr="00D80E11" w:rsidRDefault="0017790C" w:rsidP="00854221">
      <w:pPr>
        <w:rPr>
          <w:rFonts w:cs="Arial"/>
        </w:rPr>
      </w:pPr>
    </w:p>
    <w:p w:rsidR="00FD1B91" w:rsidRDefault="00A56F32" w:rsidP="00FD1B91">
      <w:pPr>
        <w:rPr>
          <w:rFonts w:cs="Arial"/>
          <w:color w:val="000000"/>
        </w:rPr>
      </w:pPr>
      <w:proofErr w:type="gramStart"/>
      <w:r>
        <w:rPr>
          <w:rStyle w:val="Strong"/>
          <w:rFonts w:cs="Arial"/>
          <w:b w:val="0"/>
          <w:color w:val="000000"/>
        </w:rPr>
        <w:t>Wheat</w:t>
      </w:r>
      <w:r w:rsidR="00FD1B91" w:rsidRPr="00A56F32">
        <w:rPr>
          <w:rStyle w:val="Strong"/>
          <w:rFonts w:cs="Arial"/>
          <w:b w:val="0"/>
          <w:color w:val="000000"/>
        </w:rPr>
        <w:t>, P.</w:t>
      </w:r>
      <w:r w:rsidR="00FD1B91">
        <w:rPr>
          <w:rStyle w:val="Strong"/>
          <w:rFonts w:cs="Arial"/>
          <w:color w:val="000000"/>
        </w:rPr>
        <w:t xml:space="preserve"> </w:t>
      </w:r>
      <w:r w:rsidR="00FD1B91">
        <w:rPr>
          <w:rFonts w:cs="Arial"/>
          <w:color w:val="000000"/>
        </w:rPr>
        <w:t xml:space="preserve">and </w:t>
      </w:r>
      <w:r>
        <w:rPr>
          <w:rStyle w:val="Strong"/>
          <w:rFonts w:cs="Arial"/>
          <w:b w:val="0"/>
          <w:color w:val="000000"/>
        </w:rPr>
        <w:t>Smith</w:t>
      </w:r>
      <w:r w:rsidR="00FD1B91" w:rsidRPr="00A56F32">
        <w:rPr>
          <w:rStyle w:val="Strong"/>
          <w:rFonts w:cs="Arial"/>
          <w:b w:val="0"/>
          <w:color w:val="000000"/>
        </w:rPr>
        <w:t>, A.</w:t>
      </w:r>
      <w:r w:rsidR="00FD1B91">
        <w:rPr>
          <w:rFonts w:cs="Arial"/>
          <w:color w:val="000000"/>
        </w:rPr>
        <w:t xml:space="preserve"> (2008).</w:t>
      </w:r>
      <w:proofErr w:type="gramEnd"/>
      <w:r w:rsidR="00FD1B91">
        <w:rPr>
          <w:rFonts w:cs="Arial"/>
          <w:color w:val="000000"/>
        </w:rPr>
        <w:t xml:space="preserve"> </w:t>
      </w:r>
      <w:proofErr w:type="gramStart"/>
      <w:r w:rsidR="00FD1B91">
        <w:rPr>
          <w:rFonts w:cs="Arial"/>
          <w:color w:val="000000"/>
        </w:rPr>
        <w:t xml:space="preserve">“Assessing the marginal infrastructure maintenance wear and tear costs of </w:t>
      </w:r>
      <w:smartTag w:uri="urn:schemas-microsoft-com:office:smarttags" w:element="country-region">
        <w:smartTag w:uri="urn:schemas-microsoft-com:office:smarttags" w:element="place">
          <w:r w:rsidR="00FD1B91">
            <w:rPr>
              <w:rFonts w:cs="Arial"/>
              <w:color w:val="000000"/>
            </w:rPr>
            <w:t>Britain</w:t>
          </w:r>
        </w:smartTag>
      </w:smartTag>
      <w:r w:rsidR="00FD1B91">
        <w:rPr>
          <w:rFonts w:cs="Arial"/>
          <w:color w:val="000000"/>
        </w:rPr>
        <w:t>’s railway network”.</w:t>
      </w:r>
      <w:proofErr w:type="gramEnd"/>
      <w:r w:rsidR="00FD1B91">
        <w:rPr>
          <w:rFonts w:cs="Arial"/>
          <w:color w:val="000000"/>
        </w:rPr>
        <w:t xml:space="preserve"> </w:t>
      </w:r>
      <w:proofErr w:type="gramStart"/>
      <w:r w:rsidR="00FD1B91">
        <w:rPr>
          <w:rStyle w:val="Emphasis"/>
          <w:rFonts w:cs="Arial"/>
          <w:color w:val="000000"/>
        </w:rPr>
        <w:t xml:space="preserve">Journal of Transport Economics and Policy, </w:t>
      </w:r>
      <w:r w:rsidR="00FD1B91">
        <w:rPr>
          <w:rFonts w:cs="Arial"/>
          <w:color w:val="000000"/>
        </w:rPr>
        <w:t>42</w:t>
      </w:r>
      <w:r>
        <w:rPr>
          <w:rFonts w:cs="Arial"/>
          <w:color w:val="000000"/>
        </w:rPr>
        <w:t>, pp.</w:t>
      </w:r>
      <w:r w:rsidR="00FD1B91">
        <w:rPr>
          <w:rFonts w:cs="Arial"/>
          <w:color w:val="000000"/>
        </w:rPr>
        <w:t>189-224.</w:t>
      </w:r>
      <w:proofErr w:type="gramEnd"/>
      <w:r w:rsidR="00FD1B91">
        <w:rPr>
          <w:rFonts w:cs="Arial"/>
          <w:color w:val="000000"/>
        </w:rPr>
        <w:t xml:space="preserve"> </w:t>
      </w:r>
    </w:p>
    <w:p w:rsidR="00FD1B91" w:rsidRDefault="00FD1B91" w:rsidP="00FD1B91">
      <w:pPr>
        <w:rPr>
          <w:rFonts w:ascii="Calibri" w:hAnsi="Calibri" w:cs="Arial"/>
          <w:sz w:val="22"/>
          <w:szCs w:val="22"/>
        </w:rPr>
      </w:pPr>
    </w:p>
    <w:p w:rsidR="00854221" w:rsidRPr="00D80E11" w:rsidRDefault="00854221" w:rsidP="00854221">
      <w:pPr>
        <w:rPr>
          <w:rFonts w:cs="Arial"/>
        </w:rPr>
      </w:pPr>
    </w:p>
    <w:p w:rsidR="00854221" w:rsidRDefault="00854221"/>
    <w:sectPr w:rsidR="00854221" w:rsidSect="00E3507E">
      <w:pgSz w:w="12240" w:h="15840"/>
      <w:pgMar w:top="1440" w:right="1800" w:bottom="1440" w:left="1418"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USER" w:date="2009-10-24T23:21:00Z" w:initials="XX">
    <w:p w:rsidR="0052127B" w:rsidRDefault="0052127B">
      <w:pPr>
        <w:pStyle w:val="CommentText"/>
      </w:pPr>
      <w:r>
        <w:rPr>
          <w:rStyle w:val="CommentReference"/>
        </w:rPr>
        <w:annotationRef/>
      </w:r>
      <w:r>
        <w:t>I SUPPRESSED THE LAST LINE BECAUSE IT REFERED SPECIFICALLY TO PASSENGER ROLLING STOCK WHEREAS WE TREAT HERE ONLY FREIGHT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768" w:rsidRDefault="009C7768">
      <w:r>
        <w:separator/>
      </w:r>
    </w:p>
  </w:endnote>
  <w:endnote w:type="continuationSeparator" w:id="0">
    <w:p w:rsidR="009C7768" w:rsidRDefault="009C7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7B" w:rsidRDefault="0052127B">
    <w:pPr>
      <w:pStyle w:val="Footer"/>
      <w:rPr>
        <w:rFonts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7B" w:rsidRDefault="0052127B" w:rsidP="008542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7B" w:rsidRPr="00A603E4" w:rsidRDefault="0052127B" w:rsidP="00A60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768" w:rsidRDefault="009C7768">
      <w:r>
        <w:separator/>
      </w:r>
    </w:p>
  </w:footnote>
  <w:footnote w:type="continuationSeparator" w:id="0">
    <w:p w:rsidR="009C7768" w:rsidRDefault="009C7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7B" w:rsidRDefault="0052127B" w:rsidP="00854221">
    <w:pPr>
      <w:pStyle w:val="Header"/>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7B" w:rsidRPr="00A603E4" w:rsidRDefault="0052127B" w:rsidP="00A603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7B" w:rsidRDefault="0052127B">
    <w:pPr>
      <w:jc w:val="right"/>
      <w:rPr>
        <w:rFonts w:cs="Arial"/>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3EB6F05"/>
    <w:multiLevelType w:val="hybridMultilevel"/>
    <w:tmpl w:val="E2A2EB7C"/>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abstractNum w:abstractNumId="2">
    <w:nsid w:val="14A54252"/>
    <w:multiLevelType w:val="hybridMultilevel"/>
    <w:tmpl w:val="0372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D2FFB"/>
    <w:multiLevelType w:val="hybridMultilevel"/>
    <w:tmpl w:val="49387EAE"/>
    <w:lvl w:ilvl="0" w:tplc="CD7A562C">
      <w:start w:val="1"/>
      <w:numFmt w:val="bullet"/>
      <w:pStyle w:val="TableBullet1"/>
      <w:lvlText w:val=""/>
      <w:lvlJc w:val="left"/>
      <w:pPr>
        <w:tabs>
          <w:tab w:val="num" w:pos="113"/>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2D00E56"/>
    <w:multiLevelType w:val="hybridMultilevel"/>
    <w:tmpl w:val="5742FF10"/>
    <w:lvl w:ilvl="0" w:tplc="9B082AC0">
      <w:start w:val="1"/>
      <w:numFmt w:val="bullet"/>
      <w:pStyle w:val="BulletPoint2"/>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A92B29"/>
    <w:multiLevelType w:val="hybridMultilevel"/>
    <w:tmpl w:val="0150D966"/>
    <w:lvl w:ilvl="0" w:tplc="0407000B">
      <w:start w:val="1"/>
      <w:numFmt w:val="bullet"/>
      <w:pStyle w:val="NumberedPoin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40460601"/>
    <w:multiLevelType w:val="singleLevel"/>
    <w:tmpl w:val="62FCF310"/>
    <w:lvl w:ilvl="0">
      <w:start w:val="1"/>
      <w:numFmt w:val="bullet"/>
      <w:pStyle w:val="BulletPoint"/>
      <w:lvlText w:val=""/>
      <w:lvlJc w:val="left"/>
      <w:pPr>
        <w:tabs>
          <w:tab w:val="num" w:pos="360"/>
        </w:tabs>
        <w:ind w:left="360" w:hanging="360"/>
      </w:pPr>
      <w:rPr>
        <w:rFonts w:ascii="Wingdings" w:hAnsi="Wingdings" w:hint="default"/>
      </w:rPr>
    </w:lvl>
  </w:abstractNum>
  <w:abstractNum w:abstractNumId="7">
    <w:nsid w:val="43B0742B"/>
    <w:multiLevelType w:val="singleLevel"/>
    <w:tmpl w:val="194826F0"/>
    <w:lvl w:ilvl="0">
      <w:start w:val="1"/>
      <w:numFmt w:val="bullet"/>
      <w:pStyle w:val="BulletPoint3"/>
      <w:lvlText w:val=""/>
      <w:lvlJc w:val="left"/>
      <w:pPr>
        <w:tabs>
          <w:tab w:val="num" w:pos="1182"/>
        </w:tabs>
        <w:ind w:left="1182" w:hanging="360"/>
      </w:pPr>
      <w:rPr>
        <w:rFonts w:ascii="Symbol" w:hAnsi="Symbol" w:hint="default"/>
        <w:sz w:val="18"/>
      </w:rPr>
    </w:lvl>
  </w:abstractNum>
  <w:abstractNum w:abstractNumId="8">
    <w:nsid w:val="43F14423"/>
    <w:multiLevelType w:val="hybridMultilevel"/>
    <w:tmpl w:val="F1B411F4"/>
    <w:lvl w:ilvl="0" w:tplc="37EA8CE6">
      <w:start w:val="1"/>
      <w:numFmt w:val="bullet"/>
      <w:pStyle w:val="TableBullet2"/>
      <w:lvlText w:val="o"/>
      <w:lvlJc w:val="left"/>
      <w:pPr>
        <w:tabs>
          <w:tab w:val="num" w:pos="284"/>
        </w:tabs>
        <w:ind w:left="284" w:hanging="171"/>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4581512"/>
    <w:multiLevelType w:val="hybridMultilevel"/>
    <w:tmpl w:val="D5B88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1D13B1"/>
    <w:multiLevelType w:val="hybridMultilevel"/>
    <w:tmpl w:val="53F693E4"/>
    <w:lvl w:ilvl="0" w:tplc="DE9C9232">
      <w:start w:val="1"/>
      <w:numFmt w:val="decimal"/>
      <w:lvlText w:val="%1."/>
      <w:lvlJc w:val="left"/>
      <w:pPr>
        <w:ind w:left="360" w:hanging="360"/>
      </w:pPr>
      <w:rPr>
        <w:rFonts w:ascii="Arial" w:hAnsi="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E61B5F"/>
    <w:multiLevelType w:val="multilevel"/>
    <w:tmpl w:val="82103700"/>
    <w:lvl w:ilvl="0">
      <w:start w:val="1"/>
      <w:numFmt w:val="decimal"/>
      <w:pStyle w:val="Heading1"/>
      <w:lvlText w:val="%1"/>
      <w:lvlJc w:val="left"/>
      <w:pPr>
        <w:tabs>
          <w:tab w:val="num" w:pos="432"/>
        </w:tabs>
        <w:ind w:left="432" w:hanging="432"/>
      </w:pPr>
      <w:rPr>
        <w:rFonts w:ascii="Arial Narrow" w:hAnsi="Arial Narrow" w:hint="default"/>
        <w:b/>
        <w:i w:val="0"/>
        <w:caps w:val="0"/>
        <w:strike w:val="0"/>
        <w:dstrike w:val="0"/>
        <w:outline w:val="0"/>
        <w:shadow w:val="0"/>
        <w:emboss w:val="0"/>
        <w:imprint w:val="0"/>
        <w:vanish w:val="0"/>
        <w:color w:val="808080"/>
        <w:sz w:val="24"/>
        <w:vertAlign w:val="baseline"/>
      </w:rPr>
    </w:lvl>
    <w:lvl w:ilvl="1">
      <w:start w:val="1"/>
      <w:numFmt w:val="decimal"/>
      <w:pStyle w:val="Heading2"/>
      <w:lvlText w:val="%1.%2"/>
      <w:lvlJc w:val="left"/>
      <w:pPr>
        <w:tabs>
          <w:tab w:val="num" w:pos="851"/>
        </w:tabs>
        <w:ind w:left="851" w:hanging="851"/>
      </w:pPr>
      <w:rPr>
        <w:rFonts w:ascii="Arial Narrow" w:hAnsi="Arial Narrow" w:hint="default"/>
        <w:b/>
        <w:i w:val="0"/>
        <w:color w:val="808080"/>
        <w:sz w:val="26"/>
        <w:szCs w:val="26"/>
      </w:rPr>
    </w:lvl>
    <w:lvl w:ilvl="2">
      <w:start w:val="1"/>
      <w:numFmt w:val="decimal"/>
      <w:pStyle w:val="Heading3"/>
      <w:lvlText w:val="%1.%2.%3"/>
      <w:lvlJc w:val="left"/>
      <w:pPr>
        <w:tabs>
          <w:tab w:val="num" w:pos="1361"/>
        </w:tabs>
        <w:ind w:left="1361" w:hanging="1361"/>
      </w:pPr>
      <w:rPr>
        <w:rFonts w:ascii="Arial Narrow" w:hAnsi="Arial Narrow" w:hint="default"/>
        <w:b/>
        <w:i w:val="0"/>
        <w:color w:val="808080"/>
        <w:sz w:val="22"/>
      </w:rPr>
    </w:lvl>
    <w:lvl w:ilvl="3">
      <w:start w:val="1"/>
      <w:numFmt w:val="decimal"/>
      <w:lvlText w:val="%1.%2.%3.%4"/>
      <w:lvlJc w:val="left"/>
      <w:pPr>
        <w:tabs>
          <w:tab w:val="num" w:pos="1928"/>
        </w:tabs>
        <w:ind w:left="1928" w:hanging="1928"/>
      </w:pPr>
      <w:rPr>
        <w:rFonts w:ascii="Arial Bold" w:hAnsi="Arial Bold" w:hint="default"/>
        <w:b/>
        <w:i/>
        <w:sz w:val="22"/>
      </w:rPr>
    </w:lvl>
    <w:lvl w:ilvl="4">
      <w:start w:val="1"/>
      <w:numFmt w:val="decimal"/>
      <w:lvlText w:val="%1.%2.%3.%4.%5"/>
      <w:lvlJc w:val="left"/>
      <w:pPr>
        <w:tabs>
          <w:tab w:val="num" w:pos="2495"/>
        </w:tabs>
        <w:ind w:left="2495" w:hanging="2495"/>
      </w:pPr>
      <w:rPr>
        <w:rFonts w:ascii="Arial" w:hAnsi="Arial" w:hint="default"/>
        <w:b w:val="0"/>
        <w:i/>
        <w:sz w:val="20"/>
      </w:rPr>
    </w:lvl>
    <w:lvl w:ilvl="5">
      <w:start w:val="1"/>
      <w:numFmt w:val="decimal"/>
      <w:lvlText w:val="%5.%1.%2.%3.%4.%6"/>
      <w:lvlJc w:val="left"/>
      <w:pPr>
        <w:tabs>
          <w:tab w:val="num" w:pos="2948"/>
        </w:tabs>
        <w:ind w:left="2948" w:hanging="2948"/>
      </w:pPr>
      <w:rPr>
        <w:rFonts w:ascii="Arial" w:hAnsi="Arial" w:hint="default"/>
        <w:b w:val="0"/>
        <w:i w:val="0"/>
        <w:sz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DA05534"/>
    <w:multiLevelType w:val="hybridMultilevel"/>
    <w:tmpl w:val="E1AC279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nsid w:val="6FBD6BDD"/>
    <w:multiLevelType w:val="hybridMultilevel"/>
    <w:tmpl w:val="71DA1A8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6"/>
  </w:num>
  <w:num w:numId="4">
    <w:abstractNumId w:val="7"/>
  </w:num>
  <w:num w:numId="5">
    <w:abstractNumId w:val="4"/>
  </w:num>
  <w:num w:numId="6">
    <w:abstractNumId w:val="8"/>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12"/>
  </w:num>
  <w:num w:numId="13">
    <w:abstractNumId w:val="10"/>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4221"/>
    <w:rsid w:val="00027475"/>
    <w:rsid w:val="00027DF1"/>
    <w:rsid w:val="0006643A"/>
    <w:rsid w:val="00067008"/>
    <w:rsid w:val="00067617"/>
    <w:rsid w:val="000749AE"/>
    <w:rsid w:val="00091328"/>
    <w:rsid w:val="000A1DB3"/>
    <w:rsid w:val="00112EA4"/>
    <w:rsid w:val="00144DA1"/>
    <w:rsid w:val="0017790C"/>
    <w:rsid w:val="001C6102"/>
    <w:rsid w:val="001C6164"/>
    <w:rsid w:val="001D5887"/>
    <w:rsid w:val="001F3188"/>
    <w:rsid w:val="002428FE"/>
    <w:rsid w:val="00255CEA"/>
    <w:rsid w:val="0026323A"/>
    <w:rsid w:val="00265AD1"/>
    <w:rsid w:val="00283E01"/>
    <w:rsid w:val="00297476"/>
    <w:rsid w:val="002C4C5F"/>
    <w:rsid w:val="002F0D9B"/>
    <w:rsid w:val="00305A78"/>
    <w:rsid w:val="00310A66"/>
    <w:rsid w:val="00312473"/>
    <w:rsid w:val="0034188C"/>
    <w:rsid w:val="003D2FE7"/>
    <w:rsid w:val="003E325C"/>
    <w:rsid w:val="00414399"/>
    <w:rsid w:val="004161D1"/>
    <w:rsid w:val="00496303"/>
    <w:rsid w:val="004B2828"/>
    <w:rsid w:val="004B69E1"/>
    <w:rsid w:val="004B779E"/>
    <w:rsid w:val="004C3A7A"/>
    <w:rsid w:val="004F2316"/>
    <w:rsid w:val="004F2BE8"/>
    <w:rsid w:val="0052127B"/>
    <w:rsid w:val="00575753"/>
    <w:rsid w:val="005959A5"/>
    <w:rsid w:val="0061207C"/>
    <w:rsid w:val="00633EE4"/>
    <w:rsid w:val="006447AD"/>
    <w:rsid w:val="00667D40"/>
    <w:rsid w:val="00671ED5"/>
    <w:rsid w:val="006A5D83"/>
    <w:rsid w:val="006A784A"/>
    <w:rsid w:val="006D40CE"/>
    <w:rsid w:val="0079456F"/>
    <w:rsid w:val="007C4C58"/>
    <w:rsid w:val="0080335A"/>
    <w:rsid w:val="00805197"/>
    <w:rsid w:val="00854221"/>
    <w:rsid w:val="00885595"/>
    <w:rsid w:val="008E40C1"/>
    <w:rsid w:val="00911F90"/>
    <w:rsid w:val="009643C6"/>
    <w:rsid w:val="009C7768"/>
    <w:rsid w:val="009E729E"/>
    <w:rsid w:val="00A233F3"/>
    <w:rsid w:val="00A271C7"/>
    <w:rsid w:val="00A378D4"/>
    <w:rsid w:val="00A56F32"/>
    <w:rsid w:val="00A603E4"/>
    <w:rsid w:val="00A85131"/>
    <w:rsid w:val="00A9211A"/>
    <w:rsid w:val="00AA1600"/>
    <w:rsid w:val="00B264ED"/>
    <w:rsid w:val="00B302FD"/>
    <w:rsid w:val="00BD654F"/>
    <w:rsid w:val="00BE5A18"/>
    <w:rsid w:val="00C23C9E"/>
    <w:rsid w:val="00C621E3"/>
    <w:rsid w:val="00C94AE6"/>
    <w:rsid w:val="00CE22CF"/>
    <w:rsid w:val="00D01A94"/>
    <w:rsid w:val="00D167E5"/>
    <w:rsid w:val="00D41454"/>
    <w:rsid w:val="00D75E2A"/>
    <w:rsid w:val="00DC1BB7"/>
    <w:rsid w:val="00DE21C8"/>
    <w:rsid w:val="00E00462"/>
    <w:rsid w:val="00E259CC"/>
    <w:rsid w:val="00E3507E"/>
    <w:rsid w:val="00E877B7"/>
    <w:rsid w:val="00EC3B90"/>
    <w:rsid w:val="00ED0759"/>
    <w:rsid w:val="00EF237B"/>
    <w:rsid w:val="00F03F1E"/>
    <w:rsid w:val="00F67B7F"/>
    <w:rsid w:val="00F90F01"/>
    <w:rsid w:val="00FB0F71"/>
    <w:rsid w:val="00FD0613"/>
    <w:rsid w:val="00FD1B9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221"/>
    <w:pPr>
      <w:jc w:val="both"/>
    </w:pPr>
    <w:rPr>
      <w:rFonts w:ascii="Arial" w:eastAsia="Times" w:hAnsi="Arial"/>
      <w:lang w:eastAsia="en-US"/>
    </w:rPr>
  </w:style>
  <w:style w:type="paragraph" w:styleId="Heading1">
    <w:name w:val="heading 1"/>
    <w:basedOn w:val="Normal"/>
    <w:next w:val="Normal"/>
    <w:link w:val="Heading1Char"/>
    <w:qFormat/>
    <w:rsid w:val="00854221"/>
    <w:pPr>
      <w:keepNext/>
      <w:pageBreakBefore/>
      <w:numPr>
        <w:numId w:val="2"/>
      </w:numPr>
      <w:tabs>
        <w:tab w:val="left" w:pos="340"/>
      </w:tabs>
      <w:spacing w:before="120" w:after="240"/>
      <w:outlineLvl w:val="0"/>
    </w:pPr>
    <w:rPr>
      <w:rFonts w:ascii="Arial Narrow" w:hAnsi="Arial Narrow"/>
      <w:b/>
      <w:caps/>
      <w:color w:val="808080"/>
      <w:sz w:val="26"/>
    </w:rPr>
  </w:style>
  <w:style w:type="paragraph" w:styleId="Heading2">
    <w:name w:val="heading 2"/>
    <w:basedOn w:val="Normal"/>
    <w:next w:val="Normal"/>
    <w:link w:val="Heading2Char"/>
    <w:qFormat/>
    <w:rsid w:val="00854221"/>
    <w:pPr>
      <w:keepNext/>
      <w:numPr>
        <w:ilvl w:val="1"/>
        <w:numId w:val="2"/>
      </w:numPr>
      <w:tabs>
        <w:tab w:val="left" w:pos="567"/>
      </w:tabs>
      <w:spacing w:before="120" w:after="240"/>
      <w:outlineLvl w:val="1"/>
    </w:pPr>
    <w:rPr>
      <w:rFonts w:ascii="Arial Narrow" w:hAnsi="Arial Narrow"/>
      <w:b/>
      <w:smallCaps/>
      <w:color w:val="808080"/>
      <w:sz w:val="26"/>
      <w:szCs w:val="24"/>
    </w:rPr>
  </w:style>
  <w:style w:type="paragraph" w:styleId="Heading3">
    <w:name w:val="heading 3"/>
    <w:basedOn w:val="Normal"/>
    <w:next w:val="Normal"/>
    <w:link w:val="Heading3Char"/>
    <w:qFormat/>
    <w:rsid w:val="00854221"/>
    <w:pPr>
      <w:keepNext/>
      <w:numPr>
        <w:ilvl w:val="2"/>
        <w:numId w:val="2"/>
      </w:numPr>
      <w:tabs>
        <w:tab w:val="left" w:pos="567"/>
      </w:tabs>
      <w:spacing w:before="120" w:after="240"/>
      <w:outlineLvl w:val="2"/>
    </w:pPr>
    <w:rPr>
      <w:rFonts w:ascii="Arial Narrow" w:hAnsi="Arial Narrow"/>
      <w:b/>
      <w:color w:val="808080"/>
      <w:spacing w:val="4"/>
      <w:sz w:val="22"/>
      <w:szCs w:val="22"/>
    </w:rPr>
  </w:style>
  <w:style w:type="paragraph" w:styleId="Heading4">
    <w:name w:val="heading 4"/>
    <w:basedOn w:val="Normal"/>
    <w:next w:val="Normal"/>
    <w:link w:val="Heading4Char"/>
    <w:qFormat/>
    <w:rsid w:val="00854221"/>
    <w:pPr>
      <w:keepNext/>
      <w:tabs>
        <w:tab w:val="left" w:pos="851"/>
      </w:tabs>
      <w:spacing w:before="120" w:after="120"/>
      <w:outlineLvl w:val="3"/>
    </w:pPr>
    <w:rPr>
      <w:rFonts w:ascii="Arial Narrow" w:hAnsi="Arial Narrow"/>
      <w:b/>
      <w:i/>
      <w:color w:val="808080"/>
      <w:sz w:val="22"/>
    </w:rPr>
  </w:style>
  <w:style w:type="paragraph" w:styleId="Heading6">
    <w:name w:val="heading 6"/>
    <w:basedOn w:val="Normal"/>
    <w:next w:val="Normal"/>
    <w:link w:val="Heading6Char"/>
    <w:qFormat/>
    <w:rsid w:val="00854221"/>
    <w:pPr>
      <w:tabs>
        <w:tab w:val="left" w:pos="1134"/>
      </w:tabs>
      <w:spacing w:before="120" w:after="120"/>
      <w:outlineLvl w:val="5"/>
    </w:pPr>
    <w:rPr>
      <w:rFonts w:ascii="Arial Narrow" w:hAnsi="Arial Narrow"/>
      <w:b/>
      <w:i/>
      <w:color w:val="808080"/>
    </w:rPr>
  </w:style>
  <w:style w:type="paragraph" w:styleId="Heading7">
    <w:name w:val="heading 7"/>
    <w:basedOn w:val="Normal"/>
    <w:next w:val="Normal"/>
    <w:link w:val="Heading7Char"/>
    <w:qFormat/>
    <w:rsid w:val="00854221"/>
    <w:pPr>
      <w:numPr>
        <w:ilvl w:val="6"/>
        <w:numId w:val="2"/>
      </w:numPr>
      <w:spacing w:before="240" w:after="60"/>
      <w:outlineLvl w:val="6"/>
    </w:pPr>
  </w:style>
  <w:style w:type="paragraph" w:styleId="Heading8">
    <w:name w:val="heading 8"/>
    <w:basedOn w:val="Normal"/>
    <w:next w:val="Normal"/>
    <w:link w:val="Heading8Char"/>
    <w:qFormat/>
    <w:rsid w:val="00854221"/>
    <w:pPr>
      <w:numPr>
        <w:ilvl w:val="7"/>
        <w:numId w:val="2"/>
      </w:numPr>
      <w:spacing w:before="240" w:after="60"/>
      <w:outlineLvl w:val="7"/>
    </w:pPr>
    <w:rPr>
      <w:i/>
    </w:rPr>
  </w:style>
  <w:style w:type="paragraph" w:styleId="Heading9">
    <w:name w:val="heading 9"/>
    <w:basedOn w:val="Normal"/>
    <w:next w:val="Normal"/>
    <w:link w:val="Heading9Char"/>
    <w:qFormat/>
    <w:rsid w:val="00854221"/>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221"/>
    <w:rPr>
      <w:rFonts w:ascii="Arial Narrow" w:eastAsia="Times" w:hAnsi="Arial Narrow"/>
      <w:b/>
      <w:caps/>
      <w:color w:val="808080"/>
      <w:sz w:val="26"/>
      <w:lang w:val="en-GB" w:eastAsia="en-US" w:bidi="ar-SA"/>
    </w:rPr>
  </w:style>
  <w:style w:type="character" w:customStyle="1" w:styleId="Heading2Char">
    <w:name w:val="Heading 2 Char"/>
    <w:basedOn w:val="DefaultParagraphFont"/>
    <w:link w:val="Heading2"/>
    <w:rsid w:val="00854221"/>
    <w:rPr>
      <w:rFonts w:ascii="Arial Narrow" w:eastAsia="Times" w:hAnsi="Arial Narrow"/>
      <w:b/>
      <w:smallCaps/>
      <w:color w:val="808080"/>
      <w:sz w:val="26"/>
      <w:szCs w:val="24"/>
      <w:lang w:val="en-GB" w:eastAsia="en-US" w:bidi="ar-SA"/>
    </w:rPr>
  </w:style>
  <w:style w:type="character" w:customStyle="1" w:styleId="Heading3Char">
    <w:name w:val="Heading 3 Char"/>
    <w:basedOn w:val="DefaultParagraphFont"/>
    <w:link w:val="Heading3"/>
    <w:rsid w:val="00854221"/>
    <w:rPr>
      <w:rFonts w:ascii="Arial Narrow" w:eastAsia="Times" w:hAnsi="Arial Narrow"/>
      <w:b/>
      <w:color w:val="808080"/>
      <w:spacing w:val="4"/>
      <w:sz w:val="22"/>
      <w:szCs w:val="22"/>
      <w:lang w:val="en-GB" w:eastAsia="en-US" w:bidi="ar-SA"/>
    </w:rPr>
  </w:style>
  <w:style w:type="character" w:customStyle="1" w:styleId="Heading4Char">
    <w:name w:val="Heading 4 Char"/>
    <w:basedOn w:val="DefaultParagraphFont"/>
    <w:link w:val="Heading4"/>
    <w:rsid w:val="00854221"/>
    <w:rPr>
      <w:rFonts w:ascii="Arial Narrow" w:eastAsia="Times" w:hAnsi="Arial Narrow"/>
      <w:b/>
      <w:i/>
      <w:color w:val="808080"/>
      <w:sz w:val="22"/>
      <w:lang w:val="en-GB" w:eastAsia="en-US" w:bidi="ar-SA"/>
    </w:rPr>
  </w:style>
  <w:style w:type="character" w:customStyle="1" w:styleId="Heading6Char">
    <w:name w:val="Heading 6 Char"/>
    <w:basedOn w:val="DefaultParagraphFont"/>
    <w:link w:val="Heading6"/>
    <w:rsid w:val="00854221"/>
    <w:rPr>
      <w:rFonts w:ascii="Arial Narrow" w:eastAsia="Times" w:hAnsi="Arial Narrow"/>
      <w:b/>
      <w:i/>
      <w:color w:val="808080"/>
      <w:lang w:val="en-GB" w:eastAsia="en-US" w:bidi="ar-SA"/>
    </w:rPr>
  </w:style>
  <w:style w:type="character" w:customStyle="1" w:styleId="Heading7Char">
    <w:name w:val="Heading 7 Char"/>
    <w:basedOn w:val="DefaultParagraphFont"/>
    <w:link w:val="Heading7"/>
    <w:rsid w:val="00854221"/>
    <w:rPr>
      <w:rFonts w:ascii="Arial" w:eastAsia="Times" w:hAnsi="Arial"/>
      <w:lang w:val="en-GB" w:eastAsia="en-US" w:bidi="ar-SA"/>
    </w:rPr>
  </w:style>
  <w:style w:type="character" w:customStyle="1" w:styleId="Heading8Char">
    <w:name w:val="Heading 8 Char"/>
    <w:basedOn w:val="DefaultParagraphFont"/>
    <w:link w:val="Heading8"/>
    <w:rsid w:val="00854221"/>
    <w:rPr>
      <w:rFonts w:ascii="Arial" w:eastAsia="Times" w:hAnsi="Arial"/>
      <w:i/>
      <w:lang w:val="en-GB" w:eastAsia="en-US" w:bidi="ar-SA"/>
    </w:rPr>
  </w:style>
  <w:style w:type="character" w:customStyle="1" w:styleId="Heading9Char">
    <w:name w:val="Heading 9 Char"/>
    <w:basedOn w:val="DefaultParagraphFont"/>
    <w:link w:val="Heading9"/>
    <w:rsid w:val="00854221"/>
    <w:rPr>
      <w:rFonts w:ascii="Arial" w:eastAsia="Times" w:hAnsi="Arial"/>
      <w:b/>
      <w:i/>
      <w:sz w:val="18"/>
      <w:lang w:val="en-GB" w:eastAsia="en-US" w:bidi="ar-SA"/>
    </w:rPr>
  </w:style>
  <w:style w:type="paragraph" w:customStyle="1" w:styleId="BulletPoint">
    <w:name w:val="Bullet Point"/>
    <w:basedOn w:val="Normal"/>
    <w:rsid w:val="00854221"/>
    <w:pPr>
      <w:numPr>
        <w:numId w:val="1"/>
      </w:numPr>
      <w:tabs>
        <w:tab w:val="clear" w:pos="360"/>
        <w:tab w:val="left" w:pos="425"/>
      </w:tabs>
      <w:spacing w:before="120"/>
      <w:ind w:left="425" w:hanging="425"/>
    </w:pPr>
    <w:rPr>
      <w:rFonts w:eastAsia="Times New Roman"/>
    </w:rPr>
  </w:style>
  <w:style w:type="paragraph" w:styleId="BodyText">
    <w:name w:val="Body Text"/>
    <w:basedOn w:val="Normal"/>
    <w:link w:val="BodyTextChar"/>
    <w:rsid w:val="00854221"/>
    <w:pPr>
      <w:spacing w:before="60" w:after="60"/>
      <w:jc w:val="left"/>
    </w:pPr>
    <w:rPr>
      <w:rFonts w:eastAsia="Times New Roman"/>
      <w:sz w:val="18"/>
      <w:szCs w:val="18"/>
    </w:rPr>
  </w:style>
  <w:style w:type="character" w:customStyle="1" w:styleId="BodyTextChar">
    <w:name w:val="Body Text Char"/>
    <w:basedOn w:val="DefaultParagraphFont"/>
    <w:link w:val="BodyText"/>
    <w:rsid w:val="00854221"/>
    <w:rPr>
      <w:rFonts w:ascii="Arial" w:hAnsi="Arial"/>
      <w:sz w:val="18"/>
      <w:szCs w:val="18"/>
      <w:lang w:val="en-GB" w:eastAsia="en-US" w:bidi="ar-SA"/>
    </w:rPr>
  </w:style>
  <w:style w:type="paragraph" w:styleId="Footer">
    <w:name w:val="footer"/>
    <w:basedOn w:val="Normal"/>
    <w:link w:val="FooterChar"/>
    <w:rsid w:val="00854221"/>
    <w:pPr>
      <w:tabs>
        <w:tab w:val="center" w:pos="4153"/>
        <w:tab w:val="right" w:pos="8306"/>
      </w:tabs>
    </w:pPr>
  </w:style>
  <w:style w:type="character" w:customStyle="1" w:styleId="FooterChar">
    <w:name w:val="Footer Char"/>
    <w:basedOn w:val="DefaultParagraphFont"/>
    <w:link w:val="Footer"/>
    <w:rsid w:val="00854221"/>
    <w:rPr>
      <w:rFonts w:ascii="Arial" w:eastAsia="Times" w:hAnsi="Arial"/>
      <w:lang w:val="en-GB" w:eastAsia="en-US" w:bidi="ar-SA"/>
    </w:rPr>
  </w:style>
  <w:style w:type="paragraph" w:customStyle="1" w:styleId="BulletPoint2">
    <w:name w:val="Bullet Point 2"/>
    <w:basedOn w:val="Normal"/>
    <w:rsid w:val="00854221"/>
    <w:pPr>
      <w:numPr>
        <w:numId w:val="5"/>
      </w:numPr>
      <w:tabs>
        <w:tab w:val="clear" w:pos="700"/>
        <w:tab w:val="left" w:pos="822"/>
      </w:tabs>
      <w:spacing w:after="120"/>
      <w:ind w:left="822" w:hanging="397"/>
    </w:pPr>
    <w:rPr>
      <w:rFonts w:eastAsia="Times New Roman"/>
      <w:lang w:eastAsia="fr-FR"/>
    </w:rPr>
  </w:style>
  <w:style w:type="paragraph" w:customStyle="1" w:styleId="BulletPoint3">
    <w:name w:val="Bullet Point 3"/>
    <w:basedOn w:val="Normal"/>
    <w:rsid w:val="00854221"/>
    <w:pPr>
      <w:numPr>
        <w:numId w:val="4"/>
      </w:numPr>
      <w:spacing w:after="120"/>
    </w:pPr>
    <w:rPr>
      <w:rFonts w:eastAsia="Times New Roman"/>
      <w:lang w:eastAsia="fr-FR"/>
    </w:rPr>
  </w:style>
  <w:style w:type="paragraph" w:styleId="Caption">
    <w:name w:val="caption"/>
    <w:aliases w:val="Caption2,Inscription Char"/>
    <w:basedOn w:val="Normal"/>
    <w:next w:val="Normal"/>
    <w:link w:val="CaptionChar"/>
    <w:qFormat/>
    <w:rsid w:val="00854221"/>
    <w:pPr>
      <w:spacing w:before="120" w:after="120"/>
      <w:jc w:val="center"/>
    </w:pPr>
    <w:rPr>
      <w:rFonts w:eastAsia="Times New Roman"/>
      <w:b/>
      <w:bCs/>
    </w:rPr>
  </w:style>
  <w:style w:type="character" w:customStyle="1" w:styleId="CaptionChar">
    <w:name w:val="Caption Char"/>
    <w:aliases w:val="Caption2 Char,Inscription Char Char"/>
    <w:basedOn w:val="DefaultParagraphFont"/>
    <w:link w:val="Caption"/>
    <w:locked/>
    <w:rsid w:val="00854221"/>
    <w:rPr>
      <w:rFonts w:ascii="Arial" w:hAnsi="Arial"/>
      <w:b/>
      <w:bCs/>
      <w:lang w:val="en-GB" w:eastAsia="en-US" w:bidi="ar-SA"/>
    </w:rPr>
  </w:style>
  <w:style w:type="paragraph" w:customStyle="1" w:styleId="BodyTextHeader">
    <w:name w:val="Body Text Header"/>
    <w:basedOn w:val="BodyText"/>
    <w:rsid w:val="00854221"/>
    <w:pPr>
      <w:jc w:val="center"/>
    </w:pPr>
    <w:rPr>
      <w:rFonts w:cs="Arial"/>
      <w:b/>
    </w:rPr>
  </w:style>
  <w:style w:type="paragraph" w:customStyle="1" w:styleId="NumberedPoint">
    <w:name w:val="Numbered Point"/>
    <w:basedOn w:val="Normal"/>
    <w:rsid w:val="00854221"/>
    <w:pPr>
      <w:numPr>
        <w:numId w:val="8"/>
      </w:numPr>
      <w:tabs>
        <w:tab w:val="left" w:pos="425"/>
      </w:tabs>
      <w:spacing w:before="120"/>
      <w:ind w:left="425" w:hanging="425"/>
    </w:pPr>
    <w:rPr>
      <w:rFonts w:eastAsia="Times New Roman"/>
      <w:lang w:eastAsia="fr-FR"/>
    </w:rPr>
  </w:style>
  <w:style w:type="paragraph" w:styleId="TableofFigures">
    <w:name w:val="table of figures"/>
    <w:basedOn w:val="Normal"/>
    <w:next w:val="Normal"/>
    <w:rsid w:val="00854221"/>
    <w:pPr>
      <w:ind w:left="400" w:hanging="400"/>
    </w:pPr>
    <w:rPr>
      <w:smallCaps/>
    </w:rPr>
  </w:style>
  <w:style w:type="paragraph" w:styleId="Header">
    <w:name w:val="header"/>
    <w:basedOn w:val="Normal"/>
    <w:next w:val="Normal"/>
    <w:link w:val="HeaderChar"/>
    <w:rsid w:val="00854221"/>
    <w:pPr>
      <w:spacing w:before="200" w:after="200"/>
    </w:pPr>
    <w:rPr>
      <w:rFonts w:ascii="Arial Narrow" w:hAnsi="Arial Narrow"/>
      <w:b/>
      <w:caps/>
      <w:color w:val="808080"/>
      <w:sz w:val="24"/>
    </w:rPr>
  </w:style>
  <w:style w:type="character" w:customStyle="1" w:styleId="HeaderChar">
    <w:name w:val="Header Char"/>
    <w:basedOn w:val="DefaultParagraphFont"/>
    <w:link w:val="Header"/>
    <w:rsid w:val="00854221"/>
    <w:rPr>
      <w:rFonts w:ascii="Arial Narrow" w:eastAsia="Times" w:hAnsi="Arial Narrow"/>
      <w:b/>
      <w:caps/>
      <w:color w:val="808080"/>
      <w:sz w:val="24"/>
      <w:lang w:val="en-GB" w:eastAsia="en-US" w:bidi="ar-SA"/>
    </w:rPr>
  </w:style>
  <w:style w:type="paragraph" w:styleId="FootnoteText">
    <w:name w:val="footnote text"/>
    <w:basedOn w:val="Normal"/>
    <w:link w:val="FootnoteTextChar"/>
    <w:semiHidden/>
    <w:rsid w:val="00854221"/>
    <w:pPr>
      <w:tabs>
        <w:tab w:val="left" w:pos="284"/>
      </w:tabs>
      <w:suppressAutoHyphens/>
      <w:ind w:left="284" w:hanging="284"/>
    </w:pPr>
    <w:rPr>
      <w:rFonts w:eastAsia="Times New Roman"/>
      <w:sz w:val="18"/>
    </w:rPr>
  </w:style>
  <w:style w:type="character" w:customStyle="1" w:styleId="FootnoteTextChar">
    <w:name w:val="Footnote Text Char"/>
    <w:basedOn w:val="DefaultParagraphFont"/>
    <w:link w:val="FootnoteText"/>
    <w:semiHidden/>
    <w:rsid w:val="00854221"/>
    <w:rPr>
      <w:rFonts w:ascii="Arial" w:hAnsi="Arial"/>
      <w:sz w:val="18"/>
      <w:lang w:val="en-GB" w:eastAsia="en-US" w:bidi="ar-SA"/>
    </w:rPr>
  </w:style>
  <w:style w:type="paragraph" w:styleId="Index1">
    <w:name w:val="index 1"/>
    <w:basedOn w:val="Normal"/>
    <w:next w:val="Normal"/>
    <w:autoRedefine/>
    <w:semiHidden/>
    <w:rsid w:val="00854221"/>
    <w:pPr>
      <w:ind w:left="200" w:hanging="200"/>
    </w:pPr>
  </w:style>
  <w:style w:type="paragraph" w:customStyle="1" w:styleId="TableBullet1">
    <w:name w:val="Table Bullet 1"/>
    <w:basedOn w:val="BodyText"/>
    <w:rsid w:val="00854221"/>
    <w:pPr>
      <w:numPr>
        <w:numId w:val="7"/>
      </w:numPr>
      <w:tabs>
        <w:tab w:val="clear" w:pos="113"/>
        <w:tab w:val="num" w:pos="360"/>
      </w:tabs>
      <w:ind w:left="113" w:hanging="113"/>
    </w:pPr>
    <w:rPr>
      <w:rFonts w:cs="Arial"/>
      <w:bCs/>
    </w:rPr>
  </w:style>
  <w:style w:type="paragraph" w:customStyle="1" w:styleId="TableBullet2">
    <w:name w:val="Table Bullet 2"/>
    <w:basedOn w:val="BodyText"/>
    <w:rsid w:val="00854221"/>
    <w:pPr>
      <w:numPr>
        <w:numId w:val="6"/>
      </w:numPr>
      <w:tabs>
        <w:tab w:val="clear" w:pos="284"/>
        <w:tab w:val="left" w:pos="170"/>
        <w:tab w:val="num" w:pos="360"/>
      </w:tabs>
      <w:ind w:left="283" w:hanging="170"/>
    </w:pPr>
  </w:style>
  <w:style w:type="paragraph" w:styleId="PlainText">
    <w:name w:val="Plain Text"/>
    <w:basedOn w:val="Normal"/>
    <w:link w:val="PlainTextChar"/>
    <w:rsid w:val="00854221"/>
    <w:rPr>
      <w:rFonts w:ascii="Courier New" w:eastAsia="Times New Roman" w:hAnsi="Courier New" w:cs="Courier New"/>
      <w:lang w:val="en-US"/>
    </w:rPr>
  </w:style>
  <w:style w:type="character" w:customStyle="1" w:styleId="PlainTextChar">
    <w:name w:val="Plain Text Char"/>
    <w:basedOn w:val="DefaultParagraphFont"/>
    <w:link w:val="PlainText"/>
    <w:rsid w:val="00854221"/>
    <w:rPr>
      <w:rFonts w:ascii="Courier New" w:hAnsi="Courier New" w:cs="Courier New"/>
      <w:lang w:val="en-US" w:eastAsia="en-US" w:bidi="ar-SA"/>
    </w:rPr>
  </w:style>
  <w:style w:type="paragraph" w:customStyle="1" w:styleId="Source">
    <w:name w:val="Source"/>
    <w:basedOn w:val="Normal"/>
    <w:rsid w:val="00854221"/>
    <w:pPr>
      <w:ind w:left="567"/>
    </w:pPr>
    <w:rPr>
      <w:rFonts w:cs="Arial"/>
      <w:i/>
      <w:sz w:val="18"/>
    </w:rPr>
  </w:style>
  <w:style w:type="paragraph" w:customStyle="1" w:styleId="StyleBodyTextHeaderCentered">
    <w:name w:val="Style Body Text Header + Centered"/>
    <w:basedOn w:val="BodyTextHeader"/>
    <w:rsid w:val="00854221"/>
    <w:rPr>
      <w:rFonts w:cs="Times New Roman"/>
      <w:bCs/>
      <w:szCs w:val="20"/>
    </w:rPr>
  </w:style>
  <w:style w:type="paragraph" w:customStyle="1" w:styleId="Style2tableau">
    <w:name w:val="Style2tableau"/>
    <w:basedOn w:val="Normal"/>
    <w:rsid w:val="00854221"/>
    <w:pPr>
      <w:suppressAutoHyphens/>
    </w:pPr>
    <w:rPr>
      <w:rFonts w:eastAsia="Times New Roman"/>
      <w:szCs w:val="22"/>
      <w:lang w:eastAsia="ar-SA"/>
    </w:rPr>
  </w:style>
  <w:style w:type="character" w:customStyle="1" w:styleId="Caractredenotedebasdepage">
    <w:name w:val="Caractère de note de bas de page"/>
    <w:basedOn w:val="DefaultParagraphFont"/>
    <w:rsid w:val="00854221"/>
    <w:rPr>
      <w:vertAlign w:val="superscript"/>
    </w:rPr>
  </w:style>
  <w:style w:type="paragraph" w:styleId="BalloonText">
    <w:name w:val="Balloon Text"/>
    <w:basedOn w:val="Normal"/>
    <w:link w:val="BalloonTextChar"/>
    <w:rsid w:val="00854221"/>
    <w:rPr>
      <w:rFonts w:ascii="Tahoma" w:hAnsi="Tahoma" w:cs="Tahoma"/>
      <w:sz w:val="16"/>
      <w:szCs w:val="16"/>
    </w:rPr>
  </w:style>
  <w:style w:type="character" w:customStyle="1" w:styleId="BalloonTextChar">
    <w:name w:val="Balloon Text Char"/>
    <w:basedOn w:val="DefaultParagraphFont"/>
    <w:link w:val="BalloonText"/>
    <w:rsid w:val="00854221"/>
    <w:rPr>
      <w:rFonts w:ascii="Tahoma" w:eastAsia="Times" w:hAnsi="Tahoma" w:cs="Tahoma"/>
      <w:sz w:val="16"/>
      <w:szCs w:val="16"/>
      <w:lang w:val="en-GB" w:eastAsia="en-US" w:bidi="ar-SA"/>
    </w:rPr>
  </w:style>
  <w:style w:type="paragraph" w:styleId="CommentText">
    <w:name w:val="annotation text"/>
    <w:basedOn w:val="Normal"/>
    <w:link w:val="CommentTextChar"/>
    <w:unhideWhenUsed/>
    <w:rsid w:val="00854221"/>
  </w:style>
  <w:style w:type="character" w:customStyle="1" w:styleId="CommentTextChar">
    <w:name w:val="Comment Text Char"/>
    <w:basedOn w:val="DefaultParagraphFont"/>
    <w:link w:val="CommentText"/>
    <w:rsid w:val="00854221"/>
    <w:rPr>
      <w:rFonts w:ascii="Arial" w:eastAsia="Times" w:hAnsi="Arial"/>
      <w:lang w:val="en-GB" w:eastAsia="en-US" w:bidi="ar-SA"/>
    </w:rPr>
  </w:style>
  <w:style w:type="character" w:styleId="FootnoteReference">
    <w:name w:val="footnote reference"/>
    <w:basedOn w:val="DefaultParagraphFont"/>
    <w:unhideWhenUsed/>
    <w:rsid w:val="00854221"/>
    <w:rPr>
      <w:vertAlign w:val="superscript"/>
    </w:rPr>
  </w:style>
  <w:style w:type="paragraph" w:customStyle="1" w:styleId="sourcetableaux">
    <w:name w:val="source tableaux"/>
    <w:basedOn w:val="Normal"/>
    <w:rsid w:val="00854221"/>
    <w:pPr>
      <w:suppressAutoHyphens/>
    </w:pPr>
    <w:rPr>
      <w:rFonts w:eastAsia="Times New Roman"/>
      <w:szCs w:val="22"/>
      <w:lang w:eastAsia="ar-SA"/>
    </w:rPr>
  </w:style>
  <w:style w:type="paragraph" w:customStyle="1" w:styleId="titretableaux">
    <w:name w:val="titre tableaux"/>
    <w:basedOn w:val="Normal"/>
    <w:rsid w:val="00854221"/>
    <w:pPr>
      <w:suppressAutoHyphens/>
      <w:jc w:val="center"/>
    </w:pPr>
    <w:rPr>
      <w:rFonts w:eastAsia="Times New Roman"/>
      <w:b/>
      <w:szCs w:val="22"/>
      <w:u w:val="single"/>
      <w:lang w:eastAsia="ar-SA"/>
    </w:rPr>
  </w:style>
  <w:style w:type="character" w:styleId="Hyperlink">
    <w:name w:val="Hyperlink"/>
    <w:basedOn w:val="DefaultParagraphFont"/>
    <w:rsid w:val="0017790C"/>
    <w:rPr>
      <w:rFonts w:ascii="Arial" w:hAnsi="Arial"/>
      <w:color w:val="auto"/>
      <w:u w:val="single"/>
    </w:rPr>
  </w:style>
  <w:style w:type="character" w:styleId="Strong">
    <w:name w:val="Strong"/>
    <w:basedOn w:val="DefaultParagraphFont"/>
    <w:uiPriority w:val="22"/>
    <w:qFormat/>
    <w:rsid w:val="0017790C"/>
    <w:rPr>
      <w:b/>
      <w:bCs/>
    </w:rPr>
  </w:style>
  <w:style w:type="paragraph" w:styleId="NormalWeb">
    <w:name w:val="Normal (Web)"/>
    <w:basedOn w:val="Normal"/>
    <w:unhideWhenUsed/>
    <w:rsid w:val="00B264ED"/>
    <w:pPr>
      <w:spacing w:before="100" w:beforeAutospacing="1" w:after="100" w:afterAutospacing="1"/>
    </w:pPr>
    <w:rPr>
      <w:rFonts w:ascii="Arial Unicode MS" w:eastAsia="Arial Unicode MS" w:hAnsi="Arial Unicode MS"/>
      <w:sz w:val="24"/>
      <w:szCs w:val="24"/>
      <w:lang w:val="it-IT" w:eastAsia="it-IT"/>
    </w:rPr>
  </w:style>
  <w:style w:type="character" w:styleId="HTMLTypewriter">
    <w:name w:val="HTML Typewriter"/>
    <w:basedOn w:val="DefaultParagraphFont"/>
    <w:unhideWhenUsed/>
    <w:rsid w:val="002F0D9B"/>
    <w:rPr>
      <w:rFonts w:ascii="Courier New" w:eastAsia="Times New Roman" w:hAnsi="Courier New" w:cs="Courier New" w:hint="default"/>
      <w:sz w:val="20"/>
      <w:szCs w:val="20"/>
    </w:rPr>
  </w:style>
  <w:style w:type="character" w:styleId="Emphasis">
    <w:name w:val="Emphasis"/>
    <w:basedOn w:val="DefaultParagraphFont"/>
    <w:uiPriority w:val="20"/>
    <w:qFormat/>
    <w:rsid w:val="00FD1B91"/>
    <w:rPr>
      <w:i/>
      <w:iCs/>
    </w:rPr>
  </w:style>
  <w:style w:type="paragraph" w:customStyle="1" w:styleId="Default">
    <w:name w:val="Default"/>
    <w:rsid w:val="00C23C9E"/>
    <w:pPr>
      <w:autoSpaceDE w:val="0"/>
      <w:autoSpaceDN w:val="0"/>
      <w:adjustRightInd w:val="0"/>
    </w:pPr>
    <w:rPr>
      <w:rFonts w:ascii="Tw Cen MT" w:eastAsia="Calibri" w:hAnsi="Tw Cen MT" w:cs="Tw Cen MT"/>
      <w:color w:val="000000"/>
      <w:sz w:val="24"/>
      <w:szCs w:val="24"/>
    </w:rPr>
  </w:style>
  <w:style w:type="character" w:styleId="CommentReference">
    <w:name w:val="annotation reference"/>
    <w:basedOn w:val="DefaultParagraphFont"/>
    <w:semiHidden/>
    <w:rsid w:val="006A5D83"/>
    <w:rPr>
      <w:sz w:val="16"/>
      <w:szCs w:val="16"/>
    </w:rPr>
  </w:style>
  <w:style w:type="paragraph" w:styleId="CommentSubject">
    <w:name w:val="annotation subject"/>
    <w:basedOn w:val="CommentText"/>
    <w:next w:val="CommentText"/>
    <w:semiHidden/>
    <w:rsid w:val="006A5D83"/>
    <w:rPr>
      <w:b/>
      <w:bCs/>
    </w:rPr>
  </w:style>
  <w:style w:type="character" w:customStyle="1" w:styleId="headertext">
    <w:name w:val="headertext"/>
    <w:basedOn w:val="DefaultParagraphFont"/>
    <w:rsid w:val="001C6102"/>
  </w:style>
</w:styles>
</file>

<file path=word/webSettings.xml><?xml version="1.0" encoding="utf-8"?>
<w:webSettings xmlns:r="http://schemas.openxmlformats.org/officeDocument/2006/relationships" xmlns:w="http://schemas.openxmlformats.org/wordprocessingml/2006/main">
  <w:divs>
    <w:div w:id="150295302">
      <w:bodyDiv w:val="1"/>
      <w:marLeft w:val="0"/>
      <w:marRight w:val="0"/>
      <w:marTop w:val="0"/>
      <w:marBottom w:val="0"/>
      <w:divBdr>
        <w:top w:val="none" w:sz="0" w:space="0" w:color="auto"/>
        <w:left w:val="none" w:sz="0" w:space="0" w:color="auto"/>
        <w:bottom w:val="none" w:sz="0" w:space="0" w:color="auto"/>
        <w:right w:val="none" w:sz="0" w:space="0" w:color="auto"/>
      </w:divBdr>
    </w:div>
    <w:div w:id="465507519">
      <w:bodyDiv w:val="1"/>
      <w:marLeft w:val="0"/>
      <w:marRight w:val="0"/>
      <w:marTop w:val="0"/>
      <w:marBottom w:val="0"/>
      <w:divBdr>
        <w:top w:val="none" w:sz="0" w:space="0" w:color="auto"/>
        <w:left w:val="none" w:sz="0" w:space="0" w:color="auto"/>
        <w:bottom w:val="none" w:sz="0" w:space="0" w:color="auto"/>
        <w:right w:val="none" w:sz="0" w:space="0" w:color="auto"/>
      </w:divBdr>
    </w:div>
    <w:div w:id="488710051">
      <w:bodyDiv w:val="1"/>
      <w:marLeft w:val="0"/>
      <w:marRight w:val="0"/>
      <w:marTop w:val="0"/>
      <w:marBottom w:val="0"/>
      <w:divBdr>
        <w:top w:val="none" w:sz="0" w:space="0" w:color="auto"/>
        <w:left w:val="none" w:sz="0" w:space="0" w:color="auto"/>
        <w:bottom w:val="none" w:sz="0" w:space="0" w:color="auto"/>
        <w:right w:val="none" w:sz="0" w:space="0" w:color="auto"/>
      </w:divBdr>
    </w:div>
    <w:div w:id="627275449">
      <w:bodyDiv w:val="1"/>
      <w:marLeft w:val="0"/>
      <w:marRight w:val="0"/>
      <w:marTop w:val="0"/>
      <w:marBottom w:val="0"/>
      <w:divBdr>
        <w:top w:val="none" w:sz="0" w:space="0" w:color="auto"/>
        <w:left w:val="none" w:sz="0" w:space="0" w:color="auto"/>
        <w:bottom w:val="none" w:sz="0" w:space="0" w:color="auto"/>
        <w:right w:val="none" w:sz="0" w:space="0" w:color="auto"/>
      </w:divBdr>
    </w:div>
    <w:div w:id="1240099415">
      <w:bodyDiv w:val="1"/>
      <w:marLeft w:val="0"/>
      <w:marRight w:val="0"/>
      <w:marTop w:val="0"/>
      <w:marBottom w:val="0"/>
      <w:divBdr>
        <w:top w:val="none" w:sz="0" w:space="0" w:color="auto"/>
        <w:left w:val="none" w:sz="0" w:space="0" w:color="auto"/>
        <w:bottom w:val="none" w:sz="0" w:space="0" w:color="auto"/>
        <w:right w:val="none" w:sz="0" w:space="0" w:color="auto"/>
      </w:divBdr>
    </w:div>
    <w:div w:id="1268275132">
      <w:bodyDiv w:val="1"/>
      <w:marLeft w:val="0"/>
      <w:marRight w:val="0"/>
      <w:marTop w:val="0"/>
      <w:marBottom w:val="0"/>
      <w:divBdr>
        <w:top w:val="none" w:sz="0" w:space="0" w:color="auto"/>
        <w:left w:val="none" w:sz="0" w:space="0" w:color="auto"/>
        <w:bottom w:val="none" w:sz="0" w:space="0" w:color="auto"/>
        <w:right w:val="none" w:sz="0" w:space="0" w:color="auto"/>
      </w:divBdr>
    </w:div>
    <w:div w:id="1313749289">
      <w:bodyDiv w:val="1"/>
      <w:marLeft w:val="0"/>
      <w:marRight w:val="0"/>
      <w:marTop w:val="0"/>
      <w:marBottom w:val="0"/>
      <w:divBdr>
        <w:top w:val="none" w:sz="0" w:space="0" w:color="auto"/>
        <w:left w:val="none" w:sz="0" w:space="0" w:color="auto"/>
        <w:bottom w:val="none" w:sz="0" w:space="0" w:color="auto"/>
        <w:right w:val="none" w:sz="0" w:space="0" w:color="auto"/>
      </w:divBdr>
    </w:div>
    <w:div w:id="2048026472">
      <w:bodyDiv w:val="1"/>
      <w:marLeft w:val="0"/>
      <w:marRight w:val="0"/>
      <w:marTop w:val="0"/>
      <w:marBottom w:val="0"/>
      <w:divBdr>
        <w:top w:val="none" w:sz="0" w:space="0" w:color="auto"/>
        <w:left w:val="none" w:sz="0" w:space="0" w:color="auto"/>
        <w:bottom w:val="none" w:sz="0" w:space="0" w:color="auto"/>
        <w:right w:val="none" w:sz="0" w:space="0" w:color="auto"/>
      </w:divBdr>
    </w:div>
    <w:div w:id="2065710084">
      <w:bodyDiv w:val="1"/>
      <w:marLeft w:val="0"/>
      <w:marRight w:val="0"/>
      <w:marTop w:val="0"/>
      <w:marBottom w:val="0"/>
      <w:divBdr>
        <w:top w:val="none" w:sz="0" w:space="0" w:color="auto"/>
        <w:left w:val="none" w:sz="0" w:space="0" w:color="auto"/>
        <w:bottom w:val="none" w:sz="0" w:space="0" w:color="auto"/>
        <w:right w:val="none" w:sz="0" w:space="0" w:color="auto"/>
      </w:divBdr>
    </w:div>
    <w:div w:id="21363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b.int/pub/pdf/mb199912en.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etaccountants.com/rpi.html" TargetMode="Externa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26</Pages>
  <Words>14370</Words>
  <Characters>75820</Characters>
  <Application>Microsoft Office Word</Application>
  <DocSecurity>0</DocSecurity>
  <Lines>631</Lines>
  <Paragraphs>180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[Introduction]</vt:lpstr>
      <vt:lpstr>[Introduction]</vt:lpstr>
    </vt:vector>
  </TitlesOfParts>
  <Company> </Company>
  <LinksUpToDate>false</LinksUpToDate>
  <CharactersWithSpaces>90010</CharactersWithSpaces>
  <SharedDoc>false</SharedDoc>
  <HLinks>
    <vt:vector size="12" baseType="variant">
      <vt:variant>
        <vt:i4>5111811</vt:i4>
      </vt:variant>
      <vt:variant>
        <vt:i4>3</vt:i4>
      </vt:variant>
      <vt:variant>
        <vt:i4>0</vt:i4>
      </vt:variant>
      <vt:variant>
        <vt:i4>5</vt:i4>
      </vt:variant>
      <vt:variant>
        <vt:lpwstr>http://www.ecb.int/pub/pdf/mb199912en.pdf</vt:lpwstr>
      </vt:variant>
      <vt:variant>
        <vt:lpwstr/>
      </vt:variant>
      <vt:variant>
        <vt:i4>7209019</vt:i4>
      </vt:variant>
      <vt:variant>
        <vt:i4>0</vt:i4>
      </vt:variant>
      <vt:variant>
        <vt:i4>0</vt:i4>
      </vt:variant>
      <vt:variant>
        <vt:i4>5</vt:i4>
      </vt:variant>
      <vt:variant>
        <vt:lpwstr>http://www.netaccountants.com/rpi.html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Bryan Matthews</dc:creator>
  <cp:keywords/>
  <dc:description/>
  <cp:lastModifiedBy>Daniel Johnson</cp:lastModifiedBy>
  <cp:revision>3</cp:revision>
  <cp:lastPrinted>2009-10-26T08:49:00Z</cp:lastPrinted>
  <dcterms:created xsi:type="dcterms:W3CDTF">2009-10-26T11:23:00Z</dcterms:created>
  <dcterms:modified xsi:type="dcterms:W3CDTF">2011-12-19T10:21:00Z</dcterms:modified>
</cp:coreProperties>
</file>